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Cross-Functional Leadership; Operational Strategy; Creative Operations; Operational Automation; Workflow Governance; AI Workflow Design; Process Excellence; Change Management; Stakeholder Management; Schema-Driven Workflows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