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Operational Strategy; Creative Operations; Operational Automation; Workflow Governance; AI Workflow Design; Process Excellence; Change Management; Stakeholder Management; Cross-Functional Leadership;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