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improving how cross-functional teams communicate, understand ownership, and adopt practical ways of working. Builds clear workflows, usable standards, and dependable communication practices that reduce day-to-day friction while helping teams execute business priorities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Team Enablement; Change Management; Stakeholder Communication; Ownership &amp; Responsibility Clarity; Process Implementation; Workflow Governance; Operational Consistency; Executive Communication; Continuous Improvement; Business Operations; Marketing Operations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Aligned creative, marketing, media, analytics, technology, and operations teams supporting theatrical and streaming entertainment campaigns.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Created and served as Managing Editor of Multiverse, an internal editorial publication reaching 400+ employees.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