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 • Operational Strategy • Change Management • Cross-Functional Leadership • Marketing Operations • Process Excellence • Workflow Governance • AI Workflow Design • Operational Automation • Creative Operations • Stakeholder Management • Team Leadership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Established workflows, milestones, quality standards, and partner coordination for consistent campaign execution at scale.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QA, measurement readiness, platform coordination, and execution workflows.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2"/>
      </w:pPr>
      <w:r>
        <w:t>Substack Writer</w:t>
      </w:r>
    </w:p>
    <w:p>
      <w:pPr>
        <w:pStyle w:val="ResumeMetadata"/>
      </w:pPr>
      <w:r>
        <w:t>Writer | 2026-Present</w:t>
      </w:r>
    </w:p>
    <w:p>
      <w:pPr>
        <w:pStyle w:val="ResumeBullet"/>
        <w:numPr>
          <w:ilvl w:val="0"/>
          <w:numId w:val="10"/>
        </w:numPr>
      </w:pPr>
      <w:r>
        <w:t>Publishes essays exploring creativity, technology, music, AI, grief, and life after corporate leadership through an editorial lens.</w:t>
      </w:r>
    </w:p>
    <w:p>
      <w:pPr>
        <w:pStyle w:val="ResumeBullet"/>
        <w:numPr>
          <w:ilvl w:val="0"/>
          <w:numId w:val="10"/>
        </w:numPr>
      </w:pPr>
      <w:r>
        <w:t>Develops personal voice and public thought leadership.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