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role at Nova Robotics caught my attention because senior team operating support is the work beneath the title. I help senior teams turn broad priorities into clear operating structures, ownership, communication rhythms, and follow-through. The role reads like one where planning rhythms, ownership clarity, stakeholder alignment, risk surfacing, and consistent follow-through matter more than adding process for its own sake.</w:t>
      </w:r>
    </w:p>
    <w:p>
      <w:pPr>
        <w:keepLines/>
      </w:pPr>
      <w:r>
        <w:t>At OMG23 / Omnicom Media Group, I connected creative, marketing, media, analytics, technology, and operations partners around Disney Studios Theatrical and Disney Streaming/DSS work. That required executive visibility, senior stakeholder support, decision tracking, quality standards, and communication routines that helped leaders understand what needed attention.</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Nova Robotics in the Director of Matrix Operations role. I look forward to discussing how my experience can support the team's priorities. I would bring governance without bureaucracy, calm cross-functional alignment, and a bias toward translating priorities into execution that teams can actually sustain.</w:t>
      </w:r>
    </w:p>
    <w:p>
      <w:pPr>
        <w:keepLines/>
      </w:pPr>
      <w:r>
        <w:t>I build AI-enabled workflows with a practical bias: reduce repetitive work, surface risks earlier, and leave important judgment with the people closest to the work. That is the perspective I would bring to Nova Robotics,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