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Name"/>
      </w:pPr>
      <w:r>
        <w:t>Trisha Lynch</w:t>
      </w:r>
    </w:p>
    <w:p>
      <w:pPr>
        <w:pStyle w:val="ResumePositioning"/>
      </w:pPr>
      <w:r>
        <w:t>Operations Leader | Entertainment | Workflow Governance | Cross-Functional Strategy</w:t>
      </w:r>
    </w:p>
    <w:p>
      <w:pPr>
        <w:pStyle w:val="ResumeContact"/>
      </w:pPr>
      <w:r>
        <w:t xml:space="preserve">Los Angeles, CA | </w:t>
      </w:r>
      <w:r>
        <w:t>tslynch@mac.com</w:t>
      </w:r>
      <w:r>
        <w:t xml:space="preserve"> | LinkedIn: </w:t>
      </w:r>
      <w:r>
        <w:t>https://www.linkedin.com/in/trisha-lynch-3433417</w:t>
      </w:r>
    </w:p>
    <w:p>
      <w:pPr>
        <w:pStyle w:val="Heading1"/>
      </w:pPr>
      <w:r>
        <w:t>Profile</w:t>
      </w:r>
    </w:p>
    <w:p>
      <w:pPr/>
      <w:r>
        <w:t>Operations leader known for finding the real constraint in complex work and turning it into clear decisions, usable systems, and dependable delivery. Connects business operations, workflow governance, cross-functional collaboration, and practical process design to reduce ambiguity and help teams move with confidence.</w:t>
      </w:r>
    </w:p>
    <w:p>
      <w:pPr>
        <w:pStyle w:val="Heading1"/>
      </w:pPr>
      <w:r>
        <w:t>Core Competencies</w:t>
      </w:r>
    </w:p>
    <w:p>
      <w:pPr>
        <w:pStyle w:val="ResumeCompetencies"/>
      </w:pPr>
      <w:r>
        <w:t>Cross-Functional Leadership; Product Development; Business Operations; Marketing Operations; Process Excellence; Workflow Governance; Operational Strategy; Change Management; Stakeholder Management; AI Workflow Design; Team Leadership</w:t>
      </w:r>
    </w:p>
    <w:p>
      <w:pPr>
        <w:pStyle w:val="Heading1"/>
      </w:pPr>
      <w:r>
        <w:t>Platforms &amp; Technologies</w:t>
      </w:r>
    </w:p>
    <w:p>
      <w:pPr>
        <w:pStyle w:val="ResumePlatformGroup"/>
      </w:pPr>
      <w:r>
        <w:rPr>
          <w:b/>
        </w:rPr>
        <w:t xml:space="preserve">AdTech &amp; Measurement: </w:t>
      </w:r>
      <w:r>
        <w:t>CM360, DV360, The Trade Desk, Innovid, DoubleVerify, IAS, LiveRamp, VideoAmp, TransUnion, Meta Ads, Google Marketing Platform</w:t>
      </w:r>
    </w:p>
    <w:p>
      <w:pPr>
        <w:pStyle w:val="ResumePlatformGroup"/>
      </w:pPr>
      <w:r>
        <w:rPr>
          <w:b/>
        </w:rPr>
        <w:t xml:space="preserve">AI, Automation &amp; Operational Systems: </w:t>
      </w:r>
      <w:r>
        <w:t>ChatGPT, Claude, Codex, Perplexity, Python (Working Knowledge), AI Workflow Design, Process Automation</w:t>
      </w:r>
    </w:p>
    <w:p>
      <w:pPr>
        <w:pStyle w:val="ResumePlatformGroup"/>
      </w:pPr>
      <w:r>
        <w:rPr>
          <w:b/>
        </w:rPr>
        <w:t xml:space="preserve">Workflow &amp; Collaboration: </w:t>
      </w:r>
      <w:r>
        <w:t>Airtable, Notion, Excel, Microsoft Office, Google Workspace, PowerPoint, Word</w:t>
      </w:r>
    </w:p>
    <w:p>
      <w:pPr>
        <w:pStyle w:val="ResumePlatformGroup"/>
      </w:pPr>
      <w:r>
        <w:rPr>
          <w:b/>
        </w:rPr>
        <w:t xml:space="preserve">Publishing &amp; Content: </w:t>
      </w:r>
      <w:r>
        <w:t>WordPress, Mailchimp, Newsletter Development, Editorial Production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OMG23 / Omnicom Media Group</w:t>
      </w:r>
    </w:p>
    <w:p>
      <w:pPr>
        <w:pStyle w:val="ResumeMetadata"/>
      </w:pPr>
      <w:r>
        <w:t>Burbank, CA | 2016-2026</w:t>
      </w:r>
    </w:p>
    <w:p>
      <w:pPr/>
      <w:r>
        <w:t>Campaign Manager to Group Director, Ad Operations, Marketing Science &amp; Creative Management</w:t>
      </w:r>
    </w:p>
    <w:p>
      <w:pPr>
        <w:pStyle w:val="ResumeBullet"/>
        <w:numPr>
          <w:ilvl w:val="0"/>
          <w:numId w:val="10"/>
        </w:numPr>
      </w:pPr>
      <w:r>
        <w:t>Led cross-functional teams of 60+ across creative management, marketing operations, media, analytics, technology, and campaign operations.</w:t>
      </w:r>
    </w:p>
    <w:p>
      <w:pPr>
        <w:pStyle w:val="ResumeBullet"/>
        <w:numPr>
          <w:ilvl w:val="0"/>
          <w:numId w:val="10"/>
        </w:numPr>
      </w:pPr>
      <w:r>
        <w:t>Led campaign operations across Disney Studios Theatrical and Disney Streaming/DSS, supporting theatrical and streaming film campaigns across Pixar, Lucasfilm, Marvel, 20th Century Studios, Searchlight Pictures, Disney+, and franchise/IP priorities.</w:t>
      </w:r>
    </w:p>
    <w:p>
      <w:pPr>
        <w:pStyle w:val="ResumeBullet"/>
        <w:numPr>
          <w:ilvl w:val="0"/>
          <w:numId w:val="10"/>
        </w:numPr>
      </w:pPr>
      <w:r>
        <w:t>Owned workflow governance, milestones, QA, measurement readiness, vendor integrations, and scalable execution standards for premium entertainment campaigns.</w:t>
      </w:r>
    </w:p>
    <w:p>
      <w:pPr>
        <w:pStyle w:val="ResumeBullet"/>
        <w:numPr>
          <w:ilvl w:val="0"/>
          <w:numId w:val="10"/>
        </w:numPr>
      </w:pPr>
      <w:r>
        <w:t>Introduced scalable workflows, governance practices, and execution standards across marketing, technology, analytics, and creative teams.</w:t>
      </w:r>
    </w:p>
    <w:p>
      <w:pPr>
        <w:pStyle w:val="ResumeBullet"/>
        <w:numPr>
          <w:ilvl w:val="0"/>
          <w:numId w:val="10"/>
        </w:numPr>
      </w:pPr>
      <w:r>
        <w:t>Partnered across creative, marketing, media, analytics, engineering, technology, operations, and external partners supporting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Directed operational execution for multimillion-dollar premium entertainment campaigns across theatrical releases, streaming launches, and franchise/IP priorities.</w:t>
      </w:r>
    </w:p>
    <w:p>
      <w:pPr>
        <w:pStyle w:val="ResumeBullet"/>
        <w:numPr>
          <w:ilvl w:val="0"/>
          <w:numId w:val="10"/>
        </w:numPr>
      </w:pPr>
      <w:r>
        <w:t>Advanced from Campaign Manager to Group Director while leading campaign operations across Disney Studios Theatrical and Disney Streaming/DSS.</w:t>
      </w:r>
    </w:p>
    <w:p>
      <w:pPr>
        <w:pStyle w:val="ResumeBullet"/>
        <w:numPr>
          <w:ilvl w:val="0"/>
          <w:numId w:val="10"/>
        </w:numPr>
      </w:pPr>
      <w:r>
        <w:t>Primary work focused on theatrical and streaming film campaign operations across Disney's Studios, franchise/IP, and streaming ecosystem.</w:t>
      </w:r>
    </w:p>
    <w:p>
      <w:pPr>
        <w:pStyle w:val="Heading1"/>
      </w:pPr>
      <w:r>
        <w:t>Selected Projects</w:t>
      </w:r>
    </w:p>
    <w:p>
      <w:pPr>
        <w:pStyle w:val="Heading1"/>
      </w:pPr>
      <w:r>
        <w:t>Earlier Career</w:t>
      </w:r>
    </w:p>
    <w:p>
      <w:pPr>
        <w:pStyle w:val="Heading2"/>
      </w:pPr>
      <w:r>
        <w:t>Intermedia Advertising / US International Media</w:t>
      </w:r>
    </w:p>
    <w:p>
      <w:pPr>
        <w:pStyle w:val="ResumeMetadata"/>
      </w:pPr>
      <w:r>
        <w:t>Los Angeles, CA | 2008-2016</w:t>
      </w:r>
    </w:p>
    <w:p>
      <w:pPr/>
      <w:r>
        <w:t>Digital Media Operations &amp; Planning: Digital media planning and operations roles supporting the transition from traditional media to digital ecosystems.</w:t>
      </w:r>
    </w:p>
    <w:p>
      <w:pPr>
        <w:pStyle w:val="ResumeBullet"/>
        <w:numPr>
          <w:ilvl w:val="0"/>
          <w:numId w:val="10"/>
        </w:numPr>
      </w:pPr>
      <w:r>
        <w:t>Built agency, publisher, and technology partner relationships.</w:t>
      </w:r>
    </w:p>
    <w:p>
      <w:pPr>
        <w:pStyle w:val="ResumeBullet"/>
        <w:numPr>
          <w:ilvl w:val="0"/>
          <w:numId w:val="10"/>
        </w:numPr>
      </w:pPr>
      <w:r>
        <w:t>Supported media operations and planning workflows.</w:t>
      </w:r>
    </w:p>
    <w:p>
      <w:pPr>
        <w:pStyle w:val="Heading1"/>
      </w:pPr>
      <w:r>
        <w:t>Professional Development</w:t>
      </w:r>
    </w:p>
    <w:p>
      <w:pPr>
        <w:pStyle w:val="ResumeBullet"/>
        <w:numPr>
          <w:ilvl w:val="0"/>
          <w:numId w:val="10"/>
        </w:numPr>
      </w:pPr>
      <w:r>
        <w:t>Google Marketing Platform: CM360, DV360, Google Ads, YouTube, GA4</w:t>
      </w:r>
    </w:p>
    <w:p>
      <w:pPr>
        <w:pStyle w:val="ResumeBullet"/>
        <w:numPr>
          <w:ilvl w:val="0"/>
          <w:numId w:val="10"/>
        </w:numPr>
      </w:pPr>
      <w:r>
        <w:t>Current focus: AI &amp; Operational Automation, Product Development, Business Operations, Organizational Systems, Entertainment Technology, Creative Leadership</w:t>
      </w:r>
    </w:p>
    <w:sectPr w:rsidR="00FC693F" w:rsidRPr="0006063C" w:rsidSect="00034616">
      <w:pgSz w:w="12240" w:h="15840"/>
      <w:pgMar w:top="936" w:right="936" w:bottom="936" w:left="936" w:header="432" w:footer="432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widowControl/>
      <w:spacing w:before="0" w:after="40" w:lineRule="auto" w:line="252"/>
    </w:pPr>
    <w:rPr>
      <w:rFonts w:ascii="Calibri" w:hAnsi="Calibri" w:eastAsia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40" w:after="40" w:lineRule="auto" w:line="24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80" w:after="20" w:lineRule="auto" w:line="2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Name">
    <w:name w:val="Resume Name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36"/>
    </w:rPr>
  </w:style>
  <w:style w:type="paragraph" w:customStyle="1" w:styleId="ResumePositioning">
    <w:name w:val="Resume Positioning"/>
    <w:pPr>
      <w:keepNext/>
      <w:widowControl/>
      <w:spacing w:before="0" w:after="20" w:lineRule="auto" w:line="240"/>
    </w:pPr>
    <w:rPr>
      <w:rFonts w:ascii="Calibri" w:hAnsi="Calibri" w:eastAsia="Calibri"/>
      <w:b/>
      <w:color w:val="000000"/>
      <w:sz w:val="21"/>
    </w:rPr>
  </w:style>
  <w:style w:type="paragraph" w:customStyle="1" w:styleId="ResumeContact">
    <w:name w:val="Resume Contact"/>
    <w:pPr>
      <w:keepNext w:val="0"/>
      <w:widowControl/>
      <w:spacing w:before="0" w:after="80" w:lineRule="auto" w:line="240"/>
    </w:pPr>
    <w:rPr>
      <w:rFonts w:ascii="Calibri" w:hAnsi="Calibri" w:eastAsia="Calibri"/>
      <w:color w:val="000000"/>
      <w:sz w:val="20"/>
    </w:rPr>
  </w:style>
  <w:style w:type="paragraph" w:customStyle="1" w:styleId="ResumeMetadata">
    <w:name w:val="Resume Metadata"/>
    <w:pPr>
      <w:keepNext/>
      <w:widowControl/>
      <w:spacing w:before="0" w:after="20" w:lineRule="auto" w:line="240"/>
    </w:pPr>
    <w:rPr>
      <w:rFonts w:ascii="Calibri" w:hAnsi="Calibri" w:eastAsia="Calibri"/>
      <w:i/>
      <w:color w:val="000000"/>
      <w:sz w:val="20"/>
    </w:rPr>
  </w:style>
  <w:style w:type="paragraph" w:customStyle="1" w:styleId="ResumeBullet">
    <w:name w:val="Resume Bullet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Competencies">
    <w:name w:val="Resume Competencies"/>
    <w:pPr>
      <w:keepNext w:val="0"/>
      <w:widowControl/>
      <w:spacing w:before="0" w:after="60" w:lineRule="auto" w:line="247"/>
    </w:pPr>
    <w:rPr>
      <w:rFonts w:ascii="Calibri" w:hAnsi="Calibri" w:eastAsia="Calibri"/>
      <w:color w:val="000000"/>
      <w:sz w:val="21"/>
    </w:rPr>
  </w:style>
  <w:style w:type="paragraph" w:customStyle="1" w:styleId="ResumePlatformGroup">
    <w:name w:val="Resume Platform Group"/>
    <w:pPr>
      <w:keepNext w:val="0"/>
      <w:widowControl/>
      <w:spacing w:before="0" w:after="30" w:lineRule="auto" w:line="247"/>
    </w:pPr>
    <w:rPr>
      <w:rFonts w:ascii="Calibri" w:hAnsi="Calibri" w:eastAsia="Calibri"/>
      <w:color w:val="000000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