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pPr>
      <w:r>
        <w:t>Hello,</w:t>
      </w:r>
    </w:p>
    <w:p>
      <w:pPr>
        <w:keepLines/>
      </w:pPr>
      <w:r>
        <w:t>The Director of Matrix Operations role at Nova Robotics caught my attention because senior team operating support is the work beneath the title. I help senior teams turn broad priorities into clear operating structures, ownership, communication rhythms, and follow-through. The role reads like one where planning rhythms, ownership clarity, stakeholder alignment, risk surfacing, and consistent follow-through matter more than adding process for its own sake.</w:t>
      </w:r>
    </w:p>
    <w:p>
      <w:pPr>
        <w:keepLines/>
      </w:pPr>
      <w:r>
        <w:t>At OMG23 / Omnicom Media Group, I connected creative, marketing, media, analytics, technology, and operations partners around Disney Studios Theatrical and Disney Streaming/DSS work. That required executive visibility, senior stakeholder support, decision tracking, quality standards, and communication routines that helped leaders understand what needed attention.</w:t>
      </w:r>
    </w:p>
    <w:p>
      <w:pPr>
        <w:keepLines/>
      </w:pPr>
      <w:r>
        <w:t>I introduced scalable workflows, governance practices, and execution standards across marketing, technology, analytics, and creative teams. The useful change was not more process; it was clearer ownership, more dependable handoffs, quality assurance (QA), and better operational risk visibility in the decisions affecting delivery. That work connected creative, marketing, analytics, and technology partners around shared standards while keeping day-to-day execution practical.</w:t>
      </w:r>
    </w:p>
    <w:p>
      <w:pPr>
        <w:keepLines/>
      </w:pPr>
      <w:r>
        <w:t>I would welcome the opportunity to contribute to Nova Robotics and discuss how my experience can support the team's priorities. I would bring governance without bureaucracy, calm cross-functional alignment, and a bias toward translating priorities into execution that teams can actually sustain.</w:t>
      </w:r>
    </w:p>
    <w:p>
      <w:pPr>
        <w:keepLines/>
      </w:pPr>
      <w:r>
        <w:t>I build AI-enabled workflows with a practical bias: reduce repetitive work, surface risks earlier, and leave important judgment with the people closest to the work. That is the perspective I would bring to Nova Robotics, along with calm stakeholder leadership and a habit of turning recurring friction into a clearer, more dependable way of working. The through line in my experience is simple: I care about the work itself, the people doing it, and the operating conditions that allow both to be at their best.</w:t>
      </w:r>
    </w:p>
    <w:p>
      <w:pPr>
        <w:keepLines/>
      </w:pPr>
      <w:r>
        <w:t>Best,</w:t>
      </w:r>
    </w:p>
    <w:p>
      <w:pPr>
        <w:keepLines/>
      </w:pPr>
      <w:r>
        <w:t>Trisha Lynch</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264"/>
    </w:pPr>
    <w:rPr>
      <w:rFonts w:ascii="Calibri" w:hAnsi="Calibri"/>
      <w:color w:val="2027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