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人形机器人模块测试平台</w:t>
      </w:r>
    </w:p>
    <w:p>
      <w:pPr>
        <w:pStyle w:val="Heading1"/>
      </w:pPr>
      <w:r>
        <w:t>硬件搭建说明书 · 集成驱动器总成版</w:t>
      </w:r>
    </w:p>
    <w:p>
      <w:r>
        <w:t>版本：1.0｜适用对象：集成驱动器的机器人总成｜用途：硬件设计、采购与集成</w:t>
      </w:r>
    </w:p>
    <w:p>
      <w:r>
        <w:t>本平台由机械台架、测试控制柜、连接线束和 Linux 上位机组成。机器人手臂、胸腔或腿部固定在工装上，控制柜负责供电、分路通断及电压电流采集，上位机负责测试编排、机器人通信和数据记录。适用对象为已集成驱动器的总成，基础配置不另配关节驱动器。</w:t>
      </w:r>
    </w:p>
    <w:p>
      <w:r>
        <w:t>电气部分采用 LFD835 V1.9 四通道参考架构。本文用于确定组件和集成关系；施工应配套原理图、端子与线束图，承载、保护、安全控制及能量处理应按实际总成和工况完成工程设计。涉及交流配电、功能安全或重力负载的工作，应由具备相应能力的工程人员实施。</w:t>
      </w:r>
    </w:p>
    <w:p>
      <w:pPr>
        <w:pStyle w:val="Heading2"/>
      </w:pPr>
      <w:r>
        <w:t>资料导航</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sz w:val="18"/>
              </w:rPr>
              <w:t>文件</w:t>
            </w:r>
          </w:p>
        </w:tc>
        <w:tc>
          <w:tcPr>
            <w:tcW w:type="dxa" w:w="4933"/>
          </w:tcPr>
          <w:p>
            <w:r>
              <w:rPr>
                <w:b/>
                <w:sz w:val="18"/>
              </w:rPr>
              <w:t>使用方式</w:t>
            </w:r>
          </w:p>
        </w:tc>
      </w:tr>
      <w:tr>
        <w:tc>
          <w:tcPr>
            <w:tcW w:type="dxa" w:w="4933"/>
          </w:tcPr>
          <w:p>
            <w:r>
              <w:rPr>
                <w:b w:val="0"/>
                <w:sz w:val="18"/>
              </w:rPr>
              <w:t>本说明书 PDF / Word / Markdown</w:t>
            </w:r>
          </w:p>
        </w:tc>
        <w:tc>
          <w:tcPr>
            <w:tcW w:type="dxa" w:w="4933"/>
          </w:tcPr>
          <w:p>
            <w:r>
              <w:rPr>
                <w:b w:val="0"/>
                <w:sz w:val="18"/>
              </w:rPr>
              <w:t>理解整个平台、建立采购与装配计划</w:t>
            </w:r>
          </w:p>
        </w:tc>
      </w:tr>
      <w:tr>
        <w:tc>
          <w:tcPr>
            <w:tcW w:type="dxa" w:w="4933"/>
          </w:tcPr>
          <w:p>
            <w:r>
              <w:rPr>
                <w:b w:val="0"/>
                <w:sz w:val="18"/>
              </w:rPr>
              <w:t>platform-overview.svg / .png</w:t>
            </w:r>
          </w:p>
        </w:tc>
        <w:tc>
          <w:tcPr>
            <w:tcW w:type="dxa" w:w="4933"/>
          </w:tcPr>
          <w:p>
            <w:r>
              <w:rPr>
                <w:b w:val="0"/>
                <w:sz w:val="18"/>
              </w:rPr>
              <w:t>全平台硬件组成及连接总览</w:t>
            </w:r>
          </w:p>
        </w:tc>
      </w:tr>
      <w:tr>
        <w:tc>
          <w:tcPr>
            <w:tcW w:type="dxa" w:w="4933"/>
          </w:tcPr>
          <w:p>
            <w:r>
              <w:rPr>
                <w:b w:val="0"/>
                <w:sz w:val="18"/>
              </w:rPr>
              <w:t>limb-connection.svg / .png</w:t>
            </w:r>
          </w:p>
        </w:tc>
        <w:tc>
          <w:tcPr>
            <w:tcW w:type="dxa" w:w="4933"/>
          </w:tcPr>
          <w:p>
            <w:r>
              <w:rPr>
                <w:b w:val="0"/>
                <w:sz w:val="18"/>
              </w:rPr>
              <w:t>一个集成驱动器肢体如何接入与扩展</w:t>
            </w:r>
          </w:p>
        </w:tc>
      </w:tr>
      <w:tr>
        <w:tc>
          <w:tcPr>
            <w:tcW w:type="dxa" w:w="4933"/>
          </w:tcPr>
          <w:p>
            <w:r>
              <w:rPr>
                <w:b w:val="0"/>
                <w:sz w:val="18"/>
              </w:rPr>
              <w:t>channel-wiring.svg / .png</w:t>
            </w:r>
          </w:p>
        </w:tc>
        <w:tc>
          <w:tcPr>
            <w:tcW w:type="dxa" w:w="4933"/>
          </w:tcPr>
          <w:p>
            <w:r>
              <w:rPr>
                <w:b w:val="0"/>
                <w:sz w:val="18"/>
              </w:rPr>
              <w:t>柜内单通道供电、开关与采样关系</w:t>
            </w:r>
          </w:p>
        </w:tc>
      </w:tr>
      <w:tr>
        <w:tc>
          <w:tcPr>
            <w:tcW w:type="dxa" w:w="4933"/>
          </w:tcPr>
          <w:p>
            <w:r>
              <w:rPr>
                <w:b w:val="0"/>
                <w:sz w:val="18"/>
              </w:rPr>
              <w:t>electrical/system-bom.csv</w:t>
            </w:r>
          </w:p>
        </w:tc>
        <w:tc>
          <w:tcPr>
            <w:tcW w:type="dxa" w:w="4933"/>
          </w:tcPr>
          <w:p>
            <w:r>
              <w:rPr>
                <w:b w:val="0"/>
                <w:sz w:val="18"/>
              </w:rPr>
              <w:t>可编辑采购工作表；参考型号不等于最终下单规格</w:t>
            </w:r>
          </w:p>
        </w:tc>
      </w:tr>
    </w:tbl>
    <w:p/>
    <w:p>
      <w:r>
        <w:br w:type="page"/>
      </w:r>
    </w:p>
    <w:p>
      <w:pPr>
        <w:pStyle w:val="Heading1"/>
      </w:pPr>
      <w:r>
        <w:t>1. 平台到底包含哪些硬件</w:t>
      </w:r>
    </w:p>
    <w:p>
      <w:r>
        <w:t>完整平台分为六个部分：上位机、测试控制柜、柜外连接组件、机器人总成、机械工装，以及按风险设计的安全与能量处理装置。要进行精确力矩、效率、寿命曲线测试时，再添加加载与同步测量系统。</w:t>
      </w:r>
    </w:p>
    <w:p>
      <w:r>
        <w:drawing>
          <wp:inline xmlns:a="http://schemas.openxmlformats.org/drawingml/2006/main" xmlns:pic="http://schemas.openxmlformats.org/drawingml/2006/picture">
            <wp:extent cx="6228000" cy="4318304"/>
            <wp:docPr id="1" name="Picture 1"/>
            <wp:cNvGraphicFramePr>
              <a:graphicFrameLocks noChangeAspect="1"/>
            </wp:cNvGraphicFramePr>
            <a:graphic>
              <a:graphicData uri="http://schemas.openxmlformats.org/drawingml/2006/picture">
                <pic:pic>
                  <pic:nvPicPr>
                    <pic:cNvPr id="0" name="platform-overview.png"/>
                    <pic:cNvPicPr/>
                  </pic:nvPicPr>
                  <pic:blipFill>
                    <a:blip r:embed="rId11"/>
                    <a:stretch>
                      <a:fillRect/>
                    </a:stretch>
                  </pic:blipFill>
                  <pic:spPr>
                    <a:xfrm>
                      <a:off x="0" y="0"/>
                      <a:ext cx="6228000" cy="4318304"/>
                    </a:xfrm>
                    <a:prstGeom prst="rect"/>
                  </pic:spPr>
                </pic:pic>
              </a:graphicData>
            </a:graphic>
          </wp:inline>
        </w:drawing>
      </w:r>
    </w:p>
    <w:p>
      <w:r>
        <w:t>图 1：四个电气支路可分配给三个台架并保留扩展口，图中编号仅为示例，可从一个总成工位起步。不代表现有电源能同时满足多个总成的最大负载；真实支路和 CAN 端口映射以登记表为准。</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sz w:val="18"/>
              </w:rPr>
              <w:t>部分</w:t>
            </w:r>
          </w:p>
        </w:tc>
        <w:tc>
          <w:tcPr>
            <w:tcW w:type="dxa" w:w="3289"/>
          </w:tcPr>
          <w:p>
            <w:r>
              <w:rPr>
                <w:b/>
                <w:sz w:val="18"/>
              </w:rPr>
              <w:t>必须解决的问题</w:t>
            </w:r>
          </w:p>
        </w:tc>
        <w:tc>
          <w:tcPr>
            <w:tcW w:type="dxa" w:w="3289"/>
          </w:tcPr>
          <w:p>
            <w:r>
              <w:rPr>
                <w:b/>
                <w:sz w:val="18"/>
              </w:rPr>
              <w:t>典型硬件</w:t>
            </w:r>
          </w:p>
        </w:tc>
      </w:tr>
      <w:tr>
        <w:tc>
          <w:tcPr>
            <w:tcW w:type="dxa" w:w="3289"/>
          </w:tcPr>
          <w:p>
            <w:r>
              <w:rPr>
                <w:b w:val="0"/>
                <w:sz w:val="18"/>
              </w:rPr>
              <w:t>Linux 上位机</w:t>
            </w:r>
          </w:p>
        </w:tc>
        <w:tc>
          <w:tcPr>
            <w:tcW w:type="dxa" w:w="3289"/>
          </w:tcPr>
          <w:p>
            <w:r>
              <w:rPr>
                <w:b w:val="0"/>
                <w:sz w:val="18"/>
              </w:rPr>
              <w:t>柜子管理、机器人命令、测试编排与记录</w:t>
            </w:r>
          </w:p>
        </w:tc>
        <w:tc>
          <w:tcPr>
            <w:tcW w:type="dxa" w:w="3289"/>
          </w:tcPr>
          <w:p>
            <w:r>
              <w:rPr>
                <w:b w:val="0"/>
                <w:sz w:val="18"/>
              </w:rPr>
              <w:t>工控机或 PC、以太网接口、USB 接口、数据存储</w:t>
            </w:r>
          </w:p>
        </w:tc>
      </w:tr>
      <w:tr>
        <w:tc>
          <w:tcPr>
            <w:tcW w:type="dxa" w:w="3289"/>
          </w:tcPr>
          <w:p>
            <w:r>
              <w:rPr>
                <w:b w:val="0"/>
                <w:sz w:val="18"/>
              </w:rPr>
              <w:t>测试控制柜</w:t>
            </w:r>
          </w:p>
        </w:tc>
        <w:tc>
          <w:tcPr>
            <w:tcW w:type="dxa" w:w="3289"/>
          </w:tcPr>
          <w:p>
            <w:r>
              <w:rPr>
                <w:b w:val="0"/>
                <w:sz w:val="18"/>
              </w:rPr>
              <w:t>交流转换为可调直流；四路供电通断和监测</w:t>
            </w:r>
          </w:p>
        </w:tc>
        <w:tc>
          <w:tcPr>
            <w:tcW w:type="dxa" w:w="3289"/>
          </w:tcPr>
          <w:p>
            <w:r>
              <w:rPr>
                <w:b w:val="0"/>
                <w:sz w:val="18"/>
              </w:rPr>
              <w:t>保护器件、PS1、PS24、PLC、继电器、直流开关、传感器</w:t>
            </w:r>
          </w:p>
        </w:tc>
      </w:tr>
      <w:tr>
        <w:tc>
          <w:tcPr>
            <w:tcW w:type="dxa" w:w="3289"/>
          </w:tcPr>
          <w:p>
            <w:r>
              <w:rPr>
                <w:b w:val="0"/>
                <w:sz w:val="18"/>
              </w:rPr>
              <w:t>柜外连接</w:t>
            </w:r>
          </w:p>
        </w:tc>
        <w:tc>
          <w:tcPr>
            <w:tcW w:type="dxa" w:w="3289"/>
          </w:tcPr>
          <w:p>
            <w:r>
              <w:rPr>
                <w:b w:val="0"/>
                <w:sz w:val="18"/>
              </w:rPr>
              <w:t>把柜端接口正确转换到厂家肢体接口</w:t>
            </w:r>
          </w:p>
        </w:tc>
        <w:tc>
          <w:tcPr>
            <w:tcW w:type="dxa" w:w="3289"/>
          </w:tcPr>
          <w:p>
            <w:r>
              <w:rPr>
                <w:b w:val="0"/>
                <w:sz w:val="18"/>
              </w:rPr>
              <w:t>动力线束、CAN 双绞线、转接盒、连接器、应力释放件</w:t>
            </w:r>
          </w:p>
        </w:tc>
      </w:tr>
      <w:tr>
        <w:tc>
          <w:tcPr>
            <w:tcW w:type="dxa" w:w="3289"/>
          </w:tcPr>
          <w:p>
            <w:r>
              <w:rPr>
                <w:b w:val="0"/>
                <w:sz w:val="18"/>
              </w:rPr>
              <w:t>机器人总成</w:t>
            </w:r>
          </w:p>
        </w:tc>
        <w:tc>
          <w:tcPr>
            <w:tcW w:type="dxa" w:w="3289"/>
          </w:tcPr>
          <w:p>
            <w:r>
              <w:rPr>
                <w:b w:val="0"/>
                <w:sz w:val="18"/>
              </w:rPr>
              <w:t>接受电源和通信，完成关节运动</w:t>
            </w:r>
          </w:p>
        </w:tc>
        <w:tc>
          <w:tcPr>
            <w:tcW w:type="dxa" w:w="3289"/>
          </w:tcPr>
          <w:p>
            <w:r>
              <w:rPr>
                <w:b w:val="0"/>
                <w:sz w:val="18"/>
              </w:rPr>
              <w:t>已集成驱动器、编码器及内部线束的手臂/腿部</w:t>
            </w:r>
          </w:p>
        </w:tc>
      </w:tr>
      <w:tr>
        <w:tc>
          <w:tcPr>
            <w:tcW w:type="dxa" w:w="3289"/>
          </w:tcPr>
          <w:p>
            <w:r>
              <w:rPr>
                <w:b w:val="0"/>
                <w:sz w:val="18"/>
              </w:rPr>
              <w:t>机械与防护</w:t>
            </w:r>
          </w:p>
        </w:tc>
        <w:tc>
          <w:tcPr>
            <w:tcW w:type="dxa" w:w="3289"/>
          </w:tcPr>
          <w:p>
            <w:r>
              <w:rPr>
                <w:b w:val="0"/>
                <w:sz w:val="18"/>
              </w:rPr>
              <w:t>承受反力矩、约束运动并保护人员</w:t>
            </w:r>
          </w:p>
        </w:tc>
        <w:tc>
          <w:tcPr>
            <w:tcW w:type="dxa" w:w="3289"/>
          </w:tcPr>
          <w:p>
            <w:r>
              <w:rPr>
                <w:b w:val="0"/>
                <w:sz w:val="18"/>
              </w:rPr>
              <w:t>底座、夹具、支撑、限位、防护围挡、线缆拖链</w:t>
            </w:r>
          </w:p>
        </w:tc>
      </w:tr>
      <w:tr>
        <w:tc>
          <w:tcPr>
            <w:tcW w:type="dxa" w:w="3289"/>
          </w:tcPr>
          <w:p>
            <w:r>
              <w:rPr>
                <w:b w:val="0"/>
                <w:sz w:val="18"/>
              </w:rPr>
              <w:t>安全与能量</w:t>
            </w:r>
          </w:p>
        </w:tc>
        <w:tc>
          <w:tcPr>
            <w:tcW w:type="dxa" w:w="3289"/>
          </w:tcPr>
          <w:p>
            <w:r>
              <w:rPr>
                <w:b w:val="0"/>
                <w:sz w:val="18"/>
              </w:rPr>
              <w:t>安全停机、防止坠落与母线过压</w:t>
            </w:r>
          </w:p>
        </w:tc>
        <w:tc>
          <w:tcPr>
            <w:tcW w:type="dxa" w:w="3289"/>
          </w:tcPr>
          <w:p>
            <w:r>
              <w:rPr>
                <w:b w:val="0"/>
                <w:sz w:val="18"/>
              </w:rPr>
              <w:t>急停与安全控制、适用的 STO/切断元件、回馈耗能或双向电源</w:t>
            </w:r>
          </w:p>
        </w:tc>
      </w:tr>
    </w:tbl>
    <w:p/>
    <w:p>
      <w:r>
        <w:t>“能给肢体上电”不等于“可以安全运动”。动力、通信、工装、安全链和回馈处理需要共同完成，不能只接好 DC+、DC−、CAN-H、CAN-L 就开始运动试验。</w:t>
      </w:r>
    </w:p>
    <w:p>
      <w:r>
        <w:br w:type="page"/>
      </w:r>
    </w:p>
    <w:p>
      <w:pPr>
        <w:pStyle w:val="Heading1"/>
      </w:pPr>
      <w:r>
        <w:t>2. 先确定测试目标，再决定采购范围</w:t>
      </w:r>
    </w:p>
    <w:p>
      <w:pPr>
        <w:pStyle w:val="Heading2"/>
      </w:pPr>
      <w:r>
        <w:t>三个机械台架的仓库入口</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sz w:val="18"/>
              </w:rPr>
              <w:t>平台</w:t>
            </w:r>
          </w:p>
        </w:tc>
        <w:tc>
          <w:tcPr>
            <w:tcW w:type="dxa" w:w="3289"/>
          </w:tcPr>
          <w:p>
            <w:r>
              <w:rPr>
                <w:b/>
                <w:sz w:val="18"/>
              </w:rPr>
              <w:t>机械设计来源</w:t>
            </w:r>
          </w:p>
        </w:tc>
        <w:tc>
          <w:tcPr>
            <w:tcW w:type="dxa" w:w="3289"/>
          </w:tcPr>
          <w:p>
            <w:r>
              <w:rPr>
                <w:b/>
                <w:sz w:val="18"/>
              </w:rPr>
              <w:t>接入与用途边界</w:t>
            </w:r>
          </w:p>
        </w:tc>
      </w:tr>
      <w:tr>
        <w:tc>
          <w:tcPr>
            <w:tcW w:type="dxa" w:w="3289"/>
          </w:tcPr>
          <w:p>
            <w:r>
              <w:rPr>
                <w:b w:val="0"/>
                <w:sz w:val="18"/>
              </w:rPr>
              <w:t>手臂测试平台</w:t>
            </w:r>
          </w:p>
        </w:tc>
        <w:tc>
          <w:tcPr>
            <w:tcW w:type="dxa" w:w="3289"/>
          </w:tcPr>
          <w:p>
            <w:r>
              <w:rPr>
                <w:b w:val="0"/>
                <w:sz w:val="18"/>
              </w:rPr>
              <w:t>共享总装与 LS75 手臂工装</w:t>
            </w:r>
          </w:p>
        </w:tc>
        <w:tc>
          <w:tcPr>
            <w:tcW w:type="dxa" w:w="3289"/>
          </w:tcPr>
          <w:p>
            <w:r>
              <w:rPr>
                <w:b w:val="0"/>
                <w:sz w:val="18"/>
              </w:rPr>
              <w:t>手臂固定、供电、通信与支路采样；接口与承载按总成确定</w:t>
            </w:r>
          </w:p>
        </w:tc>
      </w:tr>
      <w:tr>
        <w:tc>
          <w:tcPr>
            <w:tcW w:type="dxa" w:w="3289"/>
          </w:tcPr>
          <w:p>
            <w:r>
              <w:rPr>
                <w:b w:val="0"/>
                <w:sz w:val="18"/>
              </w:rPr>
              <w:t>胸腔测试平台</w:t>
            </w:r>
          </w:p>
        </w:tc>
        <w:tc>
          <w:tcPr>
            <w:tcW w:type="dxa" w:w="3289"/>
          </w:tcPr>
          <w:p>
            <w:r>
              <w:rPr>
                <w:b w:val="0"/>
                <w:sz w:val="18"/>
              </w:rPr>
              <w:t>共享总装、胸腔框架与底板</w:t>
            </w:r>
          </w:p>
        </w:tc>
        <w:tc>
          <w:tcPr>
            <w:tcW w:type="dxa" w:w="3289"/>
          </w:tcPr>
          <w:p>
            <w:r>
              <w:rPr>
                <w:b w:val="0"/>
                <w:sz w:val="18"/>
              </w:rPr>
              <w:t>胸腔固定与接口集成；腰部夹具、重心及布线空间单独匹配</w:t>
            </w:r>
          </w:p>
        </w:tc>
      </w:tr>
      <w:tr>
        <w:tc>
          <w:tcPr>
            <w:tcW w:type="dxa" w:w="3289"/>
          </w:tcPr>
          <w:p>
            <w:r>
              <w:rPr>
                <w:b w:val="0"/>
                <w:sz w:val="18"/>
              </w:rPr>
              <w:t>腿部负载测试平台</w:t>
            </w:r>
          </w:p>
        </w:tc>
        <w:tc>
          <w:tcPr>
            <w:tcW w:type="dxa" w:w="3289"/>
          </w:tcPr>
          <w:p>
            <w:r>
              <w:rPr>
                <w:b w:val="0"/>
                <w:sz w:val="18"/>
              </w:rPr>
              <w:t>腿部平台总装与机械 BOM</w:t>
            </w:r>
          </w:p>
        </w:tc>
        <w:tc>
          <w:tcPr>
            <w:tcW w:type="dxa" w:w="3289"/>
          </w:tcPr>
          <w:p>
            <w:r>
              <w:rPr>
                <w:b w:val="0"/>
                <w:sz w:val="18"/>
              </w:rPr>
              <w:t>腿部固定；加载机构、测量和能量处理按工况设计与配置</w:t>
            </w:r>
          </w:p>
        </w:tc>
      </w:tr>
    </w:tbl>
    <w:p/>
    <w:p>
      <w:r>
        <w:t>机械资料按“腿部 / 手臂胸腔”分组，各台架有对应 CAD、BOM 或加工图入口。手臂与胸腔共享一套总装及依赖资源；腿部平台采购使用工作表 腿部老化测试平台 项目结构件 BOM。BOM 按零件号和版本匹配模型，非台架采购工作表不纳入统计。装配文件及配套资源需保持相对位置，制造图和总装中性格式按加工需求准备。详见机械台架（../mechanical/README.md）。</w:t>
      </w:r>
    </w:p>
    <w:p>
      <w:pPr>
        <w:pStyle w:val="Heading2"/>
      </w:pPr>
      <w:r>
        <w:t>2.1 基础版本：通电、通信和电气老化</w:t>
      </w:r>
    </w:p>
    <w:p>
      <w:r>
        <w:t>基础配置提供公共电源、KM0、四路独立通断、支路电压电流采集及机器人通信接口。公共电压/总限流设置、状态显示和老化记录由配套控制软件实现。一个支路连接整个肢体时，采到的是该肢体的总输入电流和支路端电压，不是每个关节的相电流或独立输入电流。</w:t>
      </w:r>
    </w:p>
    <w:p>
      <w:pPr>
        <w:pStyle w:val="Heading2"/>
      </w:pPr>
      <w:r>
        <w:t>2.2 运动版本：增加工装、安全及回馈能力</w:t>
      </w:r>
    </w:p>
    <w:p>
      <w:r>
        <w:t>驱动器上电后的使能、复位、模式选择、位置/速度/力矩命令及反馈，必须采用机器人厂家协议。测试柜的 Modbus TCP 不负责生成这些运动命令。重力负载需要机械支撑，抱闸释放前要确认姿态、支撑和控制条件。</w:t>
      </w:r>
    </w:p>
    <w:p>
      <w:pPr>
        <w:pStyle w:val="Heading2"/>
      </w:pPr>
      <w:r>
        <w:t>2.3 性能版本：加载与独立测量</w:t>
      </w:r>
    </w:p>
    <w:p>
      <w:r>
        <w:t>如果要测输出力矩、速度、效率、温升和耐久性，还需要扭矩传感器、加载装置、位置/速度测量及同步 DAQ。直流电子负载只能测试电源或电气支路，不能代替机械轴上的力矩加载。使用加载电机时，其驱动器、电源、控制和回馈路径是另外一套系统。</w:t>
      </w:r>
    </w:p>
    <w:p>
      <w:r>
        <w:br w:type="page"/>
      </w:r>
    </w:p>
    <w:p>
      <w:pPr>
        <w:pStyle w:val="Heading1"/>
      </w:pPr>
      <w:r>
        <w:t>3. 采购前必须向机器人厂家要什么</w:t>
      </w:r>
    </w:p>
    <w:p>
      <w:r>
        <w:t>先取得每个手臂/腿部的型号、硬件版本、接口图和通信协议，再冻结规格。缺失的内容在采购表中填写 TBD，不凭线色或其他机器人型号推断。</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sz w:val="18"/>
              </w:rPr>
              <w:t>数据</w:t>
            </w:r>
          </w:p>
        </w:tc>
        <w:tc>
          <w:tcPr>
            <w:tcW w:type="dxa" w:w="4933"/>
          </w:tcPr>
          <w:p>
            <w:r>
              <w:rPr>
                <w:b/>
                <w:sz w:val="18"/>
              </w:rPr>
              <w:t>对硬件选型的影响</w:t>
            </w:r>
          </w:p>
        </w:tc>
      </w:tr>
      <w:tr>
        <w:tc>
          <w:tcPr>
            <w:tcW w:type="dxa" w:w="4933"/>
          </w:tcPr>
          <w:p>
            <w:r>
              <w:rPr>
                <w:b w:val="0"/>
                <w:sz w:val="18"/>
              </w:rPr>
              <w:t>允许的 DC 输入范围、欠压/过压阈值</w:t>
            </w:r>
          </w:p>
        </w:tc>
        <w:tc>
          <w:tcPr>
            <w:tcW w:type="dxa" w:w="4933"/>
          </w:tcPr>
          <w:p>
            <w:r>
              <w:rPr>
                <w:b w:val="0"/>
                <w:sz w:val="18"/>
              </w:rPr>
              <w:t>PS1 电压范围、保护阈值与电压传感器量程</w:t>
            </w:r>
          </w:p>
        </w:tc>
      </w:tr>
      <w:tr>
        <w:tc>
          <w:tcPr>
            <w:tcW w:type="dxa" w:w="4933"/>
          </w:tcPr>
          <w:p>
            <w:r>
              <w:rPr>
                <w:b w:val="0"/>
                <w:sz w:val="18"/>
              </w:rPr>
              <w:t>整个肢体持续/峰值 DC 输入电流及持续时间</w:t>
            </w:r>
          </w:p>
        </w:tc>
        <w:tc>
          <w:tcPr>
            <w:tcW w:type="dxa" w:w="4933"/>
          </w:tcPr>
          <w:p>
            <w:r>
              <w:rPr>
                <w:b w:val="0"/>
                <w:sz w:val="18"/>
              </w:rPr>
              <w:t>电源功率、支路保护、线径、连接器与散热</w:t>
            </w:r>
          </w:p>
        </w:tc>
      </w:tr>
      <w:tr>
        <w:tc>
          <w:tcPr>
            <w:tcW w:type="dxa" w:w="4933"/>
          </w:tcPr>
          <w:p>
            <w:r>
              <w:rPr>
                <w:b w:val="0"/>
                <w:sz w:val="18"/>
              </w:rPr>
              <w:t>上电浪涌、总输入电容、允许上电顺序</w:t>
            </w:r>
          </w:p>
        </w:tc>
        <w:tc>
          <w:tcPr>
            <w:tcW w:type="dxa" w:w="4933"/>
          </w:tcPr>
          <w:p>
            <w:r>
              <w:rPr>
                <w:b w:val="0"/>
                <w:sz w:val="18"/>
              </w:rPr>
              <w:t>是否增加预充、接触器或专用电源分配盒</w:t>
            </w:r>
          </w:p>
        </w:tc>
      </w:tr>
      <w:tr>
        <w:tc>
          <w:tcPr>
            <w:tcW w:type="dxa" w:w="4933"/>
          </w:tcPr>
          <w:p>
            <w:r>
              <w:rPr>
                <w:b w:val="0"/>
                <w:sz w:val="18"/>
              </w:rPr>
              <w:t>减速/下放的最大回馈能量及驱动内部吸收能力</w:t>
            </w:r>
          </w:p>
        </w:tc>
        <w:tc>
          <w:tcPr>
            <w:tcW w:type="dxa" w:w="4933"/>
          </w:tcPr>
          <w:p>
            <w:r>
              <w:rPr>
                <w:b w:val="0"/>
                <w:sz w:val="18"/>
              </w:rPr>
              <w:t>回馈耗能、制动电阻或双向源的容量</w:t>
            </w:r>
          </w:p>
        </w:tc>
      </w:tr>
      <w:tr>
        <w:tc>
          <w:tcPr>
            <w:tcW w:type="dxa" w:w="4933"/>
          </w:tcPr>
          <w:p>
            <w:r>
              <w:rPr>
                <w:b w:val="0"/>
                <w:sz w:val="18"/>
              </w:rPr>
              <w:t>动力、通信、PE、屏蔽与参考地定义</w:t>
            </w:r>
          </w:p>
        </w:tc>
        <w:tc>
          <w:tcPr>
            <w:tcW w:type="dxa" w:w="4933"/>
          </w:tcPr>
          <w:p>
            <w:r>
              <w:rPr>
                <w:b w:val="0"/>
                <w:sz w:val="18"/>
              </w:rPr>
              <w:t>转接线束和接地方案；不能把 DC−当作 PE</w:t>
            </w:r>
          </w:p>
        </w:tc>
      </w:tr>
      <w:tr>
        <w:tc>
          <w:tcPr>
            <w:tcW w:type="dxa" w:w="4933"/>
          </w:tcPr>
          <w:p>
            <w:r>
              <w:rPr>
                <w:b w:val="0"/>
                <w:sz w:val="18"/>
              </w:rPr>
              <w:t>内部节点数量、CAN/CAN FD 协议与终端配置</w:t>
            </w:r>
          </w:p>
        </w:tc>
        <w:tc>
          <w:tcPr>
            <w:tcW w:type="dxa" w:w="4933"/>
          </w:tcPr>
          <w:p>
            <w:r>
              <w:rPr>
                <w:b w:val="0"/>
                <w:sz w:val="18"/>
              </w:rPr>
              <w:t>总线拓扑、节点 ID、速率与接口软件</w:t>
            </w:r>
          </w:p>
        </w:tc>
      </w:tr>
      <w:tr>
        <w:tc>
          <w:tcPr>
            <w:tcW w:type="dxa" w:w="4933"/>
          </w:tcPr>
          <w:p>
            <w:r>
              <w:rPr>
                <w:b w:val="0"/>
                <w:sz w:val="18"/>
              </w:rPr>
              <w:t>逻辑/抱闸辅助供电及厂家使能接口</w:t>
            </w:r>
          </w:p>
        </w:tc>
        <w:tc>
          <w:tcPr>
            <w:tcW w:type="dxa" w:w="4933"/>
          </w:tcPr>
          <w:p>
            <w:r>
              <w:rPr>
                <w:b w:val="0"/>
                <w:sz w:val="18"/>
              </w:rPr>
              <w:t>辅助电源、控制继电器或安全接口模块</w:t>
            </w:r>
          </w:p>
        </w:tc>
      </w:tr>
      <w:tr>
        <w:tc>
          <w:tcPr>
            <w:tcW w:type="dxa" w:w="4933"/>
          </w:tcPr>
          <w:p>
            <w:r>
              <w:rPr>
                <w:b w:val="0"/>
                <w:sz w:val="18"/>
              </w:rPr>
              <w:t>STO 或其他安全停机接口及限制</w:t>
            </w:r>
          </w:p>
        </w:tc>
        <w:tc>
          <w:tcPr>
            <w:tcW w:type="dxa" w:w="4933"/>
          </w:tcPr>
          <w:p>
            <w:r>
              <w:rPr>
                <w:b w:val="0"/>
                <w:sz w:val="18"/>
              </w:rPr>
              <w:t>安全链设计；无 STO 时须另评估安全停机方式</w:t>
            </w:r>
          </w:p>
        </w:tc>
      </w:tr>
      <w:tr>
        <w:tc>
          <w:tcPr>
            <w:tcW w:type="dxa" w:w="4933"/>
          </w:tcPr>
          <w:p>
            <w:r>
              <w:rPr>
                <w:b w:val="0"/>
                <w:sz w:val="18"/>
              </w:rPr>
              <w:t>总质量、最大关节力矩、运动范围与安装孔</w:t>
            </w:r>
          </w:p>
        </w:tc>
        <w:tc>
          <w:tcPr>
            <w:tcW w:type="dxa" w:w="4933"/>
          </w:tcPr>
          <w:p>
            <w:r>
              <w:rPr>
                <w:b w:val="0"/>
                <w:sz w:val="18"/>
              </w:rPr>
              <w:t>工装、重力支撑、机械限位、防护空间</w:t>
            </w:r>
          </w:p>
        </w:tc>
      </w:tr>
      <w:tr>
        <w:tc>
          <w:tcPr>
            <w:tcW w:type="dxa" w:w="4933"/>
          </w:tcPr>
          <w:p>
            <w:r>
              <w:rPr>
                <w:b w:val="0"/>
                <w:sz w:val="18"/>
              </w:rPr>
              <w:t>已集成的内部配电、保护及线束额定</w:t>
            </w:r>
          </w:p>
        </w:tc>
        <w:tc>
          <w:tcPr>
            <w:tcW w:type="dxa" w:w="4933"/>
          </w:tcPr>
          <w:p>
            <w:r>
              <w:rPr>
                <w:b w:val="0"/>
                <w:sz w:val="18"/>
              </w:rPr>
              <w:t>是否还需要肢体端局部分配保护</w:t>
            </w:r>
          </w:p>
        </w:tc>
      </w:tr>
    </w:tbl>
    <w:p/>
    <w:p>
      <w:r>
        <w:t>填写一份接口清单对应一个总成版本；采购单、线束图、软件配置和测试记录使用同一版本号。四路都是同类型总成时可以复用模板，但仍应为每个实物记录序列号和节点配置。</w:t>
      </w:r>
    </w:p>
    <w:p>
      <w:r>
        <w:br w:type="page"/>
      </w:r>
    </w:p>
    <w:p>
      <w:pPr>
        <w:pStyle w:val="Heading1"/>
      </w:pPr>
      <w:r>
        <w:t>4. 要购买的模块：按功能分组</w:t>
      </w:r>
    </w:p>
    <w:p>
      <w:pPr>
        <w:pStyle w:val="Heading2"/>
      </w:pPr>
      <w:r>
        <w:t>4.1 柜内基础模块</w:t>
      </w:r>
    </w:p>
    <w:p>
      <w:r>
        <w:t>以下为四通道配置的参考器件，采购时按实际应用确定规格。保护器件、继电器和功率开关的额定条件、短路容量、安装降额及兼容性必须在下单前核实；不能把“C25”或“60 A”铭牌单独当作整个系统的允许电流。</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sz w:val="18"/>
              </w:rPr>
              <w:t>模块</w:t>
            </w:r>
          </w:p>
        </w:tc>
        <w:tc>
          <w:tcPr>
            <w:tcW w:type="dxa" w:w="3289"/>
          </w:tcPr>
          <w:p>
            <w:r>
              <w:rPr>
                <w:b/>
                <w:sz w:val="18"/>
              </w:rPr>
              <w:t>参考器件 / 数量</w:t>
            </w:r>
          </w:p>
        </w:tc>
        <w:tc>
          <w:tcPr>
            <w:tcW w:type="dxa" w:w="3289"/>
          </w:tcPr>
          <w:p>
            <w:r>
              <w:rPr>
                <w:b/>
                <w:sz w:val="18"/>
              </w:rPr>
              <w:t>用途及采购约束</w:t>
            </w:r>
          </w:p>
        </w:tc>
      </w:tr>
      <w:tr>
        <w:tc>
          <w:tcPr>
            <w:tcW w:type="dxa" w:w="3289"/>
          </w:tcPr>
          <w:p>
            <w:r>
              <w:rPr>
                <w:b w:val="0"/>
                <w:sz w:val="18"/>
              </w:rPr>
              <w:t>进线与交流分支保护</w:t>
            </w:r>
          </w:p>
        </w:tc>
        <w:tc>
          <w:tcPr>
            <w:tcW w:type="dxa" w:w="3289"/>
          </w:tcPr>
          <w:p>
            <w:r>
              <w:rPr>
                <w:b w:val="0"/>
                <w:sz w:val="18"/>
              </w:rPr>
              <w:t>QF0 A9DC3625 ×1；QF1 A9F18225 ×1；QF24 A9F18206 ×1</w:t>
            </w:r>
          </w:p>
        </w:tc>
        <w:tc>
          <w:tcPr>
            <w:tcW w:type="dxa" w:w="3289"/>
          </w:tcPr>
          <w:p>
            <w:r>
              <w:rPr>
                <w:b w:val="0"/>
                <w:sz w:val="18"/>
              </w:rPr>
              <w:t>交流输入与分支保护；现场电源、RCD 类型、短路能力和线缆协调需重新核算</w:t>
            </w:r>
          </w:p>
        </w:tc>
      </w:tr>
      <w:tr>
        <w:tc>
          <w:tcPr>
            <w:tcW w:type="dxa" w:w="3289"/>
          </w:tcPr>
          <w:p>
            <w:r>
              <w:rPr>
                <w:b w:val="0"/>
                <w:sz w:val="18"/>
              </w:rPr>
              <w:t>主接触器</w:t>
            </w:r>
          </w:p>
        </w:tc>
        <w:tc>
          <w:tcPr>
            <w:tcW w:type="dxa" w:w="3289"/>
          </w:tcPr>
          <w:p>
            <w:r>
              <w:rPr>
                <w:b w:val="0"/>
                <w:sz w:val="18"/>
              </w:rPr>
              <w:t>KM0 LC1D25BD ×1</w:t>
            </w:r>
          </w:p>
        </w:tc>
        <w:tc>
          <w:tcPr>
            <w:tcW w:type="dxa" w:w="3289"/>
          </w:tcPr>
          <w:p>
            <w:r>
              <w:rPr>
                <w:b w:val="0"/>
                <w:sz w:val="18"/>
              </w:rPr>
              <w:t>24 VDC 线圈；切断 PS1 的交流输入，不是 60 A DC 母线接触器</w:t>
            </w:r>
          </w:p>
        </w:tc>
      </w:tr>
      <w:tr>
        <w:tc>
          <w:tcPr>
            <w:tcW w:type="dxa" w:w="3289"/>
          </w:tcPr>
          <w:p>
            <w:r>
              <w:rPr>
                <w:b w:val="0"/>
                <w:sz w:val="18"/>
              </w:rPr>
              <w:t>可调直流源</w:t>
            </w:r>
          </w:p>
        </w:tc>
        <w:tc>
          <w:tcPr>
            <w:tcW w:type="dxa" w:w="3289"/>
          </w:tcPr>
          <w:p>
            <w:r>
              <w:rPr>
                <w:b w:val="0"/>
                <w:sz w:val="18"/>
              </w:rPr>
              <w:t>PS1 6236-60-60 ×1</w:t>
            </w:r>
          </w:p>
        </w:tc>
        <w:tc>
          <w:tcPr>
            <w:tcW w:type="dxa" w:w="3289"/>
          </w:tcPr>
          <w:p>
            <w:r>
              <w:rPr>
                <w:b w:val="0"/>
                <w:sz w:val="18"/>
              </w:rPr>
              <w:t>设计标称 0～60 V、60 A、3.6 kW；铭牌、交流输入和远程协议需核实；吸收回馈能力未确认</w:t>
            </w:r>
          </w:p>
        </w:tc>
      </w:tr>
      <w:tr>
        <w:tc>
          <w:tcPr>
            <w:tcW w:type="dxa" w:w="3289"/>
          </w:tcPr>
          <w:p>
            <w:r>
              <w:rPr>
                <w:b w:val="0"/>
                <w:sz w:val="18"/>
              </w:rPr>
              <w:t>24 V 控制电源</w:t>
            </w:r>
          </w:p>
        </w:tc>
        <w:tc>
          <w:tcPr>
            <w:tcW w:type="dxa" w:w="3289"/>
          </w:tcPr>
          <w:p>
            <w:r>
              <w:rPr>
                <w:b w:val="0"/>
                <w:sz w:val="18"/>
              </w:rPr>
              <w:t>PS24 HDR-100-24N ×1</w:t>
            </w:r>
          </w:p>
        </w:tc>
        <w:tc>
          <w:tcPr>
            <w:tcW w:type="dxa" w:w="3289"/>
          </w:tcPr>
          <w:p>
            <w:r>
              <w:rPr>
                <w:b w:val="0"/>
                <w:sz w:val="18"/>
              </w:rPr>
              <w:t>参考 24 V / 4.2 A；核算 PLC、传感器、继电器、通信及条件性辅助负载</w:t>
            </w:r>
          </w:p>
        </w:tc>
      </w:tr>
      <w:tr>
        <w:tc>
          <w:tcPr>
            <w:tcW w:type="dxa" w:w="3289"/>
          </w:tcPr>
          <w:p>
            <w:r>
              <w:rPr>
                <w:b w:val="0"/>
                <w:sz w:val="18"/>
              </w:rPr>
              <w:t>PLC</w:t>
            </w:r>
          </w:p>
        </w:tc>
        <w:tc>
          <w:tcPr>
            <w:tcW w:type="dxa" w:w="3289"/>
          </w:tcPr>
          <w:p>
            <w:r>
              <w:rPr>
                <w:b w:val="0"/>
                <w:sz w:val="18"/>
              </w:rPr>
              <w:t>CPU 1214C G2，6ES7214-1AH50-0XB0 ×1</w:t>
            </w:r>
          </w:p>
        </w:tc>
        <w:tc>
          <w:tcPr>
            <w:tcW w:type="dxa" w:w="3289"/>
          </w:tcPr>
          <w:p>
            <w:r>
              <w:rPr>
                <w:b w:val="0"/>
                <w:sz w:val="18"/>
              </w:rPr>
              <w:t>柜内普通控制和通信；不是安全 PLC</w:t>
            </w:r>
          </w:p>
        </w:tc>
      </w:tr>
      <w:tr>
        <w:tc>
          <w:tcPr>
            <w:tcW w:type="dxa" w:w="3289"/>
          </w:tcPr>
          <w:p>
            <w:r>
              <w:rPr>
                <w:b w:val="0"/>
                <w:sz w:val="18"/>
              </w:rPr>
              <w:t>模拟量模块</w:t>
            </w:r>
          </w:p>
        </w:tc>
        <w:tc>
          <w:tcPr>
            <w:tcW w:type="dxa" w:w="3289"/>
          </w:tcPr>
          <w:p>
            <w:r>
              <w:rPr>
                <w:b w:val="0"/>
                <w:sz w:val="18"/>
              </w:rPr>
              <w:t>SM1231 AI8，6ES7231-4HF50-0XB0 ×1</w:t>
            </w:r>
          </w:p>
        </w:tc>
        <w:tc>
          <w:tcPr>
            <w:tcW w:type="dxa" w:w="3289"/>
          </w:tcPr>
          <w:p>
            <w:r>
              <w:rPr>
                <w:b w:val="0"/>
                <w:sz w:val="18"/>
              </w:rPr>
              <w:t>八路输入给四电压+四电流，已用满；差分输入不等于通道隔离</w:t>
            </w:r>
          </w:p>
        </w:tc>
      </w:tr>
      <w:tr>
        <w:tc>
          <w:tcPr>
            <w:tcW w:type="dxa" w:w="3289"/>
          </w:tcPr>
          <w:p>
            <w:r>
              <w:rPr>
                <w:b w:val="0"/>
                <w:sz w:val="18"/>
              </w:rPr>
              <w:t>RS485 板</w:t>
            </w:r>
          </w:p>
        </w:tc>
        <w:tc>
          <w:tcPr>
            <w:tcW w:type="dxa" w:w="3289"/>
          </w:tcPr>
          <w:p>
            <w:r>
              <w:rPr>
                <w:b w:val="0"/>
                <w:sz w:val="18"/>
              </w:rPr>
              <w:t>CB1241，6ES7241-1CA50-0XB0 ×1</w:t>
            </w:r>
          </w:p>
        </w:tc>
        <w:tc>
          <w:tcPr>
            <w:tcW w:type="dxa" w:w="3289"/>
          </w:tcPr>
          <w:p>
            <w:r>
              <w:rPr>
                <w:b w:val="0"/>
                <w:sz w:val="18"/>
              </w:rPr>
              <w:t>PLC 控制 PS1；由 PLC 背板供电，不另接一个外部 L+/M 电源口</w:t>
            </w:r>
          </w:p>
        </w:tc>
      </w:tr>
      <w:tr>
        <w:tc>
          <w:tcPr>
            <w:tcW w:type="dxa" w:w="3289"/>
          </w:tcPr>
          <w:p>
            <w:r>
              <w:rPr>
                <w:b w:val="0"/>
                <w:sz w:val="18"/>
              </w:rPr>
              <w:t>中间继电器及底座</w:t>
            </w:r>
          </w:p>
        </w:tc>
        <w:tc>
          <w:tcPr>
            <w:tcW w:type="dxa" w:w="3289"/>
          </w:tcPr>
          <w:p>
            <w:r>
              <w:rPr>
                <w:b w:val="0"/>
                <w:sz w:val="18"/>
              </w:rPr>
              <w:t>RXM2AB2BD + RXZE1M2C ×5 套</w:t>
            </w:r>
          </w:p>
        </w:tc>
        <w:tc>
          <w:tcPr>
            <w:tcW w:type="dxa" w:w="3289"/>
          </w:tcPr>
          <w:p>
            <w:r>
              <w:rPr>
                <w:b w:val="0"/>
                <w:sz w:val="18"/>
              </w:rPr>
              <w:t>K0、K2～K5；驱动接触器/支路许可，核查线圈抑制与极性</w:t>
            </w:r>
          </w:p>
        </w:tc>
      </w:tr>
      <w:tr>
        <w:tc>
          <w:tcPr>
            <w:tcW w:type="dxa" w:w="3289"/>
          </w:tcPr>
          <w:p>
            <w:r>
              <w:rPr>
                <w:b w:val="0"/>
                <w:sz w:val="18"/>
              </w:rPr>
              <w:t>支路直流保护</w:t>
            </w:r>
          </w:p>
        </w:tc>
        <w:tc>
          <w:tcPr>
            <w:tcW w:type="dxa" w:w="3289"/>
          </w:tcPr>
          <w:p>
            <w:r>
              <w:rPr>
                <w:b w:val="0"/>
                <w:sz w:val="18"/>
              </w:rPr>
              <w:t>QFDC1～4，A9N18225 ×4</w:t>
            </w:r>
          </w:p>
        </w:tc>
        <w:tc>
          <w:tcPr>
            <w:tcW w:type="dxa" w:w="3289"/>
          </w:tcPr>
          <w:p>
            <w:r>
              <w:rPr>
                <w:b w:val="0"/>
                <w:sz w:val="18"/>
              </w:rPr>
              <w:t>参考 DC 双极 C25；具体电压、极性、分断能力与隔离功能待供应商确认</w:t>
            </w:r>
          </w:p>
        </w:tc>
      </w:tr>
      <w:tr>
        <w:tc>
          <w:tcPr>
            <w:tcW w:type="dxa" w:w="3289"/>
          </w:tcPr>
          <w:p>
            <w:r>
              <w:rPr>
                <w:b w:val="0"/>
                <w:sz w:val="18"/>
              </w:rPr>
              <w:t>直流固态开关</w:t>
            </w:r>
          </w:p>
        </w:tc>
        <w:tc>
          <w:tcPr>
            <w:tcW w:type="dxa" w:w="3289"/>
          </w:tcPr>
          <w:p>
            <w:r>
              <w:rPr>
                <w:b w:val="0"/>
                <w:sz w:val="18"/>
              </w:rPr>
              <w:t>KD1～4，ZTP-60DD ×4</w:t>
            </w:r>
          </w:p>
        </w:tc>
        <w:tc>
          <w:tcPr>
            <w:tcW w:type="dxa" w:w="3289"/>
          </w:tcPr>
          <w:p>
            <w:r>
              <w:rPr>
                <w:b w:val="0"/>
                <w:sz w:val="18"/>
              </w:rPr>
              <w:t>PLC/人工许可下通断动力正极；匹配散热器及保护；不作为安全隔离装置</w:t>
            </w:r>
          </w:p>
        </w:tc>
      </w:tr>
      <w:tr>
        <w:tc>
          <w:tcPr>
            <w:tcW w:type="dxa" w:w="3289"/>
          </w:tcPr>
          <w:p>
            <w:r>
              <w:rPr>
                <w:b w:val="0"/>
                <w:sz w:val="18"/>
              </w:rPr>
              <w:t>电流变送器</w:t>
            </w:r>
          </w:p>
        </w:tc>
        <w:tc>
          <w:tcPr>
            <w:tcW w:type="dxa" w:w="3289"/>
          </w:tcPr>
          <w:p>
            <w:r>
              <w:rPr>
                <w:b w:val="0"/>
                <w:sz w:val="18"/>
              </w:rPr>
              <w:t>IS1～4，VD-D14-15 ×4</w:t>
            </w:r>
          </w:p>
        </w:tc>
        <w:tc>
          <w:tcPr>
            <w:tcW w:type="dxa" w:w="3289"/>
          </w:tcPr>
          <w:p>
            <w:r>
              <w:rPr>
                <w:b w:val="0"/>
                <w:sz w:val="18"/>
              </w:rPr>
              <w:t>参考 0～50 A → 0～10 V，24 V 供电；单向量程不能完整观察负向回馈</w:t>
            </w:r>
          </w:p>
        </w:tc>
      </w:tr>
      <w:tr>
        <w:tc>
          <w:tcPr>
            <w:tcW w:type="dxa" w:w="3289"/>
          </w:tcPr>
          <w:p>
            <w:r>
              <w:rPr>
                <w:b w:val="0"/>
                <w:sz w:val="18"/>
              </w:rPr>
              <w:t>电压变送器</w:t>
            </w:r>
          </w:p>
        </w:tc>
        <w:tc>
          <w:tcPr>
            <w:tcW w:type="dxa" w:w="3289"/>
          </w:tcPr>
          <w:p>
            <w:r>
              <w:rPr>
                <w:b w:val="0"/>
                <w:sz w:val="18"/>
              </w:rPr>
              <w:t>VS1～4，VD-D13U 定制 ×4</w:t>
            </w:r>
          </w:p>
        </w:tc>
        <w:tc>
          <w:tcPr>
            <w:tcW w:type="dxa" w:w="3289"/>
          </w:tcPr>
          <w:p>
            <w:r>
              <w:rPr>
                <w:b w:val="0"/>
                <w:sz w:val="18"/>
              </w:rPr>
              <w:t>目标规格 0～100 V → 0～10 V；逐通道按实际订货量程配置、换算与校准</w:t>
            </w:r>
          </w:p>
        </w:tc>
      </w:tr>
      <w:tr>
        <w:tc>
          <w:tcPr>
            <w:tcW w:type="dxa" w:w="3289"/>
          </w:tcPr>
          <w:p>
            <w:r>
              <w:rPr>
                <w:b w:val="0"/>
                <w:sz w:val="18"/>
              </w:rPr>
              <w:t>CAN FD 接口</w:t>
            </w:r>
          </w:p>
        </w:tc>
        <w:tc>
          <w:tcPr>
            <w:tcW w:type="dxa" w:w="3289"/>
          </w:tcPr>
          <w:p>
            <w:r>
              <w:rPr>
                <w:b w:val="0"/>
                <w:sz w:val="18"/>
              </w:rPr>
              <w:t>ZLG USBCANFD-400U ×1</w:t>
            </w:r>
          </w:p>
        </w:tc>
        <w:tc>
          <w:tcPr>
            <w:tcW w:type="dxa" w:w="3289"/>
          </w:tcPr>
          <w:p>
            <w:r>
              <w:rPr>
                <w:b w:val="0"/>
                <w:sz w:val="18"/>
              </w:rPr>
              <w:t>四个 CAN FD 网络接口接 Linux USB；核对 SDK、Linux 架构及驱动支持</w:t>
            </w:r>
          </w:p>
        </w:tc>
      </w:tr>
      <w:tr>
        <w:tc>
          <w:tcPr>
            <w:tcW w:type="dxa" w:w="3289"/>
          </w:tcPr>
          <w:p>
            <w:r>
              <w:rPr>
                <w:b w:val="0"/>
                <w:sz w:val="18"/>
              </w:rPr>
              <w:t>端子、母线与 PE</w:t>
            </w:r>
          </w:p>
        </w:tc>
        <w:tc>
          <w:tcPr>
            <w:tcW w:type="dxa" w:w="3289"/>
          </w:tcPr>
          <w:p>
            <w:r>
              <w:rPr>
                <w:b w:val="0"/>
                <w:sz w:val="18"/>
              </w:rPr>
              <w:t>正/负动力分配、24 V/0 V 分配、PE 排</w:t>
            </w:r>
          </w:p>
        </w:tc>
        <w:tc>
          <w:tcPr>
            <w:tcW w:type="dxa" w:w="3289"/>
          </w:tcPr>
          <w:p>
            <w:r>
              <w:rPr>
                <w:b w:val="0"/>
                <w:sz w:val="18"/>
              </w:rPr>
              <w:t>额定电流、线径、接线容量、温升及标识须满足设计</w:t>
            </w:r>
          </w:p>
        </w:tc>
      </w:tr>
      <w:tr>
        <w:tc>
          <w:tcPr>
            <w:tcW w:type="dxa" w:w="3289"/>
          </w:tcPr>
          <w:p>
            <w:r>
              <w:rPr>
                <w:b w:val="0"/>
                <w:sz w:val="18"/>
              </w:rPr>
              <w:t>操作与指示</w:t>
            </w:r>
          </w:p>
        </w:tc>
        <w:tc>
          <w:tcPr>
            <w:tcW w:type="dxa" w:w="3289"/>
          </w:tcPr>
          <w:p>
            <w:r>
              <w:rPr>
                <w:b w:val="0"/>
                <w:sz w:val="18"/>
              </w:rPr>
              <w:t>四路人工许可、灯塔、控制复位、柜体附件</w:t>
            </w:r>
          </w:p>
        </w:tc>
        <w:tc>
          <w:tcPr>
            <w:tcW w:type="dxa" w:w="3289"/>
          </w:tcPr>
          <w:p>
            <w:r>
              <w:rPr>
                <w:b w:val="0"/>
                <w:sz w:val="18"/>
              </w:rPr>
              <w:t>SRESET 用于控制电源复位，不是急停；H0 细支线需匹配保护</w:t>
            </w:r>
          </w:p>
        </w:tc>
      </w:tr>
    </w:tbl>
    <w:p/>
    <w:p>
      <w:r>
        <w:t>HDR-100-24N 的规格应按厂家版本核对，不与 HDR-100-24 混用。Mean Well 数据表（https://www.meanwell.com/Upload/PDF/HDR-100/HDR-100-spec.pdf）。CPU 与 AI 的能力边界见 Siemens CPU 通信规格（https://docs.tia.siemens.cloud/r/simatic_s7_1200_g2_manual_collection_enus_20/technical-specifications/cpu-1214c/communications） 和 SM1231 AI8 规格（https://docs.tia.siemens.cloud/r/simatic_s7_1200_g2_manual_collection_enus_20/technical-specifications/analog-signal-modules-sms/sm-1231-ai-8x14bit）。</w:t>
      </w:r>
    </w:p>
    <w:p>
      <w:pPr>
        <w:pStyle w:val="Heading2"/>
      </w:pPr>
      <w:r>
        <w:t>4.2 柜外必须准备的硬件</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sz w:val="18"/>
              </w:rPr>
              <w:t>硬件</w:t>
            </w:r>
          </w:p>
        </w:tc>
        <w:tc>
          <w:tcPr>
            <w:tcW w:type="dxa" w:w="3289"/>
          </w:tcPr>
          <w:p>
            <w:r>
              <w:rPr>
                <w:b/>
                <w:sz w:val="18"/>
              </w:rPr>
              <w:t>四工位示例数量</w:t>
            </w:r>
          </w:p>
        </w:tc>
        <w:tc>
          <w:tcPr>
            <w:tcW w:type="dxa" w:w="3289"/>
          </w:tcPr>
          <w:p>
            <w:r>
              <w:rPr>
                <w:b/>
                <w:sz w:val="18"/>
              </w:rPr>
              <w:t>选型要点</w:t>
            </w:r>
          </w:p>
        </w:tc>
      </w:tr>
      <w:tr>
        <w:tc>
          <w:tcPr>
            <w:tcW w:type="dxa" w:w="3289"/>
          </w:tcPr>
          <w:p>
            <w:r>
              <w:rPr>
                <w:b w:val="0"/>
                <w:sz w:val="18"/>
              </w:rPr>
              <w:t>Linux PC / 工控机</w:t>
            </w:r>
          </w:p>
        </w:tc>
        <w:tc>
          <w:tcPr>
            <w:tcW w:type="dxa" w:w="3289"/>
          </w:tcPr>
          <w:p>
            <w:r>
              <w:rPr>
                <w:b w:val="0"/>
                <w:sz w:val="18"/>
              </w:rPr>
              <w:t>1 台</w:t>
            </w:r>
          </w:p>
        </w:tc>
        <w:tc>
          <w:tcPr>
            <w:tcW w:type="dxa" w:w="3289"/>
          </w:tcPr>
          <w:p>
            <w:r>
              <w:rPr>
                <w:b w:val="0"/>
                <w:sz w:val="18"/>
              </w:rPr>
              <w:t>稳定以太网与 USB；核对 CAN SDK 运行环境；存储测试日志</w:t>
            </w:r>
          </w:p>
        </w:tc>
      </w:tr>
      <w:tr>
        <w:tc>
          <w:tcPr>
            <w:tcW w:type="dxa" w:w="3289"/>
          </w:tcPr>
          <w:p>
            <w:r>
              <w:rPr>
                <w:b w:val="0"/>
                <w:sz w:val="18"/>
              </w:rPr>
              <w:t>以太网交换机</w:t>
            </w:r>
          </w:p>
        </w:tc>
        <w:tc>
          <w:tcPr>
            <w:tcW w:type="dxa" w:w="3289"/>
          </w:tcPr>
          <w:p>
            <w:r>
              <w:rPr>
                <w:b w:val="0"/>
                <w:sz w:val="18"/>
              </w:rPr>
              <w:t>1 台，按网络布局需要</w:t>
            </w:r>
          </w:p>
        </w:tc>
        <w:tc>
          <w:tcPr>
            <w:tcW w:type="dxa" w:w="3289"/>
          </w:tcPr>
          <w:p>
            <w:r>
              <w:rPr>
                <w:b w:val="0"/>
                <w:sz w:val="18"/>
              </w:rPr>
              <w:t>让上位机与工程电脑同网段接 PLC；端口数、工业环境与供电匹配</w:t>
            </w:r>
          </w:p>
        </w:tc>
      </w:tr>
      <w:tr>
        <w:tc>
          <w:tcPr>
            <w:tcW w:type="dxa" w:w="3289"/>
          </w:tcPr>
          <w:p>
            <w:r>
              <w:rPr>
                <w:b w:val="0"/>
                <w:sz w:val="18"/>
              </w:rPr>
              <w:t>Ethernet / USB 线缆</w:t>
            </w:r>
          </w:p>
        </w:tc>
        <w:tc>
          <w:tcPr>
            <w:tcW w:type="dxa" w:w="3289"/>
          </w:tcPr>
          <w:p>
            <w:r>
              <w:rPr>
                <w:b w:val="0"/>
                <w:sz w:val="18"/>
              </w:rPr>
              <w:t>按布置</w:t>
            </w:r>
          </w:p>
        </w:tc>
        <w:tc>
          <w:tcPr>
            <w:tcW w:type="dxa" w:w="3289"/>
          </w:tcPr>
          <w:p>
            <w:r>
              <w:rPr>
                <w:b w:val="0"/>
                <w:sz w:val="18"/>
              </w:rPr>
              <w:t>不依靠悬挂的 USB 插头承受拉力；运动范围内线束需机械固定</w:t>
            </w:r>
          </w:p>
        </w:tc>
      </w:tr>
      <w:tr>
        <w:tc>
          <w:tcPr>
            <w:tcW w:type="dxa" w:w="3289"/>
          </w:tcPr>
          <w:p>
            <w:r>
              <w:rPr>
                <w:b w:val="0"/>
                <w:sz w:val="18"/>
              </w:rPr>
              <w:t>柜到肢体动力线束</w:t>
            </w:r>
          </w:p>
        </w:tc>
        <w:tc>
          <w:tcPr>
            <w:tcW w:type="dxa" w:w="3289"/>
          </w:tcPr>
          <w:p>
            <w:r>
              <w:rPr>
                <w:b w:val="0"/>
                <w:sz w:val="18"/>
              </w:rPr>
              <w:t>4 套</w:t>
            </w:r>
          </w:p>
        </w:tc>
        <w:tc>
          <w:tcPr>
            <w:tcW w:type="dxa" w:w="3289"/>
          </w:tcPr>
          <w:p>
            <w:r>
              <w:rPr>
                <w:b w:val="0"/>
                <w:sz w:val="18"/>
              </w:rPr>
              <w:t>最大电流、长度、压降、弯曲寿命、连接器额定与防错插</w:t>
            </w:r>
          </w:p>
        </w:tc>
      </w:tr>
      <w:tr>
        <w:tc>
          <w:tcPr>
            <w:tcW w:type="dxa" w:w="3289"/>
          </w:tcPr>
          <w:p>
            <w:r>
              <w:rPr>
                <w:b w:val="0"/>
                <w:sz w:val="18"/>
              </w:rPr>
              <w:t>柜到肢体 CAN 线束</w:t>
            </w:r>
          </w:p>
        </w:tc>
        <w:tc>
          <w:tcPr>
            <w:tcW w:type="dxa" w:w="3289"/>
          </w:tcPr>
          <w:p>
            <w:r>
              <w:rPr>
                <w:b w:val="0"/>
                <w:sz w:val="18"/>
              </w:rPr>
              <w:t>4 套</w:t>
            </w:r>
          </w:p>
        </w:tc>
        <w:tc>
          <w:tcPr>
            <w:tcW w:type="dxa" w:w="3289"/>
          </w:tcPr>
          <w:p>
            <w:r>
              <w:rPr>
                <w:b w:val="0"/>
                <w:sz w:val="18"/>
              </w:rPr>
              <w:t>阻抗匹配的屏蔽双绞线；检查两端终端、参考线与屏蔽方案</w:t>
            </w:r>
          </w:p>
        </w:tc>
      </w:tr>
      <w:tr>
        <w:tc>
          <w:tcPr>
            <w:tcW w:type="dxa" w:w="3289"/>
          </w:tcPr>
          <w:p>
            <w:r>
              <w:rPr>
                <w:b w:val="0"/>
                <w:sz w:val="18"/>
              </w:rPr>
              <w:t>厂家端转接连接器/盒</w:t>
            </w:r>
          </w:p>
        </w:tc>
        <w:tc>
          <w:tcPr>
            <w:tcW w:type="dxa" w:w="3289"/>
          </w:tcPr>
          <w:p>
            <w:r>
              <w:rPr>
                <w:b w:val="0"/>
                <w:sz w:val="18"/>
              </w:rPr>
              <w:t>4 套</w:t>
            </w:r>
          </w:p>
        </w:tc>
        <w:tc>
          <w:tcPr>
            <w:tcW w:type="dxa" w:w="3289"/>
          </w:tcPr>
          <w:p>
            <w:r>
              <w:rPr>
                <w:b w:val="0"/>
                <w:sz w:val="18"/>
              </w:rPr>
              <w:t>必须按 OEM 针脚图；禁止通用四针口直接套用肢体针脚</w:t>
            </w:r>
          </w:p>
        </w:tc>
      </w:tr>
      <w:tr>
        <w:tc>
          <w:tcPr>
            <w:tcW w:type="dxa" w:w="3289"/>
          </w:tcPr>
          <w:p>
            <w:r>
              <w:rPr>
                <w:b w:val="0"/>
                <w:sz w:val="18"/>
              </w:rPr>
              <w:t>肢体固定工装、支撑与防护</w:t>
            </w:r>
          </w:p>
        </w:tc>
        <w:tc>
          <w:tcPr>
            <w:tcW w:type="dxa" w:w="3289"/>
          </w:tcPr>
          <w:p>
            <w:r>
              <w:rPr>
                <w:b w:val="0"/>
                <w:sz w:val="18"/>
              </w:rPr>
              <w:t>每工位 1 套</w:t>
            </w:r>
          </w:p>
        </w:tc>
        <w:tc>
          <w:tcPr>
            <w:tcW w:type="dxa" w:w="3289"/>
          </w:tcPr>
          <w:p>
            <w:r>
              <w:rPr>
                <w:b w:val="0"/>
                <w:sz w:val="18"/>
              </w:rPr>
              <w:t>承载、反力矩、惯性、坠落、夹挤点和运动包络</w:t>
            </w:r>
          </w:p>
        </w:tc>
      </w:tr>
      <w:tr>
        <w:tc>
          <w:tcPr>
            <w:tcW w:type="dxa" w:w="3289"/>
          </w:tcPr>
          <w:p>
            <w:r>
              <w:rPr>
                <w:b w:val="0"/>
                <w:sz w:val="18"/>
              </w:rPr>
              <w:t>电缆夹、护套、拖链、标签</w:t>
            </w:r>
          </w:p>
        </w:tc>
        <w:tc>
          <w:tcPr>
            <w:tcW w:type="dxa" w:w="3289"/>
          </w:tcPr>
          <w:p>
            <w:r>
              <w:rPr>
                <w:b w:val="0"/>
                <w:sz w:val="18"/>
              </w:rPr>
              <w:t>按长度与工位</w:t>
            </w:r>
          </w:p>
        </w:tc>
        <w:tc>
          <w:tcPr>
            <w:tcW w:type="dxa" w:w="3289"/>
          </w:tcPr>
          <w:p>
            <w:r>
              <w:rPr>
                <w:b w:val="0"/>
                <w:sz w:val="18"/>
              </w:rPr>
              <w:t>转接盒与插头两侧做应力释放；高电流端子防触碰</w:t>
            </w:r>
          </w:p>
        </w:tc>
      </w:tr>
    </w:tbl>
    <w:p/>
    <w:p>
      <w:r>
        <w:t>若只是单工位验证，先采购一套匹配的线束和工装。四路结构通过验证后再复制，避免四套线束同时按错误针脚制作。</w:t>
      </w:r>
    </w:p>
    <w:p>
      <w:pPr>
        <w:pStyle w:val="Heading2"/>
      </w:pPr>
      <w:r>
        <w:t>4.3 条件性模块和运动试验必需的评估项</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sz w:val="18"/>
              </w:rPr>
              <w:t>模块</w:t>
            </w:r>
          </w:p>
        </w:tc>
        <w:tc>
          <w:tcPr>
            <w:tcW w:type="dxa" w:w="3289"/>
          </w:tcPr>
          <w:p>
            <w:r>
              <w:rPr>
                <w:b/>
                <w:sz w:val="18"/>
              </w:rPr>
              <w:t>何时需要</w:t>
            </w:r>
          </w:p>
        </w:tc>
        <w:tc>
          <w:tcPr>
            <w:tcW w:type="dxa" w:w="3289"/>
          </w:tcPr>
          <w:p>
            <w:r>
              <w:rPr>
                <w:b/>
                <w:sz w:val="18"/>
              </w:rPr>
              <w:t>不能省略的判断</w:t>
            </w:r>
          </w:p>
        </w:tc>
      </w:tr>
      <w:tr>
        <w:tc>
          <w:tcPr>
            <w:tcW w:type="dxa" w:w="3289"/>
          </w:tcPr>
          <w:p>
            <w:r>
              <w:rPr>
                <w:b w:val="0"/>
                <w:sz w:val="18"/>
              </w:rPr>
              <w:t>肢体端配电与局部保护盒</w:t>
            </w:r>
          </w:p>
        </w:tc>
        <w:tc>
          <w:tcPr>
            <w:tcW w:type="dxa" w:w="3289"/>
          </w:tcPr>
          <w:p>
            <w:r>
              <w:rPr>
                <w:b w:val="0"/>
                <w:sz w:val="18"/>
              </w:rPr>
              <w:t>总成内部没有适当分配保护，或外接多个关节</w:t>
            </w:r>
          </w:p>
        </w:tc>
        <w:tc>
          <w:tcPr>
            <w:tcW w:type="dxa" w:w="3289"/>
          </w:tcPr>
          <w:p>
            <w:r>
              <w:rPr>
                <w:b w:val="0"/>
                <w:sz w:val="18"/>
              </w:rPr>
              <w:t>柜端保护不自动保护内部更细的分支线和插头</w:t>
            </w:r>
          </w:p>
        </w:tc>
      </w:tr>
      <w:tr>
        <w:tc>
          <w:tcPr>
            <w:tcW w:type="dxa" w:w="3289"/>
          </w:tcPr>
          <w:p>
            <w:r>
              <w:rPr>
                <w:b w:val="0"/>
                <w:sz w:val="18"/>
              </w:rPr>
              <w:t>预充模块</w:t>
            </w:r>
          </w:p>
        </w:tc>
        <w:tc>
          <w:tcPr>
            <w:tcW w:type="dxa" w:w="3289"/>
          </w:tcPr>
          <w:p>
            <w:r>
              <w:rPr>
                <w:b w:val="0"/>
                <w:sz w:val="18"/>
              </w:rPr>
              <w:t>输入电容/浪涌超过源、SSR或插头承受能力</w:t>
            </w:r>
          </w:p>
        </w:tc>
        <w:tc>
          <w:tcPr>
            <w:tcW w:type="dxa" w:w="3289"/>
          </w:tcPr>
          <w:p>
            <w:r>
              <w:rPr>
                <w:b w:val="0"/>
                <w:sz w:val="18"/>
              </w:rPr>
              <w:t>预充电阻能量、旁路器件、时间与失败诊断</w:t>
            </w:r>
          </w:p>
        </w:tc>
      </w:tr>
      <w:tr>
        <w:tc>
          <w:tcPr>
            <w:tcW w:type="dxa" w:w="3289"/>
          </w:tcPr>
          <w:p>
            <w:r>
              <w:rPr>
                <w:b w:val="0"/>
                <w:sz w:val="18"/>
              </w:rPr>
              <w:t>回馈处理模块</w:t>
            </w:r>
          </w:p>
        </w:tc>
        <w:tc>
          <w:tcPr>
            <w:tcW w:type="dxa" w:w="3289"/>
          </w:tcPr>
          <w:p>
            <w:r>
              <w:rPr>
                <w:b w:val="0"/>
                <w:sz w:val="18"/>
              </w:rPr>
              <w:t>工况可能向 DC 母线回送能量</w:t>
            </w:r>
          </w:p>
        </w:tc>
        <w:tc>
          <w:tcPr>
            <w:tcW w:type="dxa" w:w="3289"/>
          </w:tcPr>
          <w:p>
            <w:r>
              <w:rPr>
                <w:b w:val="0"/>
                <w:sz w:val="18"/>
              </w:rPr>
              <w:t>驱动内部吸收、耗能电阻或双向源必须有容量证据</w:t>
            </w:r>
          </w:p>
        </w:tc>
      </w:tr>
      <w:tr>
        <w:tc>
          <w:tcPr>
            <w:tcW w:type="dxa" w:w="3289"/>
          </w:tcPr>
          <w:p>
            <w:r>
              <w:rPr>
                <w:b w:val="0"/>
                <w:sz w:val="18"/>
              </w:rPr>
              <w:t>逻辑/抱闸辅助电源与控制</w:t>
            </w:r>
          </w:p>
        </w:tc>
        <w:tc>
          <w:tcPr>
            <w:tcW w:type="dxa" w:w="3289"/>
          </w:tcPr>
          <w:p>
            <w:r>
              <w:rPr>
                <w:b w:val="0"/>
                <w:sz w:val="18"/>
              </w:rPr>
              <w:t>总成另有此类接口</w:t>
            </w:r>
          </w:p>
        </w:tc>
        <w:tc>
          <w:tcPr>
            <w:tcW w:type="dxa" w:w="3289"/>
          </w:tcPr>
          <w:p>
            <w:r>
              <w:rPr>
                <w:b w:val="0"/>
                <w:sz w:val="18"/>
              </w:rPr>
              <w:t>厂家指定电压、容量、时序、抑制与安全限制</w:t>
            </w:r>
          </w:p>
        </w:tc>
      </w:tr>
      <w:tr>
        <w:tc>
          <w:tcPr>
            <w:tcW w:type="dxa" w:w="3289"/>
          </w:tcPr>
          <w:p>
            <w:r>
              <w:rPr>
                <w:b w:val="0"/>
                <w:sz w:val="18"/>
              </w:rPr>
              <w:t>安全继电器/安全控制器、急停、安全切断元件</w:t>
            </w:r>
          </w:p>
        </w:tc>
        <w:tc>
          <w:tcPr>
            <w:tcW w:type="dxa" w:w="3289"/>
          </w:tcPr>
          <w:p>
            <w:r>
              <w:rPr>
                <w:b w:val="0"/>
                <w:sz w:val="18"/>
              </w:rPr>
              <w:t>按风险评估形成的运动安全方案</w:t>
            </w:r>
          </w:p>
        </w:tc>
        <w:tc>
          <w:tcPr>
            <w:tcW w:type="dxa" w:w="3289"/>
          </w:tcPr>
          <w:p>
            <w:r>
              <w:rPr>
                <w:b w:val="0"/>
                <w:sz w:val="18"/>
              </w:rPr>
              <w:t>所需性能等级、停止方式、反馈监控与验证；不能用普通 PLC 替代</w:t>
            </w:r>
          </w:p>
        </w:tc>
      </w:tr>
      <w:tr>
        <w:tc>
          <w:tcPr>
            <w:tcW w:type="dxa" w:w="3289"/>
          </w:tcPr>
          <w:p>
            <w:r>
              <w:rPr>
                <w:b w:val="0"/>
                <w:sz w:val="18"/>
              </w:rPr>
              <w:t>PE/CAN 参考等附加连接器</w:t>
            </w:r>
          </w:p>
        </w:tc>
        <w:tc>
          <w:tcPr>
            <w:tcW w:type="dxa" w:w="3289"/>
          </w:tcPr>
          <w:p>
            <w:r>
              <w:rPr>
                <w:b w:val="0"/>
                <w:sz w:val="18"/>
              </w:rPr>
              <w:t>OEM 要求但柜端四针口不包含</w:t>
            </w:r>
          </w:p>
        </w:tc>
        <w:tc>
          <w:tcPr>
            <w:tcW w:type="dxa" w:w="3289"/>
          </w:tcPr>
          <w:p>
            <w:r>
              <w:rPr>
                <w:b w:val="0"/>
                <w:sz w:val="18"/>
              </w:rPr>
              <w:t>独立规划，不能借用未知屏蔽层承担保护或返回电流</w:t>
            </w:r>
          </w:p>
        </w:tc>
      </w:tr>
      <w:tr>
        <w:tc>
          <w:tcPr>
            <w:tcW w:type="dxa" w:w="3289"/>
          </w:tcPr>
          <w:p>
            <w:r>
              <w:rPr>
                <w:b w:val="0"/>
                <w:sz w:val="18"/>
              </w:rPr>
              <w:t>额外传感器与 DAQ</w:t>
            </w:r>
          </w:p>
        </w:tc>
        <w:tc>
          <w:tcPr>
            <w:tcW w:type="dxa" w:w="3289"/>
          </w:tcPr>
          <w:p>
            <w:r>
              <w:rPr>
                <w:b w:val="0"/>
                <w:sz w:val="18"/>
              </w:rPr>
              <w:t>温度、力矩或同步波形测量</w:t>
            </w:r>
          </w:p>
        </w:tc>
        <w:tc>
          <w:tcPr>
            <w:tcW w:type="dxa" w:w="3289"/>
          </w:tcPr>
          <w:p>
            <w:r>
              <w:rPr>
                <w:b w:val="0"/>
                <w:sz w:val="18"/>
              </w:rPr>
              <w:t>八路 AI 已占满；同步性、采样率、隔离及量程</w:t>
            </w:r>
          </w:p>
        </w:tc>
      </w:tr>
    </w:tbl>
    <w:p/>
    <w:p>
      <w:r>
        <w:t>采购清单中的“条件性”不表示运动安全措施可以任意不装，而表示必须由 DUT 与工况确定具体实现。没有完成安全和回馈判断，不开放运动试验。</w:t>
      </w:r>
    </w:p>
    <w:p>
      <w:r>
        <w:br w:type="page"/>
      </w:r>
    </w:p>
    <w:p>
      <w:pPr>
        <w:pStyle w:val="Heading1"/>
      </w:pPr>
      <w:r>
        <w:t>5. 从柜子连接到手臂、腿部</w:t>
      </w:r>
    </w:p>
    <w:p>
      <w:r>
        <w:drawing>
          <wp:inline xmlns:a="http://schemas.openxmlformats.org/drawingml/2006/main" xmlns:pic="http://schemas.openxmlformats.org/drawingml/2006/picture">
            <wp:extent cx="6228000" cy="3903478"/>
            <wp:docPr id="2" name="Picture 2"/>
            <wp:cNvGraphicFramePr>
              <a:graphicFrameLocks noChangeAspect="1"/>
            </wp:cNvGraphicFramePr>
            <a:graphic>
              <a:graphicData uri="http://schemas.openxmlformats.org/drawingml/2006/picture">
                <pic:pic>
                  <pic:nvPicPr>
                    <pic:cNvPr id="0" name="limb-connection.png"/>
                    <pic:cNvPicPr/>
                  </pic:nvPicPr>
                  <pic:blipFill>
                    <a:blip r:embed="rId12"/>
                    <a:stretch>
                      <a:fillRect/>
                    </a:stretch>
                  </pic:blipFill>
                  <pic:spPr>
                    <a:xfrm>
                      <a:off x="0" y="0"/>
                      <a:ext cx="6228000" cy="3903478"/>
                    </a:xfrm>
                    <a:prstGeom prst="rect"/>
                  </pic:spPr>
                </pic:pic>
              </a:graphicData>
            </a:graphic>
          </wp:inline>
        </w:drawing>
      </w:r>
    </w:p>
    <w:p>
      <w:r>
        <w:t>图 2：一个支路供一个肢体。总成内部的多个驱动节点共享厂家规定的电源/通信布局，内部功能以 OEM 实物为准；如需外部局部配电盒，应独立设计。STO、抱闸、PE、逻辑供电并非每个总成都提供同样接口。</w:t>
      </w:r>
    </w:p>
    <w:p>
      <w:pPr>
        <w:pStyle w:val="Heading2"/>
      </w:pPr>
      <w:r>
        <w:t>5.1 柜端四针口的含义</w:t>
      </w:r>
    </w:p>
    <w:p>
      <w:r>
        <w:t>柜端接口 X1～X4：1=DC+、2=DC−、3=CAN-H、4=CAN-L。这仅是柜端项目约定，不是通用机器人接口。连接前必须把它转换为该肢体厂家明确规定的针脚；动力和信号触点的电流、电压、插拔顺序与防护须分别验证。若一个混合四针连接器不满足大电流、安全或 EMC 要求，改用分开的动力与通信连接器。</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sz w:val="18"/>
              </w:rPr>
              <w:t>连接</w:t>
            </w:r>
          </w:p>
        </w:tc>
        <w:tc>
          <w:tcPr>
            <w:tcW w:type="dxa" w:w="3289"/>
          </w:tcPr>
          <w:p>
            <w:r>
              <w:rPr>
                <w:b/>
                <w:sz w:val="18"/>
              </w:rPr>
              <w:t>从哪里到哪里</w:t>
            </w:r>
          </w:p>
        </w:tc>
        <w:tc>
          <w:tcPr>
            <w:tcW w:type="dxa" w:w="3289"/>
          </w:tcPr>
          <w:p>
            <w:r>
              <w:rPr>
                <w:b/>
                <w:sz w:val="18"/>
              </w:rPr>
              <w:t>工程要求</w:t>
            </w:r>
          </w:p>
        </w:tc>
      </w:tr>
      <w:tr>
        <w:tc>
          <w:tcPr>
            <w:tcW w:type="dxa" w:w="3289"/>
          </w:tcPr>
          <w:p>
            <w:r>
              <w:rPr>
                <w:b w:val="0"/>
                <w:sz w:val="18"/>
              </w:rPr>
              <w:t>动力正/负</w:t>
            </w:r>
          </w:p>
        </w:tc>
        <w:tc>
          <w:tcPr>
            <w:tcW w:type="dxa" w:w="3289"/>
          </w:tcPr>
          <w:p>
            <w:r>
              <w:rPr>
                <w:b w:val="0"/>
                <w:sz w:val="18"/>
              </w:rPr>
              <w:t>支路输出 → 肢体 DC 输入</w:t>
            </w:r>
          </w:p>
        </w:tc>
        <w:tc>
          <w:tcPr>
            <w:tcW w:type="dxa" w:w="3289"/>
          </w:tcPr>
          <w:p>
            <w:r>
              <w:rPr>
                <w:b w:val="0"/>
                <w:sz w:val="18"/>
              </w:rPr>
              <w:t>正负不反接；连接器和导线共同满足持续/峰值电流、压降及浪涌</w:t>
            </w:r>
          </w:p>
        </w:tc>
      </w:tr>
      <w:tr>
        <w:tc>
          <w:tcPr>
            <w:tcW w:type="dxa" w:w="3289"/>
          </w:tcPr>
          <w:p>
            <w:r>
              <w:rPr>
                <w:b w:val="0"/>
                <w:sz w:val="18"/>
              </w:rPr>
              <w:t>CAN-H/L</w:t>
            </w:r>
          </w:p>
        </w:tc>
        <w:tc>
          <w:tcPr>
            <w:tcW w:type="dxa" w:w="3289"/>
          </w:tcPr>
          <w:p>
            <w:r>
              <w:rPr>
                <w:b w:val="0"/>
                <w:sz w:val="18"/>
              </w:rPr>
              <w:t>独立 CAN 网络 → 肢体 CAN 接口</w:t>
            </w:r>
          </w:p>
        </w:tc>
        <w:tc>
          <w:tcPr>
            <w:tcW w:type="dxa" w:w="3289"/>
          </w:tcPr>
          <w:p>
            <w:r>
              <w:rPr>
                <w:b w:val="0"/>
                <w:sz w:val="18"/>
              </w:rPr>
              <w:t>OEM 协议、速率、ID 与终端设置一致</w:t>
            </w:r>
          </w:p>
        </w:tc>
      </w:tr>
      <w:tr>
        <w:tc>
          <w:tcPr>
            <w:tcW w:type="dxa" w:w="3289"/>
          </w:tcPr>
          <w:p>
            <w:r>
              <w:rPr>
                <w:b w:val="0"/>
                <w:sz w:val="18"/>
              </w:rPr>
              <w:t>PE</w:t>
            </w:r>
          </w:p>
        </w:tc>
        <w:tc>
          <w:tcPr>
            <w:tcW w:type="dxa" w:w="3289"/>
          </w:tcPr>
          <w:p>
            <w:r>
              <w:rPr>
                <w:b w:val="0"/>
                <w:sz w:val="18"/>
              </w:rPr>
              <w:t>PE 系统 → 需要保护接地的金属部件</w:t>
            </w:r>
          </w:p>
        </w:tc>
        <w:tc>
          <w:tcPr>
            <w:tcW w:type="dxa" w:w="3289"/>
          </w:tcPr>
          <w:p>
            <w:r>
              <w:rPr>
                <w:b w:val="0"/>
                <w:sz w:val="18"/>
              </w:rPr>
              <w:t>按设备类别与厂家要求；动力负极不能代替 PE</w:t>
            </w:r>
          </w:p>
        </w:tc>
      </w:tr>
      <w:tr>
        <w:tc>
          <w:tcPr>
            <w:tcW w:type="dxa" w:w="3289"/>
          </w:tcPr>
          <w:p>
            <w:r>
              <w:rPr>
                <w:b w:val="0"/>
                <w:sz w:val="18"/>
              </w:rPr>
              <w:t>CAN 参考</w:t>
            </w:r>
          </w:p>
        </w:tc>
        <w:tc>
          <w:tcPr>
            <w:tcW w:type="dxa" w:w="3289"/>
          </w:tcPr>
          <w:p>
            <w:r>
              <w:rPr>
                <w:b w:val="0"/>
                <w:sz w:val="18"/>
              </w:rPr>
              <w:t>CAN 设备参考 → DUT 指定参考端</w:t>
            </w:r>
          </w:p>
        </w:tc>
        <w:tc>
          <w:tcPr>
            <w:tcW w:type="dxa" w:w="3289"/>
          </w:tcPr>
          <w:p>
            <w:r>
              <w:rPr>
                <w:b w:val="0"/>
                <w:sz w:val="18"/>
              </w:rPr>
              <w:t>仅按两端手册；隔离域、共模范围与接地环路需评估</w:t>
            </w:r>
          </w:p>
        </w:tc>
      </w:tr>
      <w:tr>
        <w:tc>
          <w:tcPr>
            <w:tcW w:type="dxa" w:w="3289"/>
          </w:tcPr>
          <w:p>
            <w:r>
              <w:rPr>
                <w:b w:val="0"/>
                <w:sz w:val="18"/>
              </w:rPr>
              <w:t>屏蔽</w:t>
            </w:r>
          </w:p>
        </w:tc>
        <w:tc>
          <w:tcPr>
            <w:tcW w:type="dxa" w:w="3289"/>
          </w:tcPr>
          <w:p>
            <w:r>
              <w:rPr>
                <w:b w:val="0"/>
                <w:sz w:val="18"/>
              </w:rPr>
              <w:t>线缆屏蔽 → 指定屏蔽端/夹</w:t>
            </w:r>
          </w:p>
        </w:tc>
        <w:tc>
          <w:tcPr>
            <w:tcW w:type="dxa" w:w="3289"/>
          </w:tcPr>
          <w:p>
            <w:r>
              <w:rPr>
                <w:b w:val="0"/>
                <w:sz w:val="18"/>
              </w:rPr>
              <w:t>作为 EMC 路径，不默认作为信号参考或保护导体</w:t>
            </w:r>
          </w:p>
        </w:tc>
      </w:tr>
      <w:tr>
        <w:tc>
          <w:tcPr>
            <w:tcW w:type="dxa" w:w="3289"/>
          </w:tcPr>
          <w:p>
            <w:r>
              <w:rPr>
                <w:b w:val="0"/>
                <w:sz w:val="18"/>
              </w:rPr>
              <w:t>辅助电源</w:t>
            </w:r>
          </w:p>
        </w:tc>
        <w:tc>
          <w:tcPr>
            <w:tcW w:type="dxa" w:w="3289"/>
          </w:tcPr>
          <w:p>
            <w:r>
              <w:rPr>
                <w:b w:val="0"/>
                <w:sz w:val="18"/>
              </w:rPr>
              <w:t>匹配电源 → 逻辑/抱闸端</w:t>
            </w:r>
          </w:p>
        </w:tc>
        <w:tc>
          <w:tcPr>
            <w:tcW w:type="dxa" w:w="3289"/>
          </w:tcPr>
          <w:p>
            <w:r>
              <w:rPr>
                <w:b w:val="0"/>
                <w:sz w:val="18"/>
              </w:rPr>
              <w:t>明确额定、隔离、返回线、熔断与控制时序</w:t>
            </w:r>
          </w:p>
        </w:tc>
      </w:tr>
      <w:tr>
        <w:tc>
          <w:tcPr>
            <w:tcW w:type="dxa" w:w="3289"/>
          </w:tcPr>
          <w:p>
            <w:r>
              <w:rPr>
                <w:b w:val="0"/>
                <w:sz w:val="18"/>
              </w:rPr>
              <w:t>安全/使能</w:t>
            </w:r>
          </w:p>
        </w:tc>
        <w:tc>
          <w:tcPr>
            <w:tcW w:type="dxa" w:w="3289"/>
          </w:tcPr>
          <w:p>
            <w:r>
              <w:rPr>
                <w:b w:val="0"/>
                <w:sz w:val="18"/>
              </w:rPr>
              <w:t>安全控制或普通控制 → OEM 相应接口</w:t>
            </w:r>
          </w:p>
        </w:tc>
        <w:tc>
          <w:tcPr>
            <w:tcW w:type="dxa" w:w="3289"/>
          </w:tcPr>
          <w:p>
            <w:r>
              <w:rPr>
                <w:b w:val="0"/>
                <w:sz w:val="18"/>
              </w:rPr>
              <w:t>区分普通 Enable 与经认证 STO；不能互相替代</w:t>
            </w:r>
          </w:p>
        </w:tc>
      </w:tr>
    </w:tbl>
    <w:p/>
    <w:p>
      <w:pPr>
        <w:pStyle w:val="Heading2"/>
      </w:pPr>
      <w:r>
        <w:t>5.2 多关节总成的内部连接</w:t>
      </w:r>
    </w:p>
    <w:p>
      <w:r>
        <w:t>每个手臂/腿部可能含多个驱动节点。四路供电不是四个关节，也不是最多四个 CAN 节点。节点总数由 OEM 协议、总线负载及接口能力决定。同一 CAN 总线中节点 ID 应唯一，拓扑以主干线及受控短支线为原则；高速 CAN/CAN FD 只在两个物理总线端点设置规定的终端，不在每个关节重复添加 120 Ω。TI 终端参考（https://www.ti.com/tool/TIDA-01238）、NI CAN 物理层指南（https://www.ni.com/en/support/documentation/supplemental/09/can-physical-layer-and-termination-guide.html）。</w:t>
      </w:r>
    </w:p>
    <w:p>
      <w:r>
        <w:t>CAN 接口和肢体内部的终端电阻均应计入总线终端配置。总线长度、分支、节点数及 CAN FD 数据阶段速率应匹配。</w:t>
      </w:r>
    </w:p>
    <w:p>
      <w:pPr>
        <w:pStyle w:val="Heading2"/>
      </w:pPr>
      <w:r>
        <w:t>5.3 线束制作清单</w:t>
      </w:r>
    </w:p>
    <w:p>
      <w:r>
        <w:t>一套肢体线束应交付：两端连接器型号和视图方向、逐针映射、线径/长度、动力与信号区分、PE/参考/屏蔽处理、压接工艺、防错插方式、额定与测试记录。标记示例 CH1-PWR、CH1-CAN、CH1-AUX、CH1-SAFE；线色只是辅助标识，针脚表和导通检查才是依据。</w:t>
      </w:r>
    </w:p>
    <w:p>
      <w:r>
        <w:t>制作后在断电条件下检查导通、短接、正负与 CAN 极性、屏蔽意外搭接及连接器应力释放。绝缘试验方法须先确认不会损坏电子设备；不要对已经连接驱动器、PLC 或 CAN 接口的线束随意进行高压测试。</w:t>
      </w:r>
    </w:p>
    <w:p>
      <w:r>
        <w:br w:type="page"/>
      </w:r>
    </w:p>
    <w:p>
      <w:pPr>
        <w:pStyle w:val="Heading1"/>
      </w:pPr>
      <w:r>
        <w:t>6. 柜内供电、开关和测量如何组成</w:t>
      </w:r>
    </w:p>
    <w:p>
      <w:r>
        <w:drawing>
          <wp:inline xmlns:a="http://schemas.openxmlformats.org/drawingml/2006/main" xmlns:pic="http://schemas.openxmlformats.org/drawingml/2006/picture">
            <wp:extent cx="6228000" cy="3488652"/>
            <wp:docPr id="3" name="Picture 3"/>
            <wp:cNvGraphicFramePr>
              <a:graphicFrameLocks noChangeAspect="1"/>
            </wp:cNvGraphicFramePr>
            <a:graphic>
              <a:graphicData uri="http://schemas.openxmlformats.org/drawingml/2006/picture">
                <pic:pic>
                  <pic:nvPicPr>
                    <pic:cNvPr id="0" name="channel-wiring.png"/>
                    <pic:cNvPicPr/>
                  </pic:nvPicPr>
                  <pic:blipFill>
                    <a:blip r:embed="rId13"/>
                    <a:stretch>
                      <a:fillRect/>
                    </a:stretch>
                  </pic:blipFill>
                  <pic:spPr>
                    <a:xfrm>
                      <a:off x="0" y="0"/>
                      <a:ext cx="6228000" cy="3488652"/>
                    </a:xfrm>
                    <a:prstGeom prst="rect"/>
                  </pic:spPr>
                </pic:pic>
              </a:graphicData>
            </a:graphic>
          </wp:inline>
        </w:drawing>
      </w:r>
    </w:p>
    <w:p>
      <w:r>
        <w:t>图 3：功能连接图，不替代端子、线号、保护及接地施工图。正极经 SSR 和电流传感器穿线后到负载；电流传感器不串入模拟量端，电压变送器跨接在支路输出端。</w:t>
      </w:r>
    </w:p>
    <w:p>
      <w:pPr>
        <w:pStyle w:val="Heading2"/>
      </w:pPr>
      <w:r>
        <w:t>6.1 交流和控制供电</w:t>
      </w:r>
    </w:p>
    <w:p>
      <w:r>
        <w:t>交流输入经 QF0 后分两路：QF1 → KM0 → PS1；QF24 → PS24，控制与采集从 24 V 电源供电。PE 不经开关，连接柜体、柜门、安装板和设备要求的保护接地点。KM0 切断的是 PS1 交流输入，电源输出电容及 DUT 电容可能仍保存能量，所以 KM0 断开不等于 DC 端立即无电，也不等于可检修的隔离状态。KM0 厂家数据表（https://iportal.se.com/Contents/docs/SQD-LC1D25BD.PDF）。</w:t>
      </w:r>
    </w:p>
    <w:p>
      <w:r>
        <w:t>SRESET 的功能为复位控制供电，并非总隔离或急停。复位后传感器、部分通信及动力侧可能仍有电；隔离、验电和残余能量释放应采用专门的维护流程。</w:t>
      </w:r>
    </w:p>
    <w:p>
      <w:pPr>
        <w:pStyle w:val="Heading2"/>
      </w:pPr>
      <w:r>
        <w:t>6.2 公共母线和四个支路</w:t>
      </w:r>
    </w:p>
    <w:p>
      <w:r>
        <w:t>PS1 输出进入正、负分配端子。支路设计采用正、负两极经 DC 双极保护器的架构；正极再经过 KDn 固态开关和 ISn 穿线，连接到 DUT，负极返回相应支路。该保护器是否允许所需浮地双极接法、极性、分断与隔离能力，须由厂家资料确认后才能实施。每路 VSn 测量下游输出电压。BUS48 是公共动力母线标识，不表示输出电压固定为 48 V。</w:t>
      </w:r>
    </w:p>
    <w:p>
      <w:r>
        <w:t>PLC 输出控制 K0、K2～K5；K0 许可 KM0，K2～K5 和各路人工许可共同控制 KD1～KD4。支路许可是普通控制逻辑，不等于已证明负载带电；断路器位置、人工开关、SSR故障和连接器状态都可能影响实际供电。</w:t>
      </w:r>
    </w:p>
    <w:p>
      <w:r>
        <w:t>SSR 存在关断漏电、失效短路及散热条件，不能当作检修隔离或单独安全停机装置。其铭牌电流需按安装温度、散热和保护条件解释。Omron SSR 安全注意（https://www.ia.omron.com/product/cautions/18/safety_precautions.html）。</w:t>
      </w:r>
    </w:p>
    <w:p>
      <w:pPr>
        <w:pStyle w:val="Heading2"/>
      </w:pPr>
      <w:r>
        <w:t>6.3 测量链和量程</w:t>
      </w:r>
    </w:p>
    <w:p>
      <w:r>
        <w:t>四路电压、四路电流经变送器变成 PLC 可接受的低压信号后进入 AI8。机器人动力电压不能直接接 AI 口。变送器输入侧、输出侧和辅助电源之间的隔离能力要以准确型号的数据表为准；AI8 自身不是八个相互隔离的输入。</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sz w:val="18"/>
              </w:rPr>
              <w:t>通道</w:t>
            </w:r>
          </w:p>
        </w:tc>
        <w:tc>
          <w:tcPr>
            <w:tcW w:type="dxa" w:w="3289"/>
          </w:tcPr>
          <w:p>
            <w:r>
              <w:rPr>
                <w:b/>
                <w:sz w:val="18"/>
              </w:rPr>
              <w:t>项目参考 PLC 地址</w:t>
            </w:r>
          </w:p>
        </w:tc>
        <w:tc>
          <w:tcPr>
            <w:tcW w:type="dxa" w:w="3289"/>
          </w:tcPr>
          <w:p>
            <w:r>
              <w:rPr>
                <w:b/>
                <w:sz w:val="18"/>
              </w:rPr>
              <w:t>目标换算 / 状态</w:t>
            </w:r>
          </w:p>
        </w:tc>
      </w:tr>
      <w:tr>
        <w:tc>
          <w:tcPr>
            <w:tcW w:type="dxa" w:w="3289"/>
          </w:tcPr>
          <w:p>
            <w:r>
              <w:rPr>
                <w:b w:val="0"/>
                <w:sz w:val="18"/>
              </w:rPr>
              <w:t>VS1、VS2、VS3、VS4</w:t>
            </w:r>
          </w:p>
        </w:tc>
        <w:tc>
          <w:tcPr>
            <w:tcW w:type="dxa" w:w="3289"/>
          </w:tcPr>
          <w:p>
            <w:r>
              <w:rPr>
                <w:b w:val="0"/>
                <w:sz w:val="18"/>
              </w:rPr>
              <w:t>IW96、IW98、IW100、IW102</w:t>
            </w:r>
          </w:p>
        </w:tc>
        <w:tc>
          <w:tcPr>
            <w:tcW w:type="dxa" w:w="3289"/>
          </w:tcPr>
          <w:p>
            <w:r>
              <w:rPr>
                <w:b w:val="0"/>
                <w:sz w:val="18"/>
              </w:rPr>
              <w:t>按实际变送器量程换算；100 V 满量程与 27648 满量程原始值配套时，系数为 100/27648</w:t>
            </w:r>
          </w:p>
        </w:tc>
      </w:tr>
      <w:tr>
        <w:tc>
          <w:tcPr>
            <w:tcW w:type="dxa" w:w="3289"/>
          </w:tcPr>
          <w:p>
            <w:r>
              <w:rPr>
                <w:b w:val="0"/>
                <w:sz w:val="18"/>
              </w:rPr>
              <w:t>IS1、IS2、IS3、IS4</w:t>
            </w:r>
          </w:p>
        </w:tc>
        <w:tc>
          <w:tcPr>
            <w:tcW w:type="dxa" w:w="3289"/>
          </w:tcPr>
          <w:p>
            <w:r>
              <w:rPr>
                <w:b w:val="0"/>
                <w:sz w:val="18"/>
              </w:rPr>
              <w:t>IW104、IW106、IW108、IW110</w:t>
            </w:r>
          </w:p>
        </w:tc>
        <w:tc>
          <w:tcPr>
            <w:tcW w:type="dxa" w:w="3289"/>
          </w:tcPr>
          <w:p>
            <w:r>
              <w:rPr>
                <w:b w:val="0"/>
                <w:sz w:val="18"/>
              </w:rPr>
              <w:t>参考 0～50 A / 0～10 V；0～10 V 正常标称满量程为 27648</w:t>
            </w:r>
          </w:p>
        </w:tc>
      </w:tr>
    </w:tbl>
    <w:p/>
    <w:p>
      <w:r>
        <w:t>地址只适用于该参考项目，复制到新硬件组态后必须重新核对。AI 电压量程按 Siemens 支持范围和分组限制配置；零点、符号、断线/越界与有效性单独记录，不以“显示 0”代替有效信号。</w:t>
      </w:r>
    </w:p>
    <w:p>
      <w:r>
        <w:t>每路传感器的量程、硬件组态、软件换算和通信编码应一致。基础换算不引入无校准依据的固定补偿；如需零点或增益修正，应由校准数据确定，并与传感器及配置版本关联。</w:t>
      </w:r>
    </w:p>
    <w:p>
      <w:r>
        <w:br w:type="page"/>
      </w:r>
    </w:p>
    <w:p>
      <w:pPr>
        <w:pStyle w:val="Heading1"/>
      </w:pPr>
      <w:r>
        <w:t>7. 电源容量：四个支路不能当作四台电源</w:t>
      </w:r>
    </w:p>
    <w:p>
      <w:r>
        <w:t>四路共用 PS1，因此只有一个输出电压设定及一个公共总限流。四路可以独立通断，不能同时设置四个不同电压，也没有四个独立可编程电流限值。不同额定电压的手臂与腿部不能简单挂在同一母线上；需要独立电源域或经验证的专用转换方案。</w:t>
      </w:r>
    </w:p>
    <w:p>
      <w:pPr>
        <w:pStyle w:val="Heading2"/>
      </w:pPr>
      <w:r>
        <w:t>7.1 核算方法</w:t>
      </w:r>
    </w:p>
    <w:p>
      <w:r>
        <w:t>每个肢体的输入电流取厂家提供或经过验证的 DC 输入数据，不用电机相电流直接相加。先确定同时运行的工况，再计算：</w:t>
      </w:r>
    </w:p>
    <w:p>
      <w:r>
        <w:t>- 肢体支路持续电流 = 该肢体内部各节点在指定工况下的 DC 输入电流合计。</w:t>
      </w:r>
    </w:p>
    <w:p>
      <w:r>
        <w:t>- 母线持续电流 = 同时运行肢体的 DC 输入电流合计，并计入必要裕量与环境降额。</w:t>
      </w:r>
    </w:p>
    <w:p>
      <w:r>
        <w:t>- 电源输出功率 = 母线电压 × 母线电流；峰值还要核对持续时间和源的动态能力。</w:t>
      </w:r>
    </w:p>
    <w:p>
      <w:r>
        <w:t>- 24 V 容量 = PLC、AI、传感器、继电器、CAN 等负载合计；外加抱闸不能默认挤入现有电源。</w:t>
      </w:r>
    </w:p>
    <w:p>
      <w:r>
        <w:t>- 交流容量 = 按 PS1 效率、功率因数、输入电流与浪涌核算，并协调进线、插座和保护。</w:t>
      </w:r>
    </w:p>
    <w:p>
      <w:r>
        <w:t>参考源在 48 V × 60 A 时为 2.88 kW，60 V × 60 A 时为 3.6 kW；这些只是标称乘积，不代表现场进线可以连续承载。3.6 kW / 220 V 已约为 16.4 A，尚未计损耗与功率因数，因此不能使用普通 16 A 插座作为默认满功率进线方案。</w:t>
      </w:r>
    </w:p>
    <w:p>
      <w:pPr>
        <w:pStyle w:val="Heading2"/>
      </w:pPr>
      <w:r>
        <w:t>7.2 一个用于说明的容量例子</w:t>
      </w:r>
    </w:p>
    <w:p>
      <w:r>
        <w:t>假设某肢体有 6 个驱动节点，每节点 DC 输入持续 5 A，则该肢体合计 30 A；四个相同肢体同时达到该工况就是 120 A。这是容量算例，不代表具体机器人参数，超过参考 60 A 公共源，也超过参考 C25 支路的名义电流。解决方法是降低经过验证的同时运行负载，或重选电源、配电、保护、线缆与开关，不能仅把断路器换大。</w:t>
      </w:r>
    </w:p>
    <w:p>
      <w:r>
        <w:t>支路线径应按电流、长度、敷设、环境温度、压降、连接器与短路保护共同确定。参考配置的 16 mm² 主干、4 mm² 支路用于方案比较，不是所有肢体和长度的统一推荐。</w:t>
      </w:r>
    </w:p>
    <w:p>
      <w:r>
        <w:t>100 V 电压传感器的作用是测量更大量程，不会把 60 V 电源、SSR、保护和连接器升级成 100 V 动力系统。</w:t>
      </w:r>
    </w:p>
    <w:p>
      <w:r>
        <w:br w:type="page"/>
      </w:r>
    </w:p>
    <w:p>
      <w:pPr>
        <w:pStyle w:val="Heading1"/>
      </w:pPr>
      <w:r>
        <w:t>8. 回馈、抱闸和安全链是完整平台的一部分</w:t>
      </w:r>
    </w:p>
    <w:p>
      <w:pPr>
        <w:pStyle w:val="Heading2"/>
      </w:pPr>
      <w:r>
        <w:t>8.1 回馈能量必须有去处</w:t>
      </w:r>
    </w:p>
    <w:p>
      <w:r>
        <w:t>电机减速、负载下放或加载台反拖可能向母线送回能量。PS1 选型应明确是否具备所需的吸收能力，不能仅根据可调输出功能将其当作双向电源。也不能依赖“其他关节刚好在耗电”消纳回馈。需按驱动器手册和工况选择并验证：驱动器内部制动模块、外部制动斩波器与电阻，或具备所需吸收能力的双向电源。回馈处理的功率、能量、阈值、温升与故障响应都要有计算和试验依据。双向源的源/吸收能力说明（https://www.tek.com/en/blog/bidirectional-supplies-source-and-sink-power）。</w:t>
      </w:r>
    </w:p>
    <w:p>
      <w:r>
        <w:t>关断支路或 KM0 的瞬间同样可能改变能量路径；不能让安全停机把仍在运动的驱动器困在没有吸收能力的孤立母线上。预充、放电、制动与切断顺序应作为同一个工程方案。</w:t>
      </w:r>
    </w:p>
    <w:p>
      <w:pPr>
        <w:pStyle w:val="Heading2"/>
      </w:pPr>
      <w:r>
        <w:t>8.2 抱闸不是默认的动态刹车</w:t>
      </w:r>
    </w:p>
    <w:p>
      <w:r>
        <w:t>抱闸可能已经集成，也可能需要独立供电。先取得厂家要求的电压、线圈电流、静态保持转矩及释放/吸合时序；驱动器控制输出不一定能直接给线圈供电。普通保持制动器不能自动作为人员安全保障，也不应默认承担反复动态制动。Kollmorgen 保持制动器说明（https://www.kollmorgen.com/en-us/developer-network/holding-brake）、maxon 接线示例的限制（https://support.maxongroup.com/hc/en-us/articles/5749146358300-EPOS4-How-has-a-brake-to-be-connected）。</w:t>
      </w:r>
    </w:p>
    <w:p>
      <w:pPr>
        <w:pStyle w:val="Heading2"/>
      </w:pPr>
      <w:r>
        <w:t>8.3 安全链与普通控制分开设计</w:t>
      </w:r>
    </w:p>
    <w:p>
      <w:r>
        <w:t>普通 PLC、上位机心跳、CAN 停止命令、SSR 关闭和 KM0 普通控制，均不直接等同于经过验证的安全功能。运动平台应完成风险评估，选定停止方式、所需可靠性、急停/防护联锁、安全逻辑、适用的 STO 或动力切断、执行元件反馈及复位防重启，再验证整个链路。具体器件数量由安全架构确定，不给未经论证的固定“一个安全继电器就够”的采购结论。</w:t>
      </w:r>
    </w:p>
    <w:p>
      <w:r>
        <w:t>重力负载须有可靠支撑，断电后不得意外下落。人员进入运动包络前执行隔离、残余能量处置和机械支撑流程。恢复供电、网络重连或解除急停后，不自动恢复运动；需新的有效授权和受控启动流程。</w:t>
      </w:r>
    </w:p>
    <w:p>
      <w:pPr>
        <w:pStyle w:val="Heading2"/>
      </w:pPr>
      <w:r>
        <w:t>8.4 接地和屏蔽</w:t>
      </w:r>
    </w:p>
    <w:p>
      <w:r>
        <w:t>PE、动力 DC−、控制 0 V/M、CAN 参考和屏蔽是不同功能，不随意短接。动力域是否浮地由系统方案确定；这不表示 PLC 的 M 也应浮地，PLC 接地按 Siemens 和系统要求实施。Siemens 接地指南（https://docs.tia.siemens.cloud/r/simatic_s7_1200_g2_manual_collection_enus_20/installation-and-wiring/wiring-guidelines-and-procedures/guidelines-for-grounding）。</w:t>
      </w:r>
    </w:p>
    <w:p>
      <w:r>
        <w:t>屏蔽的单端/双端连接须综合两端设备手册和 EMC 方案。柜端屏蔽处理应与具体机器人线束匹配，不能将多个隔离 CAN 域未经核对地共地。</w:t>
      </w:r>
    </w:p>
    <w:p>
      <w:r>
        <w:br w:type="page"/>
      </w:r>
    </w:p>
    <w:p>
      <w:pPr>
        <w:pStyle w:val="Heading1"/>
      </w:pPr>
      <w:r>
        <w:t>9. Linux 上位机如何连接两套系统</w:t>
      </w:r>
    </w:p>
    <w:p>
      <w:pPr>
        <w:pStyle w:val="Heading2"/>
      </w:pPr>
      <w:r>
        <w:t>9.1 到 PLC：以太网管理供电</w:t>
      </w:r>
    </w:p>
    <w:p>
      <w:r>
        <w:t>Linux PC → 以太网 → PLC，参考使用 Modbus TCP，PLC 作为服务器。程序负责设定公共电压/电流限制、主接触器及四路请求，读取支路 V/I 和控制状态。工程电脑可通过交换机接入同一网络维护。Modbus 客户端数量、PLC 连接资源、IP 与网卡路由应按软件和设备配置确定。该 CPU 的两个 RJ45 属于同一集成交换式 PROFINET 接口，不当作两个独立网段。</w:t>
      </w:r>
    </w:p>
    <w:p>
      <w:r>
        <w:t>PLC、Linux PC 和工程电脑应使用唯一 IP 地址和规划一致的子网；多网卡避免重叠子网造成路由冲突。控制网络应与公网隔离。</w:t>
      </w:r>
    </w:p>
    <w:p>
      <w:pPr>
        <w:pStyle w:val="Heading2"/>
      </w:pPr>
      <w:r>
        <w:t>9.2 到机器人：USB-CAN/CAN FD</w:t>
      </w:r>
    </w:p>
    <w:p>
      <w:r>
        <w:t>Linux PC → USB → USBCANFD-400U → 各肢体。CAN 接口不经过 PLC 的 Modbus 数据通道；机器人厂家协议、帧定义、节点 ID、模式、限位、超时和复位由上位机机器人控制部分实现。</w:t>
      </w:r>
    </w:p>
    <w:p>
      <w:r>
        <w:t>厂家产品页列有 Linux 支持，但不表示任意 Linux 架构或 SocketCAN 可直接使用。采购前核对 SDK 版本、CPU 架构、内核、权限、示例程序和 CAN FD 模式，并在目标电脑验证枚举、发送、接收与错误计数。ZLG 产品资料（https://www.zlg.com/can/can/product/id/223.html）。</w:t>
      </w:r>
    </w:p>
    <w:p>
      <w:pPr>
        <w:pStyle w:val="Heading2"/>
      </w:pPr>
      <w:r>
        <w:t>9.3 软件状态不能替代实物确认</w:t>
      </w:r>
    </w:p>
    <w:p>
      <w:r>
        <w:t>上位机要区分“请求通电”“PLC 许可”“接触器反馈”“传感器实测带电”“机器人驱动已使能”。分别展示与记录，避免用一个绿灯覆盖所有状态。母线电压正常也不证明每个驱动无故障；CAN 在线不证明机械安全。</w:t>
      </w:r>
    </w:p>
    <w:p>
      <w:r>
        <w:t>采用无符号 16 位 mV 编码时，最大可表示电压为 65.535 V。0～100 V 测量应采用足够的位宽或明确的定标，并同步 PLC 编码与 Linux 解码，不能只修改传感器换算系数。</w:t>
      </w:r>
    </w:p>
    <w:p>
      <w:r>
        <w:t>测量接口应定义有效位、采样时间或递增计数、质量和失效状态。缺少这些字段时，不能仅由最后一个数值判断数据新鲜度。CommReady 等端口就绪标志与 Permit 等软件许可，均不等同于从站健康或负载实测带电。</w:t>
      </w:r>
    </w:p>
    <w:p>
      <w:r>
        <w:br w:type="page"/>
      </w:r>
    </w:p>
    <w:p>
      <w:pPr>
        <w:pStyle w:val="Heading1"/>
      </w:pPr>
      <w:r>
        <w:t>10. 装配与投用条件</w:t>
      </w:r>
    </w:p>
    <w:p>
      <w:r>
        <w:t>装配顺序从接口定义和断电安装开始，再逐步进入单工位与多工位集成。各阶段应满足相应工程条件，由具备能力的人员实施。</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sz w:val="18"/>
              </w:rPr>
              <w:t>阶段</w:t>
            </w:r>
          </w:p>
        </w:tc>
        <w:tc>
          <w:tcPr>
            <w:tcW w:type="dxa" w:w="3289"/>
          </w:tcPr>
          <w:p>
            <w:r>
              <w:rPr>
                <w:b/>
                <w:sz w:val="18"/>
              </w:rPr>
              <w:t>工作内容</w:t>
            </w:r>
          </w:p>
        </w:tc>
        <w:tc>
          <w:tcPr>
            <w:tcW w:type="dxa" w:w="3289"/>
          </w:tcPr>
          <w:p>
            <w:r>
              <w:rPr>
                <w:b/>
                <w:sz w:val="18"/>
              </w:rPr>
              <w:t>投用条件</w:t>
            </w:r>
          </w:p>
        </w:tc>
      </w:tr>
      <w:tr>
        <w:tc>
          <w:tcPr>
            <w:tcW w:type="dxa" w:w="3289"/>
          </w:tcPr>
          <w:p>
            <w:r>
              <w:rPr>
                <w:b w:val="0"/>
                <w:sz w:val="18"/>
              </w:rPr>
              <w:t>0. 定义 DUT</w:t>
            </w:r>
          </w:p>
        </w:tc>
        <w:tc>
          <w:tcPr>
            <w:tcW w:type="dxa" w:w="3289"/>
          </w:tcPr>
          <w:p>
            <w:r>
              <w:rPr>
                <w:b w:val="0"/>
                <w:sz w:val="18"/>
              </w:rPr>
              <w:t>收集厂家接口、电源、通信、回馈及机械数据</w:t>
            </w:r>
          </w:p>
        </w:tc>
        <w:tc>
          <w:tcPr>
            <w:tcW w:type="dxa" w:w="3289"/>
          </w:tcPr>
          <w:p>
            <w:r>
              <w:rPr>
                <w:b w:val="0"/>
                <w:sz w:val="18"/>
              </w:rPr>
              <w:t>参数表有来源，缺项明确；采购规格可冻结</w:t>
            </w:r>
          </w:p>
        </w:tc>
      </w:tr>
      <w:tr>
        <w:tc>
          <w:tcPr>
            <w:tcW w:type="dxa" w:w="3289"/>
          </w:tcPr>
          <w:p>
            <w:r>
              <w:rPr>
                <w:b w:val="0"/>
                <w:sz w:val="18"/>
              </w:rPr>
              <w:t>1. 完成设计</w:t>
            </w:r>
          </w:p>
        </w:tc>
        <w:tc>
          <w:tcPr>
            <w:tcW w:type="dxa" w:w="3289"/>
          </w:tcPr>
          <w:p>
            <w:r>
              <w:rPr>
                <w:b w:val="0"/>
                <w:sz w:val="18"/>
              </w:rPr>
              <w:t>原理图、BOM、I/O、线束、工装、安全及能量方案</w:t>
            </w:r>
          </w:p>
        </w:tc>
        <w:tc>
          <w:tcPr>
            <w:tcW w:type="dxa" w:w="3289"/>
          </w:tcPr>
          <w:p>
            <w:r>
              <w:rPr>
                <w:b w:val="0"/>
                <w:sz w:val="18"/>
              </w:rPr>
              <w:t>电气/机械审查完成，施工与测试责任明确</w:t>
            </w:r>
          </w:p>
        </w:tc>
      </w:tr>
      <w:tr>
        <w:tc>
          <w:tcPr>
            <w:tcW w:type="dxa" w:w="3289"/>
          </w:tcPr>
          <w:p>
            <w:r>
              <w:rPr>
                <w:b w:val="0"/>
                <w:sz w:val="18"/>
              </w:rPr>
              <w:t>2. 断电装配</w:t>
            </w:r>
          </w:p>
        </w:tc>
        <w:tc>
          <w:tcPr>
            <w:tcW w:type="dxa" w:w="3289"/>
          </w:tcPr>
          <w:p>
            <w:r>
              <w:rPr>
                <w:b w:val="0"/>
                <w:sz w:val="18"/>
              </w:rPr>
              <w:t>柜体、器件、接地、端子、动力/信号分区及线束</w:t>
            </w:r>
          </w:p>
        </w:tc>
        <w:tc>
          <w:tcPr>
            <w:tcW w:type="dxa" w:w="3289"/>
          </w:tcPr>
          <w:p>
            <w:r>
              <w:rPr>
                <w:b w:val="0"/>
                <w:sz w:val="18"/>
              </w:rPr>
              <w:t>标签与图纸一致，导通/极性/保护连接检查通过</w:t>
            </w:r>
          </w:p>
        </w:tc>
      </w:tr>
      <w:tr>
        <w:tc>
          <w:tcPr>
            <w:tcW w:type="dxa" w:w="3289"/>
          </w:tcPr>
          <w:p>
            <w:r>
              <w:rPr>
                <w:b w:val="0"/>
                <w:sz w:val="18"/>
              </w:rPr>
              <w:t>3. 控制层验证</w:t>
            </w:r>
          </w:p>
        </w:tc>
        <w:tc>
          <w:tcPr>
            <w:tcW w:type="dxa" w:w="3289"/>
          </w:tcPr>
          <w:p>
            <w:r>
              <w:rPr>
                <w:b w:val="0"/>
                <w:sz w:val="18"/>
              </w:rPr>
              <w:t>由授权人员按计划验证 24 V、PLC、AI、通信与继电器</w:t>
            </w:r>
          </w:p>
        </w:tc>
        <w:tc>
          <w:tcPr>
            <w:tcW w:type="dxa" w:w="3289"/>
          </w:tcPr>
          <w:p>
            <w:r>
              <w:rPr>
                <w:b w:val="0"/>
                <w:sz w:val="18"/>
              </w:rPr>
              <w:t>无意外吸合，电源容量和启动状态符合设计</w:t>
            </w:r>
          </w:p>
        </w:tc>
      </w:tr>
      <w:tr>
        <w:tc>
          <w:tcPr>
            <w:tcW w:type="dxa" w:w="3289"/>
          </w:tcPr>
          <w:p>
            <w:r>
              <w:rPr>
                <w:b w:val="0"/>
                <w:sz w:val="18"/>
              </w:rPr>
              <w:t>4. 单路电气验证</w:t>
            </w:r>
          </w:p>
        </w:tc>
        <w:tc>
          <w:tcPr>
            <w:tcW w:type="dxa" w:w="3289"/>
          </w:tcPr>
          <w:p>
            <w:r>
              <w:rPr>
                <w:b w:val="0"/>
                <w:sz w:val="18"/>
              </w:rPr>
              <w:t>用匹配的安全假负载核查源、保护、通断及采样</w:t>
            </w:r>
          </w:p>
        </w:tc>
        <w:tc>
          <w:tcPr>
            <w:tcW w:type="dxa" w:w="3289"/>
          </w:tcPr>
          <w:p>
            <w:r>
              <w:rPr>
                <w:b w:val="0"/>
                <w:sz w:val="18"/>
              </w:rPr>
              <w:t>测量与参考仪表一致；温升与切断行为符合计划</w:t>
            </w:r>
          </w:p>
        </w:tc>
      </w:tr>
      <w:tr>
        <w:tc>
          <w:tcPr>
            <w:tcW w:type="dxa" w:w="3289"/>
          </w:tcPr>
          <w:p>
            <w:r>
              <w:rPr>
                <w:b w:val="0"/>
                <w:sz w:val="18"/>
              </w:rPr>
              <w:t>5. 总成静态接入</w:t>
            </w:r>
          </w:p>
        </w:tc>
        <w:tc>
          <w:tcPr>
            <w:tcW w:type="dxa" w:w="3289"/>
          </w:tcPr>
          <w:p>
            <w:r>
              <w:rPr>
                <w:b w:val="0"/>
                <w:sz w:val="18"/>
              </w:rPr>
              <w:t>机械固定；按 OEM 流程连接；运动保持禁止</w:t>
            </w:r>
          </w:p>
        </w:tc>
        <w:tc>
          <w:tcPr>
            <w:tcW w:type="dxa" w:w="3289"/>
          </w:tcPr>
          <w:p>
            <w:r>
              <w:rPr>
                <w:b w:val="0"/>
                <w:sz w:val="18"/>
              </w:rPr>
              <w:t>正确节点与反馈、供电稳定、无异常故障</w:t>
            </w:r>
          </w:p>
        </w:tc>
      </w:tr>
      <w:tr>
        <w:tc>
          <w:tcPr>
            <w:tcW w:type="dxa" w:w="3289"/>
          </w:tcPr>
          <w:p>
            <w:r>
              <w:rPr>
                <w:b w:val="0"/>
                <w:sz w:val="18"/>
              </w:rPr>
              <w:t>6. 单肢体受控运动</w:t>
            </w:r>
          </w:p>
        </w:tc>
        <w:tc>
          <w:tcPr>
            <w:tcW w:type="dxa" w:w="3289"/>
          </w:tcPr>
          <w:p>
            <w:r>
              <w:rPr>
                <w:b w:val="0"/>
                <w:sz w:val="18"/>
              </w:rPr>
              <w:t>安全链、支撑、回馈方案通过后执行限定工况</w:t>
            </w:r>
          </w:p>
        </w:tc>
        <w:tc>
          <w:tcPr>
            <w:tcW w:type="dxa" w:w="3289"/>
          </w:tcPr>
          <w:p>
            <w:r>
              <w:rPr>
                <w:b w:val="0"/>
                <w:sz w:val="18"/>
              </w:rPr>
              <w:t>停机、防重启、能量与机械约束验证通过</w:t>
            </w:r>
          </w:p>
        </w:tc>
      </w:tr>
      <w:tr>
        <w:tc>
          <w:tcPr>
            <w:tcW w:type="dxa" w:w="3289"/>
          </w:tcPr>
          <w:p>
            <w:r>
              <w:rPr>
                <w:b w:val="0"/>
                <w:sz w:val="18"/>
              </w:rPr>
              <w:t>7. 多工位扩展</w:t>
            </w:r>
          </w:p>
        </w:tc>
        <w:tc>
          <w:tcPr>
            <w:tcW w:type="dxa" w:w="3289"/>
          </w:tcPr>
          <w:p>
            <w:r>
              <w:rPr>
                <w:b w:val="0"/>
                <w:sz w:val="18"/>
              </w:rPr>
              <w:t>核算公共源、CAN负载、温升与互相影响</w:t>
            </w:r>
          </w:p>
        </w:tc>
        <w:tc>
          <w:tcPr>
            <w:tcW w:type="dxa" w:w="3289"/>
          </w:tcPr>
          <w:p>
            <w:r>
              <w:rPr>
                <w:b w:val="0"/>
                <w:sz w:val="18"/>
              </w:rPr>
              <w:t>不超容量，故障响应明确，形成整个平台 FAT 记录</w:t>
            </w:r>
          </w:p>
        </w:tc>
      </w:tr>
    </w:tbl>
    <w:p/>
    <w:p>
      <w:r>
        <w:t>从“一个柜支路 + 一个肢体 + 一个工装”开始集成，再按容量与安全要求扩展。控制接口应明确定义启动、失联、PS1 通信或设备故障、恢复供电与网络重连时的输出状态；恢复连接不得自动恢复运动。温升、停机、采样准确度和工位相互影响属于投用条件。</w:t>
      </w:r>
    </w:p>
    <w:p>
      <w:pPr>
        <w:pStyle w:val="Heading2"/>
      </w:pPr>
      <w:r>
        <w:t>每个工位应留下的资料</w:t>
      </w:r>
    </w:p>
    <w:p>
      <w:r>
        <w:t>DUT 型号与序列号、固件、线束图、节点列表、终端矩阵、工装图、负载工况、限值、测量校准记录、安全验证记录，以及每次试验的时间、版本、故障和原始数据。维修换件或传感器改量程后更新版本与验证记录。</w:t>
      </w:r>
    </w:p>
    <w:p>
      <w:r>
        <w:br w:type="page"/>
      </w:r>
    </w:p>
    <w:p>
      <w:pPr>
        <w:pStyle w:val="Heading1"/>
      </w:pPr>
      <w:r>
        <w:t>11. 适配与维护</w:t>
      </w:r>
    </w:p>
    <w:p>
      <w:r>
        <w:t>仓库提供硬件架构、机械资料、BOM 和集成说明。PLC 工程、Linux 控制程序及机器人运动协议应与所选器件、固件和 OEM 接口配套，不由机械模型或架构图替代。</w:t>
      </w:r>
    </w:p>
    <w:p>
      <w:r>
        <w:t>每种总成的适配资料应包含安装接口、动力与辅助电源针脚、CAN 配置、允许工况、回馈与预充要求、传感器量程和测量编码。更换总成、传感器或控制软件时，更新相关配置与校准参数。</w:t>
      </w:r>
    </w:p>
    <w:p>
      <w:r>
        <w:t>采购以对应型号的数据表、原理图、加工图与采购表为依据。原创文档及架构图的许可见 LICENSE（../LICENSE），CAD、BOM 和厂商资料的许可范围见 许可说明（../SOURCE_LICENSE.md）。</w:t>
      </w:r>
    </w:p>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硬件搭建说明书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人形机器人测试平台 | Hardware ·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DengXian" w:hAnsi="DengXian"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ngXian" w:hAnsi="DengXian" w:eastAsia="等线"/>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ngXian" w:hAnsi="DengXian" w:eastAsia="等线"/>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ngXian" w:hAnsi="DengXian" w:eastAsia="等线"/>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ngXian" w:hAnsi="DengXian" w:eastAsia="等线"/>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人形机器人测试平台_硬件搭建说明书</dc:title>
  <dc:subject>手部、胸腔及腿部负载测试平台硬件参考</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