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D5866" w14:textId="77777777" w:rsidR="00C23B00" w:rsidRDefault="00C23B00">
      <w:pPr>
        <w:pStyle w:val="Title"/>
        <w:spacing w:after="0"/>
        <w:jc w:val="center"/>
      </w:pPr>
    </w:p>
    <w:p w14:paraId="1E6D5867" w14:textId="77777777" w:rsidR="00C23B00" w:rsidRDefault="00C23B00">
      <w:pPr>
        <w:pStyle w:val="Title"/>
        <w:spacing w:after="0"/>
        <w:jc w:val="center"/>
      </w:pPr>
    </w:p>
    <w:p w14:paraId="1E6D5868" w14:textId="77777777" w:rsidR="00C23B00" w:rsidRDefault="00C23B00">
      <w:pPr>
        <w:pStyle w:val="Title"/>
        <w:spacing w:after="0"/>
        <w:jc w:val="center"/>
      </w:pPr>
    </w:p>
    <w:p w14:paraId="1E6D5869" w14:textId="77777777" w:rsidR="00C23B00" w:rsidRDefault="00C23B00">
      <w:pPr>
        <w:pStyle w:val="Title"/>
        <w:spacing w:after="0"/>
        <w:jc w:val="center"/>
      </w:pPr>
    </w:p>
    <w:p w14:paraId="1E6D586A" w14:textId="77777777" w:rsidR="00C23B00" w:rsidRDefault="00C23B00">
      <w:pPr>
        <w:pStyle w:val="Title"/>
        <w:spacing w:after="0"/>
        <w:jc w:val="center"/>
      </w:pPr>
    </w:p>
    <w:p w14:paraId="1E6D586B" w14:textId="77777777" w:rsidR="00C23B00" w:rsidRDefault="00A2358E">
      <w:pPr>
        <w:pStyle w:val="Title"/>
        <w:spacing w:after="0"/>
        <w:jc w:val="center"/>
      </w:pPr>
      <w:r>
        <w:rPr>
          <w:noProof/>
        </w:rPr>
        <w:drawing>
          <wp:inline distT="0" distB="0" distL="0" distR="0" wp14:anchorId="1E6D5889" wp14:editId="1E6D588A">
            <wp:extent cx="2591162" cy="2581635"/>
            <wp:effectExtent l="0" t="0" r="0" b="0"/>
            <wp:docPr id="1442875470" name="image1.png" descr="A red and black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red and black logo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581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6D586C" w14:textId="77777777" w:rsidR="00C23B00" w:rsidRDefault="00C23B00">
      <w:pPr>
        <w:pStyle w:val="Title"/>
        <w:spacing w:after="0"/>
        <w:jc w:val="center"/>
      </w:pPr>
    </w:p>
    <w:p w14:paraId="1E6D586D" w14:textId="77777777" w:rsidR="00C23B00" w:rsidRDefault="00C23B00">
      <w:pPr>
        <w:pStyle w:val="Title"/>
        <w:spacing w:after="0"/>
        <w:jc w:val="center"/>
      </w:pPr>
    </w:p>
    <w:p w14:paraId="1E6D586E" w14:textId="3EE9EEF8" w:rsidR="00C23B00" w:rsidRDefault="1CBF7F43">
      <w:pPr>
        <w:pStyle w:val="Title"/>
        <w:jc w:val="center"/>
      </w:pPr>
      <w:r>
        <w:t>Biweekly Report (Week 2): MEPS Panel 18 Non-Cancer Adult Cohort (2013-2014)</w:t>
      </w:r>
    </w:p>
    <w:p w14:paraId="1E6D586F" w14:textId="48C86966" w:rsidR="00C23B00" w:rsidRDefault="00A2358E">
      <w:pPr>
        <w:jc w:val="center"/>
      </w:pPr>
      <w:r>
        <w:t>ALY 6</w:t>
      </w:r>
      <w:r w:rsidR="00130BF9">
        <w:t>98</w:t>
      </w:r>
      <w:r>
        <w:t xml:space="preserve">0: </w:t>
      </w:r>
      <w:r w:rsidR="00130BF9">
        <w:t>Capstone</w:t>
      </w:r>
      <w:r>
        <w:t>, Northeastern University</w:t>
      </w:r>
    </w:p>
    <w:p w14:paraId="1E6D5870" w14:textId="2D75FB89" w:rsidR="00C23B00" w:rsidRDefault="00A2358E">
      <w:pPr>
        <w:jc w:val="center"/>
        <w:rPr>
          <w:lang w:val="en-US"/>
        </w:rPr>
      </w:pPr>
      <w:r w:rsidRPr="02EC2A5A">
        <w:rPr>
          <w:lang w:val="en-US"/>
        </w:rPr>
        <w:t xml:space="preserve">Professor </w:t>
      </w:r>
      <w:r w:rsidR="009C711F" w:rsidRPr="02EC2A5A">
        <w:rPr>
          <w:lang w:val="en-US"/>
        </w:rPr>
        <w:t>Aji</w:t>
      </w:r>
      <w:r w:rsidR="002827BF" w:rsidRPr="02EC2A5A">
        <w:rPr>
          <w:lang w:val="en-US"/>
        </w:rPr>
        <w:t xml:space="preserve">t </w:t>
      </w:r>
      <w:proofErr w:type="spellStart"/>
      <w:r w:rsidR="002827BF" w:rsidRPr="02EC2A5A">
        <w:rPr>
          <w:lang w:val="en-US"/>
        </w:rPr>
        <w:t>Appari</w:t>
      </w:r>
      <w:proofErr w:type="spellEnd"/>
    </w:p>
    <w:p w14:paraId="1E6D5871" w14:textId="77777777" w:rsidR="00C23B00" w:rsidRDefault="00A2358E">
      <w:pPr>
        <w:jc w:val="center"/>
      </w:pPr>
      <w:r>
        <w:t>From Khanh Huynh</w:t>
      </w:r>
    </w:p>
    <w:p w14:paraId="1E6D587F" w14:textId="77777777" w:rsidR="00C23B00" w:rsidRPr="006D63D0" w:rsidRDefault="00C23B00" w:rsidP="006D63D0">
      <w:pPr>
        <w:rPr>
          <w:rFonts w:ascii="Play" w:eastAsia="Play" w:hAnsi="Play" w:cs="Play"/>
          <w:color w:val="0F4761"/>
          <w:sz w:val="40"/>
          <w:szCs w:val="40"/>
        </w:rPr>
      </w:pPr>
      <w:bookmarkStart w:id="0" w:name="_heading=h.wegq8ykn2z0" w:colFirst="0" w:colLast="0"/>
      <w:bookmarkEnd w:id="0"/>
    </w:p>
    <w:p w14:paraId="1E6D5881" w14:textId="69D79A6B" w:rsidR="00C23B00" w:rsidRDefault="55AE98CC" w:rsidP="02EC2A5A">
      <w:pPr>
        <w:pStyle w:val="Heading1"/>
        <w:numPr>
          <w:ilvl w:val="0"/>
          <w:numId w:val="1"/>
        </w:numPr>
      </w:pPr>
      <w:r>
        <w:t>Abstract</w:t>
      </w:r>
    </w:p>
    <w:p w14:paraId="0FC613D8" w14:textId="1492776B" w:rsidR="0E66FEF2" w:rsidRDefault="0E66FEF2" w:rsidP="02EC2A5A">
      <w:pPr>
        <w:rPr>
          <w:lang w:val="en-US"/>
        </w:rPr>
      </w:pPr>
      <w:r w:rsidRPr="02EC2A5A">
        <w:rPr>
          <w:lang w:val="en-US"/>
        </w:rPr>
        <w:t>This biweekly discussion deliverable extends the XN capstone project by completing</w:t>
      </w:r>
      <w:r w:rsidR="1FF51133" w:rsidRPr="02EC2A5A">
        <w:rPr>
          <w:lang w:val="en-US"/>
        </w:rPr>
        <w:t xml:space="preserve"> cohort construction and exploratory analysis using the Medical Expenditure Panel Survey (MEPS) Panel 18 longitudinal file (2013-2014) and associated medical conditions files. I restricted the sample to adult </w:t>
      </w:r>
      <w:r w:rsidR="127C576F" w:rsidRPr="02EC2A5A">
        <w:rPr>
          <w:lang w:val="en-US"/>
        </w:rPr>
        <w:t>(AGE1X &gt;=18) a</w:t>
      </w:r>
      <w:r w:rsidR="2F3533FB" w:rsidRPr="02EC2A5A">
        <w:rPr>
          <w:lang w:val="en-US"/>
        </w:rPr>
        <w:t xml:space="preserve">nd excluded individuals with any cancel diagnosis identified </w:t>
      </w:r>
      <w:r w:rsidR="67821A85" w:rsidRPr="02EC2A5A">
        <w:rPr>
          <w:lang w:val="en-US"/>
        </w:rPr>
        <w:t>through</w:t>
      </w:r>
      <w:r w:rsidR="2F3533FB" w:rsidRPr="02EC2A5A">
        <w:rPr>
          <w:lang w:val="en-US"/>
        </w:rPr>
        <w:t xml:space="preserve"> Clinical Classification Codes (CCCODEX 11-45). I cleaned MEPS missing-value codes by converting negative values to missing, applied simple imputation, and adjusted expenditures </w:t>
      </w:r>
      <w:r w:rsidR="099F2519" w:rsidRPr="02EC2A5A">
        <w:rPr>
          <w:lang w:val="en-US"/>
        </w:rPr>
        <w:t xml:space="preserve">to 2018 constant dollars using </w:t>
      </w:r>
      <w:r w:rsidR="61487B22" w:rsidRPr="02EC2A5A">
        <w:rPr>
          <w:lang w:val="en-US"/>
        </w:rPr>
        <w:t xml:space="preserve">the CPI-U Medical Care Index. Descriptive results showed a right-skewed Year 2 expenditure </w:t>
      </w:r>
      <w:r w:rsidR="3E043950" w:rsidRPr="02EC2A5A">
        <w:rPr>
          <w:lang w:val="en-US"/>
        </w:rPr>
        <w:t>distribution</w:t>
      </w:r>
      <w:r w:rsidR="61487B22" w:rsidRPr="02EC2A5A">
        <w:rPr>
          <w:lang w:val="en-US"/>
        </w:rPr>
        <w:t xml:space="preserve"> with a small high-spending segment, motivating a </w:t>
      </w:r>
      <w:proofErr w:type="gramStart"/>
      <w:r w:rsidR="61487B22" w:rsidRPr="02EC2A5A">
        <w:rPr>
          <w:lang w:val="en-US"/>
        </w:rPr>
        <w:t>log</w:t>
      </w:r>
      <w:proofErr w:type="gramEnd"/>
      <w:r w:rsidR="61487B22" w:rsidRPr="02EC2A5A">
        <w:rPr>
          <w:lang w:val="en-US"/>
        </w:rPr>
        <w:t xml:space="preserve">-transformed </w:t>
      </w:r>
      <w:r w:rsidR="2D53C712" w:rsidRPr="02EC2A5A">
        <w:rPr>
          <w:lang w:val="en-US"/>
        </w:rPr>
        <w:t>target</w:t>
      </w:r>
      <w:r w:rsidR="61487B22" w:rsidRPr="02EC2A5A">
        <w:rPr>
          <w:lang w:val="en-US"/>
        </w:rPr>
        <w:t xml:space="preserve"> and a top 20% high-expenditure flag for downstream</w:t>
      </w:r>
      <w:r w:rsidR="6FA9F398" w:rsidRPr="02EC2A5A">
        <w:rPr>
          <w:lang w:val="en-US"/>
        </w:rPr>
        <w:t xml:space="preserve"> risk stratification. This report documents the finalized </w:t>
      </w:r>
      <w:r w:rsidR="28311FC0" w:rsidRPr="02EC2A5A">
        <w:rPr>
          <w:lang w:val="en-US"/>
        </w:rPr>
        <w:t>analytic</w:t>
      </w:r>
      <w:r w:rsidR="6FA9F398" w:rsidRPr="02EC2A5A">
        <w:rPr>
          <w:lang w:val="en-US"/>
        </w:rPr>
        <w:t xml:space="preserve"> dataset, key cohort characteristics, and initial visual summaries will support subsequent clustering and predictive modeling.</w:t>
      </w:r>
    </w:p>
    <w:p w14:paraId="1E6D5884" w14:textId="42B1631C" w:rsidR="00C23B00" w:rsidRDefault="5D9BB6AA" w:rsidP="02EC2A5A">
      <w:pPr>
        <w:pStyle w:val="Heading1"/>
        <w:numPr>
          <w:ilvl w:val="0"/>
          <w:numId w:val="1"/>
        </w:numPr>
      </w:pPr>
      <w:r>
        <w:t>Introduction</w:t>
      </w:r>
    </w:p>
    <w:p w14:paraId="78C34613" w14:textId="7163139E" w:rsidR="5D9BB6AA" w:rsidRDefault="5D9BB6AA" w:rsidP="02EC2A5A">
      <w:pPr>
        <w:rPr>
          <w:lang w:val="en-US"/>
        </w:rPr>
      </w:pPr>
      <w:r w:rsidRPr="02EC2A5A">
        <w:rPr>
          <w:lang w:val="en-US"/>
        </w:rPr>
        <w:t xml:space="preserve">This project evaluates healthcare utilization and expenditures among US adults without cancer using MEPS Panel 18 (2013-2014). The analytic goal is to support rick classification and patient segmentation by predicting Year 2 </w:t>
      </w:r>
      <w:r w:rsidR="0C5FC198" w:rsidRPr="02EC2A5A">
        <w:rPr>
          <w:lang w:val="en-US"/>
        </w:rPr>
        <w:t>total expenditures (TOTEXPY2) from baseline demographic, insurance, and health status indicators.</w:t>
      </w:r>
    </w:p>
    <w:p w14:paraId="1E6D5885" w14:textId="7A3BD9D6" w:rsidR="00C23B00" w:rsidRDefault="58384005">
      <w:pPr>
        <w:pStyle w:val="Heading1"/>
        <w:numPr>
          <w:ilvl w:val="0"/>
          <w:numId w:val="1"/>
        </w:numPr>
      </w:pPr>
      <w:r>
        <w:t>Research Methods</w:t>
      </w:r>
    </w:p>
    <w:p w14:paraId="65397FCE" w14:textId="7007069C" w:rsidR="58384005" w:rsidRDefault="58384005" w:rsidP="02EC2A5A">
      <w:pPr>
        <w:rPr>
          <w:lang w:val="en-US"/>
        </w:rPr>
      </w:pPr>
      <w:r w:rsidRPr="4C5BA978">
        <w:rPr>
          <w:lang w:val="en-US"/>
        </w:rPr>
        <w:t xml:space="preserve">I used </w:t>
      </w:r>
      <w:r w:rsidR="76EE726B" w:rsidRPr="4C5BA978">
        <w:rPr>
          <w:lang w:val="en-US"/>
        </w:rPr>
        <w:t>the MEPS</w:t>
      </w:r>
      <w:r w:rsidRPr="4C5BA978">
        <w:rPr>
          <w:lang w:val="en-US"/>
        </w:rPr>
        <w:t xml:space="preserve"> Panel longitudinal full-year consolidated file (HC 172</w:t>
      </w:r>
      <w:r w:rsidR="49970937" w:rsidRPr="4C5BA978">
        <w:rPr>
          <w:lang w:val="en-US"/>
        </w:rPr>
        <w:t>) and linked the 2013 and 2014 medical conditions files (HC-162 and HC-170) via DUPERSID</w:t>
      </w:r>
      <w:r w:rsidR="16107394" w:rsidRPr="4C5BA978">
        <w:rPr>
          <w:lang w:val="en-US"/>
        </w:rPr>
        <w:t xml:space="preserve">. I restricted the cohort to adults (AGEY1X &gt;= 18). </w:t>
      </w:r>
      <w:r w:rsidR="320F427E" w:rsidRPr="4C5BA978">
        <w:rPr>
          <w:lang w:val="en-US"/>
        </w:rPr>
        <w:t>I excluded cancer cases using CCCODEX values 11-45 from either conditions file. I converted negative MEPS codes to missing values, imputed numeric v</w:t>
      </w:r>
      <w:r w:rsidR="6DAE74E2" w:rsidRPr="4C5BA978">
        <w:rPr>
          <w:lang w:val="en-US"/>
        </w:rPr>
        <w:t>ariables with medians and categorical variables with modes, and normalized expenditures to 2018 constant dollars</w:t>
      </w:r>
      <w:r w:rsidR="784E85A8" w:rsidRPr="4C5BA978">
        <w:rPr>
          <w:lang w:val="en-US"/>
        </w:rPr>
        <w:t xml:space="preserve"> using CPI-U Medical Care annual averages. I created a log-transformed target </w:t>
      </w:r>
      <w:r w:rsidR="1AF1B172" w:rsidRPr="4C5BA978">
        <w:rPr>
          <w:lang w:val="en-US"/>
        </w:rPr>
        <w:t>ln (</w:t>
      </w:r>
      <w:r w:rsidR="784E85A8" w:rsidRPr="4C5BA978">
        <w:rPr>
          <w:lang w:val="en-US"/>
        </w:rPr>
        <w:t>TOTEXPY2 +1) and a binary high-expenditure indicator defined as the top 20% of Year 2 spending.</w:t>
      </w:r>
    </w:p>
    <w:p w14:paraId="1E6D5886" w14:textId="54AB72EC" w:rsidR="00C23B00" w:rsidRDefault="6FED4F0D">
      <w:pPr>
        <w:pStyle w:val="Heading1"/>
        <w:numPr>
          <w:ilvl w:val="0"/>
          <w:numId w:val="1"/>
        </w:numPr>
      </w:pPr>
      <w:r>
        <w:t xml:space="preserve">Analysis Results </w:t>
      </w:r>
    </w:p>
    <w:p w14:paraId="5C9DA840" w14:textId="250AB3B0" w:rsidR="6FED4F0D" w:rsidRDefault="6FED4F0D" w:rsidP="4C5BA978">
      <w:pPr>
        <w:rPr>
          <w:lang w:val="en-US"/>
        </w:rPr>
      </w:pPr>
      <w:bookmarkStart w:id="1" w:name="_heading=h.s4uzhfvxdar0" w:colFirst="0" w:colLast="0"/>
      <w:bookmarkEnd w:id="1"/>
      <w:r w:rsidRPr="4C5BA978">
        <w:rPr>
          <w:lang w:val="en-US"/>
        </w:rPr>
        <w:t>Table 1 summarizes cohort construction. After applying the adult restriction and cancer</w:t>
      </w:r>
      <w:r w:rsidR="0D1BEC70" w:rsidRPr="4C5BA978">
        <w:rPr>
          <w:lang w:val="en-US"/>
        </w:rPr>
        <w:t xml:space="preserve"> exclusion, the final analytic cohort includes one record per individual. Figure 1 shows the log-transformed Year 2 spending distribution. Figure 2 shows the expen</w:t>
      </w:r>
      <w:r w:rsidR="041BE917" w:rsidRPr="4C5BA978">
        <w:rPr>
          <w:lang w:val="en-US"/>
        </w:rPr>
        <w:t>diture spread using a boxplot</w:t>
      </w:r>
      <w:r w:rsidR="6CA5777F" w:rsidRPr="4C5BA978">
        <w:rPr>
          <w:lang w:val="en-US"/>
        </w:rPr>
        <w:t xml:space="preserve"> with outliers hidden for readability. Figure 3 summarizes baseline insurance coverage categories and provides context for downstream segmentation.</w:t>
      </w:r>
    </w:p>
    <w:p w14:paraId="14CCC300" w14:textId="75D88680" w:rsidR="00A55AB3" w:rsidRDefault="00A55AB3" w:rsidP="4C5BA978">
      <w:pPr>
        <w:rPr>
          <w:lang w:val="en-US"/>
        </w:rPr>
      </w:pPr>
      <w:r w:rsidRPr="009732D2">
        <w:rPr>
          <w:b/>
          <w:bCs/>
          <w:lang w:val="en-US"/>
        </w:rPr>
        <w:t>Table 1.</w:t>
      </w:r>
      <w:r>
        <w:rPr>
          <w:lang w:val="en-US"/>
        </w:rPr>
        <w:t xml:space="preserve"> Cohort construction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861BC" w14:paraId="3F3D8DEC" w14:textId="77777777" w:rsidTr="009861BC">
        <w:tc>
          <w:tcPr>
            <w:tcW w:w="4675" w:type="dxa"/>
          </w:tcPr>
          <w:p w14:paraId="1B9772DA" w14:textId="1534CF93" w:rsidR="003F23AC" w:rsidRDefault="003F23AC" w:rsidP="4C5BA978">
            <w:pPr>
              <w:rPr>
                <w:lang w:val="en-US"/>
              </w:rPr>
            </w:pPr>
            <w:r>
              <w:rPr>
                <w:lang w:val="en-US"/>
              </w:rPr>
              <w:t>Step</w:t>
            </w:r>
          </w:p>
        </w:tc>
        <w:tc>
          <w:tcPr>
            <w:tcW w:w="4675" w:type="dxa"/>
          </w:tcPr>
          <w:p w14:paraId="1C1DD33D" w14:textId="631C6D75" w:rsidR="009861BC" w:rsidRDefault="00AB6204" w:rsidP="4C5BA978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861BC" w14:paraId="4278F626" w14:textId="77777777" w:rsidTr="009861BC">
        <w:tc>
          <w:tcPr>
            <w:tcW w:w="4675" w:type="dxa"/>
          </w:tcPr>
          <w:p w14:paraId="377A6A81" w14:textId="3582D3AB" w:rsidR="009861BC" w:rsidRDefault="003F23AC" w:rsidP="4C5BA978">
            <w:pPr>
              <w:rPr>
                <w:lang w:val="en-US"/>
              </w:rPr>
            </w:pPr>
            <w:r>
              <w:rPr>
                <w:lang w:val="en-US"/>
              </w:rPr>
              <w:t>Original Panel 18 Sample (HC-172)</w:t>
            </w:r>
          </w:p>
        </w:tc>
        <w:tc>
          <w:tcPr>
            <w:tcW w:w="4675" w:type="dxa"/>
          </w:tcPr>
          <w:p w14:paraId="6E54B38C" w14:textId="330E1BA2" w:rsidR="009861BC" w:rsidRDefault="00AB6204" w:rsidP="4C5BA978">
            <w:pPr>
              <w:rPr>
                <w:lang w:val="en-US"/>
              </w:rPr>
            </w:pPr>
            <w:r>
              <w:rPr>
                <w:lang w:val="en-US"/>
              </w:rPr>
              <w:t>16714</w:t>
            </w:r>
          </w:p>
        </w:tc>
      </w:tr>
      <w:tr w:rsidR="009861BC" w14:paraId="12F0F5AD" w14:textId="77777777" w:rsidTr="009861BC">
        <w:tc>
          <w:tcPr>
            <w:tcW w:w="4675" w:type="dxa"/>
          </w:tcPr>
          <w:p w14:paraId="3587E60C" w14:textId="55C49A88" w:rsidR="003F23AC" w:rsidRDefault="003F23AC" w:rsidP="4C5BA978">
            <w:pPr>
              <w:rPr>
                <w:lang w:val="en-US"/>
              </w:rPr>
            </w:pPr>
            <w:r>
              <w:rPr>
                <w:lang w:val="en-US"/>
              </w:rPr>
              <w:t>Adult Filter (AGEY1X &gt;= 18)</w:t>
            </w:r>
          </w:p>
        </w:tc>
        <w:tc>
          <w:tcPr>
            <w:tcW w:w="4675" w:type="dxa"/>
          </w:tcPr>
          <w:p w14:paraId="399136D2" w14:textId="605013CF" w:rsidR="009861BC" w:rsidRDefault="00AB6204" w:rsidP="4C5BA978">
            <w:pPr>
              <w:rPr>
                <w:lang w:val="en-US"/>
              </w:rPr>
            </w:pPr>
            <w:r>
              <w:rPr>
                <w:lang w:val="en-US"/>
              </w:rPr>
              <w:t>11691</w:t>
            </w:r>
          </w:p>
        </w:tc>
      </w:tr>
      <w:tr w:rsidR="009861BC" w14:paraId="5BBDE33F" w14:textId="77777777" w:rsidTr="009861BC">
        <w:tc>
          <w:tcPr>
            <w:tcW w:w="4675" w:type="dxa"/>
          </w:tcPr>
          <w:p w14:paraId="410DAA17" w14:textId="4462DE29" w:rsidR="009861BC" w:rsidRDefault="003F23AC" w:rsidP="4C5BA978">
            <w:pPr>
              <w:rPr>
                <w:lang w:val="en-US"/>
              </w:rPr>
            </w:pPr>
            <w:r>
              <w:rPr>
                <w:lang w:val="en-US"/>
              </w:rPr>
              <w:t>Exclude cancer (CCCODEX 11-45)</w:t>
            </w:r>
          </w:p>
        </w:tc>
        <w:tc>
          <w:tcPr>
            <w:tcW w:w="4675" w:type="dxa"/>
          </w:tcPr>
          <w:p w14:paraId="44430FB1" w14:textId="4AA93732" w:rsidR="009861BC" w:rsidRDefault="00AB6204" w:rsidP="4C5BA978">
            <w:pPr>
              <w:rPr>
                <w:lang w:val="en-US"/>
              </w:rPr>
            </w:pPr>
            <w:r>
              <w:rPr>
                <w:lang w:val="en-US"/>
              </w:rPr>
              <w:t>855</w:t>
            </w:r>
          </w:p>
        </w:tc>
      </w:tr>
      <w:tr w:rsidR="009861BC" w14:paraId="6999D6E5" w14:textId="77777777" w:rsidTr="009861BC">
        <w:tc>
          <w:tcPr>
            <w:tcW w:w="4675" w:type="dxa"/>
          </w:tcPr>
          <w:p w14:paraId="1EC3E1F2" w14:textId="46441A8C" w:rsidR="009861BC" w:rsidRDefault="003F23AC" w:rsidP="4C5BA978">
            <w:pPr>
              <w:rPr>
                <w:lang w:val="en-US"/>
              </w:rPr>
            </w:pPr>
            <w:r>
              <w:rPr>
                <w:lang w:val="en-US"/>
              </w:rPr>
              <w:t>Final analytic cohort</w:t>
            </w:r>
          </w:p>
        </w:tc>
        <w:tc>
          <w:tcPr>
            <w:tcW w:w="4675" w:type="dxa"/>
          </w:tcPr>
          <w:p w14:paraId="5BBFD6A1" w14:textId="159CF727" w:rsidR="009861BC" w:rsidRDefault="00AB6204" w:rsidP="4C5BA978">
            <w:pPr>
              <w:rPr>
                <w:lang w:val="en-US"/>
              </w:rPr>
            </w:pPr>
            <w:r>
              <w:rPr>
                <w:lang w:val="en-US"/>
              </w:rPr>
              <w:t>10836</w:t>
            </w:r>
          </w:p>
        </w:tc>
      </w:tr>
    </w:tbl>
    <w:p w14:paraId="159959CD" w14:textId="77777777" w:rsidR="00A55AB3" w:rsidRDefault="00A55AB3" w:rsidP="4C5BA978">
      <w:pPr>
        <w:rPr>
          <w:lang w:val="en-US"/>
        </w:rPr>
      </w:pPr>
    </w:p>
    <w:p w14:paraId="087105C0" w14:textId="69B377CC" w:rsidR="00AB6204" w:rsidRDefault="00F56DAC" w:rsidP="4C5BA978">
      <w:pPr>
        <w:rPr>
          <w:lang w:val="en-US"/>
        </w:rPr>
      </w:pPr>
      <w:r w:rsidRPr="009732D2">
        <w:rPr>
          <w:b/>
          <w:bCs/>
          <w:lang w:val="en-US"/>
        </w:rPr>
        <w:t>Figure 1.</w:t>
      </w:r>
      <w:r>
        <w:rPr>
          <w:lang w:val="en-US"/>
        </w:rPr>
        <w:t xml:space="preserve"> Distribution of Year 2 Healthcare Expenditures (Log </w:t>
      </w:r>
      <w:r w:rsidR="00994990">
        <w:rPr>
          <w:lang w:val="en-US"/>
        </w:rPr>
        <w:t>Scale</w:t>
      </w:r>
      <w:r>
        <w:rPr>
          <w:lang w:val="en-US"/>
        </w:rPr>
        <w:t>)</w:t>
      </w:r>
    </w:p>
    <w:p w14:paraId="4DF174CD" w14:textId="053BEE7A" w:rsidR="00DE0C78" w:rsidRDefault="00DE0C78" w:rsidP="4C5BA97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386056" wp14:editId="4DDDD557">
            <wp:extent cx="5943600" cy="3396615"/>
            <wp:effectExtent l="0" t="0" r="0" b="0"/>
            <wp:docPr id="6421561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56106" name="Picture 6421561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4D82D" w14:textId="77777777" w:rsidR="00F56DAC" w:rsidRDefault="00F56DAC" w:rsidP="4C5BA978">
      <w:pPr>
        <w:rPr>
          <w:lang w:val="en-US"/>
        </w:rPr>
      </w:pPr>
    </w:p>
    <w:p w14:paraId="23508347" w14:textId="5B0055AA" w:rsidR="00F56DAC" w:rsidRDefault="00B11B9D" w:rsidP="4C5BA978">
      <w:pPr>
        <w:rPr>
          <w:lang w:val="en-US"/>
        </w:rPr>
      </w:pPr>
      <w:r w:rsidRPr="009732D2">
        <w:rPr>
          <w:b/>
          <w:bCs/>
          <w:lang w:val="en-US"/>
        </w:rPr>
        <w:t>Figure 2.</w:t>
      </w:r>
      <w:r>
        <w:rPr>
          <w:lang w:val="en-US"/>
        </w:rPr>
        <w:t xml:space="preserve"> Year Expenditure Distribution (Boxplot, Outliers Hidden)</w:t>
      </w:r>
    </w:p>
    <w:p w14:paraId="1FC439AA" w14:textId="7D6B140E" w:rsidR="00DE0C78" w:rsidRDefault="00DE0C78" w:rsidP="4C5BA97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ED4ED5" wp14:editId="52B43AB1">
            <wp:extent cx="5943600" cy="3396615"/>
            <wp:effectExtent l="0" t="0" r="0" b="0"/>
            <wp:docPr id="6264693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69339" name="Picture 6264693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AAA8D" w14:textId="77777777" w:rsidR="00B11B9D" w:rsidRDefault="00B11B9D" w:rsidP="4C5BA978">
      <w:pPr>
        <w:rPr>
          <w:lang w:val="en-US"/>
        </w:rPr>
      </w:pPr>
    </w:p>
    <w:p w14:paraId="65BFA151" w14:textId="7AC1A35E" w:rsidR="00B11B9D" w:rsidRDefault="00B11B9D" w:rsidP="4C5BA978">
      <w:pPr>
        <w:rPr>
          <w:lang w:val="en-US"/>
        </w:rPr>
      </w:pPr>
      <w:r w:rsidRPr="009732D2">
        <w:rPr>
          <w:b/>
          <w:bCs/>
          <w:lang w:val="en-US"/>
        </w:rPr>
        <w:t>Figure 3.</w:t>
      </w:r>
      <w:r>
        <w:rPr>
          <w:lang w:val="en-US"/>
        </w:rPr>
        <w:t xml:space="preserve"> Baseline Insurance Coverage Distribution (Year 1)</w:t>
      </w:r>
    </w:p>
    <w:p w14:paraId="1715C82E" w14:textId="49D71CD4" w:rsidR="00DE0C78" w:rsidRDefault="00DE0C78" w:rsidP="4C5BA97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79D232" wp14:editId="04C0FDC1">
            <wp:extent cx="5943600" cy="3396615"/>
            <wp:effectExtent l="0" t="0" r="0" b="0"/>
            <wp:docPr id="17855341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34143" name="Picture 17855341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06FC" w14:textId="2CF3C661" w:rsidR="4436424A" w:rsidRDefault="4436424A" w:rsidP="4C5BA978">
      <w:pPr>
        <w:pStyle w:val="Heading1"/>
        <w:numPr>
          <w:ilvl w:val="0"/>
          <w:numId w:val="1"/>
        </w:numPr>
      </w:pPr>
      <w:r>
        <w:t>Conclusion</w:t>
      </w:r>
    </w:p>
    <w:p w14:paraId="568431FD" w14:textId="358530CA" w:rsidR="4436424A" w:rsidRDefault="4436424A" w:rsidP="4C5BA978">
      <w:pPr>
        <w:rPr>
          <w:lang w:val="en-US"/>
        </w:rPr>
      </w:pPr>
      <w:r w:rsidRPr="4C5BA978">
        <w:rPr>
          <w:lang w:val="en-US"/>
        </w:rPr>
        <w:t xml:space="preserve">This Bi-weekly discussion completed a reproducible cohort </w:t>
      </w:r>
      <w:r w:rsidR="009732D2" w:rsidRPr="4C5BA978">
        <w:rPr>
          <w:lang w:val="en-US"/>
        </w:rPr>
        <w:t>built</w:t>
      </w:r>
      <w:r w:rsidRPr="4C5BA978">
        <w:rPr>
          <w:lang w:val="en-US"/>
        </w:rPr>
        <w:t xml:space="preserve"> for adult, non-cancer MEPS Panel 18 respondents and produced </w:t>
      </w:r>
      <w:r w:rsidR="613CCEC0" w:rsidRPr="44D666DB">
        <w:rPr>
          <w:lang w:val="en-US"/>
        </w:rPr>
        <w:t>initial</w:t>
      </w:r>
      <w:r w:rsidRPr="4C5BA978">
        <w:rPr>
          <w:lang w:val="en-US"/>
        </w:rPr>
        <w:t xml:space="preserve"> descriptive outputs. The prepared analytic dataset includes Year 2 total expenditure in 2018</w:t>
      </w:r>
      <w:r w:rsidR="32DA596D" w:rsidRPr="4C5BA978">
        <w:rPr>
          <w:lang w:val="en-US"/>
        </w:rPr>
        <w:t xml:space="preserve"> dollars and baseline predictors needed for subsequent clustering and predictive modeling. Next steps will compare candidate modeling approaches and evaluate segment-level differences in utilization and spending.</w:t>
      </w:r>
    </w:p>
    <w:p w14:paraId="1E6D5887" w14:textId="77777777" w:rsidR="00C23B00" w:rsidRDefault="00A2358E">
      <w:pPr>
        <w:pStyle w:val="Heading1"/>
        <w:numPr>
          <w:ilvl w:val="0"/>
          <w:numId w:val="1"/>
        </w:numPr>
      </w:pPr>
      <w:r>
        <w:t>References</w:t>
      </w:r>
    </w:p>
    <w:p w14:paraId="30770384" w14:textId="77777777" w:rsidR="00C6753B" w:rsidRDefault="00C6753B" w:rsidP="006D63D0">
      <w:r w:rsidRPr="44D666DB">
        <w:rPr>
          <w:lang w:val="en-US"/>
        </w:rPr>
        <w:t>Wang, J., &amp; Shi, L. (2020). Prediction of medical expenditures of diagnosed diabetics and the assessment of its related factors using a random forest model, MEPS 2000–2015. International Journal for Quality in Health Care, 32(2), 99–112. https://doi.org/10.1093/intqhc/mzz135</w:t>
      </w:r>
    </w:p>
    <w:p w14:paraId="2F85861E" w14:textId="60CEB7E4" w:rsidR="00C6753B" w:rsidRPr="00C6753B" w:rsidRDefault="00C6753B" w:rsidP="006D63D0">
      <w:r>
        <w:t>Federal Reserve Bank of St. Louis. (n.d.). Consumer Price Index for All Urban Consumers: Medical care in U.S. city average (CPIMEDNS) [Data set]. FRED. https://fred.stlouisfed.org/series/CPIMEDNS</w:t>
      </w:r>
    </w:p>
    <w:p w14:paraId="1E6D5888" w14:textId="77777777" w:rsidR="00C23B00" w:rsidRDefault="00C23B00"/>
    <w:sectPr w:rsidR="00C23B0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470F03D-FF93-4FC4-9D54-4BCC6233DA8B}"/>
    <w:embedBold r:id="rId2" w:fontKey="{C8A2F47C-11C6-4057-85BB-63F8C7C236B4}"/>
    <w:embedItalic r:id="rId3" w:fontKey="{AE3F4EC0-243F-442A-A6E5-53D29C69B057}"/>
  </w:font>
  <w:font w:name="Play">
    <w:charset w:val="00"/>
    <w:family w:val="auto"/>
    <w:pitch w:val="default"/>
    <w:embedRegular r:id="rId4" w:fontKey="{6A90EF3E-121E-4B43-86E5-3B4075C611E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1FF11ABC-17BD-4D7D-B9AA-FD789E84E8E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46103"/>
    <w:multiLevelType w:val="multilevel"/>
    <w:tmpl w:val="087000B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00447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B00"/>
    <w:rsid w:val="00112E77"/>
    <w:rsid w:val="00130BF9"/>
    <w:rsid w:val="001C6574"/>
    <w:rsid w:val="002827BF"/>
    <w:rsid w:val="0028410B"/>
    <w:rsid w:val="003110FE"/>
    <w:rsid w:val="00352C0E"/>
    <w:rsid w:val="003E046C"/>
    <w:rsid w:val="003F23AC"/>
    <w:rsid w:val="004143DA"/>
    <w:rsid w:val="004A076F"/>
    <w:rsid w:val="00604222"/>
    <w:rsid w:val="006B2AC4"/>
    <w:rsid w:val="006D63D0"/>
    <w:rsid w:val="006F4211"/>
    <w:rsid w:val="007C2417"/>
    <w:rsid w:val="00842E5B"/>
    <w:rsid w:val="00881C3F"/>
    <w:rsid w:val="009732D2"/>
    <w:rsid w:val="00980CFC"/>
    <w:rsid w:val="009861BC"/>
    <w:rsid w:val="00994990"/>
    <w:rsid w:val="009C711F"/>
    <w:rsid w:val="00A2358E"/>
    <w:rsid w:val="00A536DE"/>
    <w:rsid w:val="00A55AB3"/>
    <w:rsid w:val="00AB6204"/>
    <w:rsid w:val="00AF1A6D"/>
    <w:rsid w:val="00B11B9D"/>
    <w:rsid w:val="00B664CD"/>
    <w:rsid w:val="00C23B00"/>
    <w:rsid w:val="00C6753B"/>
    <w:rsid w:val="00CE3E11"/>
    <w:rsid w:val="00DE0C78"/>
    <w:rsid w:val="00E74829"/>
    <w:rsid w:val="00E77F94"/>
    <w:rsid w:val="00EA54E9"/>
    <w:rsid w:val="00EE5B29"/>
    <w:rsid w:val="00F13017"/>
    <w:rsid w:val="00F161CE"/>
    <w:rsid w:val="00F56DAC"/>
    <w:rsid w:val="00F67A4C"/>
    <w:rsid w:val="02EC2A5A"/>
    <w:rsid w:val="041BE917"/>
    <w:rsid w:val="099F2519"/>
    <w:rsid w:val="0C5FC198"/>
    <w:rsid w:val="0D1BEC70"/>
    <w:rsid w:val="0E66FEF2"/>
    <w:rsid w:val="10E92B64"/>
    <w:rsid w:val="127C576F"/>
    <w:rsid w:val="16107394"/>
    <w:rsid w:val="1AF1B172"/>
    <w:rsid w:val="1CBF7F43"/>
    <w:rsid w:val="1FF51133"/>
    <w:rsid w:val="28311FC0"/>
    <w:rsid w:val="2D53C712"/>
    <w:rsid w:val="2F3533FB"/>
    <w:rsid w:val="320F427E"/>
    <w:rsid w:val="32DA596D"/>
    <w:rsid w:val="3E043950"/>
    <w:rsid w:val="4436424A"/>
    <w:rsid w:val="44D666DB"/>
    <w:rsid w:val="49970937"/>
    <w:rsid w:val="4C5BA978"/>
    <w:rsid w:val="55AE98CC"/>
    <w:rsid w:val="58384005"/>
    <w:rsid w:val="59F4057E"/>
    <w:rsid w:val="5D9BB6AA"/>
    <w:rsid w:val="613CCEC0"/>
    <w:rsid w:val="61487B22"/>
    <w:rsid w:val="67821A85"/>
    <w:rsid w:val="6CA5777F"/>
    <w:rsid w:val="6DAE74E2"/>
    <w:rsid w:val="6FA9F398"/>
    <w:rsid w:val="6FED4F0D"/>
    <w:rsid w:val="76EE726B"/>
    <w:rsid w:val="784E8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D5866"/>
  <w15:docId w15:val="{3976AD35-530D-4F3D-9758-8F6CBD94D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ind w:left="432" w:hanging="432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ind w:left="576" w:hanging="576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ind w:left="720" w:hanging="72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ind w:left="864" w:hanging="864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ind w:left="1008" w:hanging="1008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B14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B14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B14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44B14"/>
    <w:rPr>
      <w:rFonts w:ascii="Play" w:eastAsia="Play" w:hAnsi="Play" w:cs="Play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4B14"/>
    <w:rPr>
      <w:rFonts w:ascii="Play" w:eastAsia="Play" w:hAnsi="Play" w:cs="Play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B14"/>
    <w:rPr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B14"/>
    <w:rPr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B14"/>
    <w:rPr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B14"/>
    <w:rPr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B1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44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44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B14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54710"/>
    <w:pPr>
      <w:spacing w:before="240" w:after="0" w:line="259" w:lineRule="auto"/>
      <w:ind w:left="0" w:firstLine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5471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5471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54710"/>
    <w:rPr>
      <w:color w:val="467886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TableNormal00">
    <w:name w:val="TableNormal0"/>
    <w:rsid w:val="00980CFC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0">
    <w:name w:val="TableNormal1"/>
    <w:rsid w:val="00980CFC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00">
    <w:name w:val="TableNormal00"/>
    <w:rsid w:val="00881C3F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00">
    <w:name w:val="TableNormal10"/>
    <w:rsid w:val="00881C3F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9861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GjNeb5Q30IanGnTkysup5BgXsA==">CgMxLjAyDWgud2VncTh5a24yejAyDmguczZ6MW9uY3lhMTVtMg5oLm5ka2t5Zm1teXB6ejIOaC5idzA3M3Rrb2UxZ3cyDmguMjNucGhmNWRyaGtiMg5oLml2bHFvbjhhcnRvZDIOaC5pZDhxNnlrYXM3emcyDmguYzZyaGE4Z3pqZzgxMg5oLnM0dXpoZnZ4ZGFyMDgAciExTlVqbjBMODF6N2wtQzEzZktxT3hqTUI4NDU2ZkxmTS0=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675</Words>
  <Characters>3274</Characters>
  <Application>Microsoft Office Word</Application>
  <DocSecurity>4</DocSecurity>
  <Lines>297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Huynh</dc:creator>
  <cp:keywords/>
  <cp:lastModifiedBy>Khanh Huynh</cp:lastModifiedBy>
  <cp:revision>25</cp:revision>
  <dcterms:created xsi:type="dcterms:W3CDTF">2025-01-15T19:42:00Z</dcterms:created>
  <dcterms:modified xsi:type="dcterms:W3CDTF">2026-01-17T04:17:00Z</dcterms:modified>
</cp:coreProperties>
</file>