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64AA" w14:textId="68C5938C" w:rsidR="005F072C" w:rsidRPr="005F072C" w:rsidRDefault="005F072C" w:rsidP="005F072C">
      <w:pPr>
        <w:rPr>
          <w:rFonts w:ascii="Times New Roman" w:hAnsi="Times New Roman" w:cs="Times New Roman"/>
          <w:b/>
          <w:bCs/>
          <w:color w:val="000000" w:themeColor="text1"/>
          <w:sz w:val="36"/>
          <w:szCs w:val="36"/>
          <w:lang w:val="en-IN"/>
        </w:rPr>
      </w:pPr>
      <w:r w:rsidRPr="005F072C">
        <w:rPr>
          <w:noProof/>
          <w:color w:val="000000" w:themeColor="text1"/>
        </w:rPr>
        <w:drawing>
          <wp:anchor distT="0" distB="0" distL="114300" distR="114300" simplePos="0" relativeHeight="251659264" behindDoc="1" locked="0" layoutInCell="1" allowOverlap="1" wp14:anchorId="70618D61" wp14:editId="17359390">
            <wp:simplePos x="0" y="0"/>
            <wp:positionH relativeFrom="margin">
              <wp:posOffset>2108200</wp:posOffset>
            </wp:positionH>
            <wp:positionV relativeFrom="paragraph">
              <wp:posOffset>177800</wp:posOffset>
            </wp:positionV>
            <wp:extent cx="2184400" cy="2184400"/>
            <wp:effectExtent l="0" t="0" r="0" b="0"/>
            <wp:wrapTopAndBottom/>
            <wp:docPr id="1569860649" name="Picture 2" descr="Seal - Br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0649" name="Picture 2" descr="Seal - Brand Center"/>
                    <pic:cNvPicPr>
                      <a:picLocks noChangeAspect="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D07955" w14:textId="67C9A147" w:rsidR="005F072C" w:rsidRPr="005F072C" w:rsidRDefault="005F072C" w:rsidP="005F072C">
      <w:pPr>
        <w:rPr>
          <w:rFonts w:ascii="Times New Roman" w:hAnsi="Times New Roman" w:cs="Times New Roman"/>
          <w:b/>
          <w:bCs/>
          <w:color w:val="000000" w:themeColor="text1"/>
          <w:sz w:val="36"/>
          <w:szCs w:val="36"/>
          <w:lang w:val="en-IN"/>
        </w:rPr>
      </w:pPr>
      <w:r w:rsidRPr="005F072C">
        <w:rPr>
          <w:rFonts w:ascii="Times New Roman" w:hAnsi="Times New Roman" w:cs="Times New Roman"/>
          <w:b/>
          <w:bCs/>
          <w:color w:val="000000" w:themeColor="text1"/>
          <w:sz w:val="36"/>
          <w:szCs w:val="36"/>
          <w:lang w:val="en-IN"/>
        </w:rPr>
        <w:t xml:space="preserve">Identifying Latent High-Cost Risk in Healthcare: A Two-Stage </w:t>
      </w:r>
      <w:proofErr w:type="spellStart"/>
      <w:r w:rsidRPr="005F072C">
        <w:rPr>
          <w:rFonts w:ascii="Times New Roman" w:hAnsi="Times New Roman" w:cs="Times New Roman"/>
          <w:b/>
          <w:bCs/>
          <w:color w:val="000000" w:themeColor="text1"/>
          <w:sz w:val="36"/>
          <w:szCs w:val="36"/>
          <w:lang w:val="en-IN"/>
        </w:rPr>
        <w:t>Modeling</w:t>
      </w:r>
      <w:proofErr w:type="spellEnd"/>
      <w:r w:rsidRPr="005F072C">
        <w:rPr>
          <w:rFonts w:ascii="Times New Roman" w:hAnsi="Times New Roman" w:cs="Times New Roman"/>
          <w:b/>
          <w:bCs/>
          <w:color w:val="000000" w:themeColor="text1"/>
          <w:sz w:val="36"/>
          <w:szCs w:val="36"/>
          <w:lang w:val="en-IN"/>
        </w:rPr>
        <w:t xml:space="preserve"> Approach Using MEPS Longitudinal Data</w:t>
      </w:r>
    </w:p>
    <w:p w14:paraId="52CB7E9B" w14:textId="77777777" w:rsidR="005F072C" w:rsidRPr="005F072C" w:rsidRDefault="005F072C" w:rsidP="005F072C">
      <w:pPr>
        <w:rPr>
          <w:rFonts w:ascii="Times New Roman" w:hAnsi="Times New Roman" w:cs="Times New Roman"/>
          <w:b/>
          <w:bCs/>
          <w:color w:val="000000" w:themeColor="text1"/>
          <w:sz w:val="36"/>
          <w:szCs w:val="36"/>
          <w:lang w:val="en-IN"/>
        </w:rPr>
      </w:pPr>
    </w:p>
    <w:p w14:paraId="63C4DA25" w14:textId="77777777" w:rsidR="005F072C" w:rsidRPr="005F072C" w:rsidRDefault="005F072C" w:rsidP="005F072C">
      <w:pPr>
        <w:jc w:val="center"/>
        <w:rPr>
          <w:rFonts w:ascii="Times New Roman" w:hAnsi="Times New Roman" w:cs="Times New Roman"/>
          <w:color w:val="000000" w:themeColor="text1"/>
          <w:sz w:val="22"/>
          <w:szCs w:val="22"/>
          <w:lang w:val="en-IN"/>
        </w:rPr>
      </w:pPr>
      <w:r w:rsidRPr="005F072C">
        <w:rPr>
          <w:rFonts w:ascii="Times New Roman" w:hAnsi="Times New Roman" w:cs="Times New Roman"/>
          <w:color w:val="000000" w:themeColor="text1"/>
          <w:sz w:val="22"/>
          <w:szCs w:val="22"/>
          <w:lang w:val="en-IN"/>
        </w:rPr>
        <w:t>ALY6980</w:t>
      </w:r>
    </w:p>
    <w:p w14:paraId="11F1B57B" w14:textId="77777777" w:rsidR="005F072C" w:rsidRPr="005F072C" w:rsidRDefault="005F072C" w:rsidP="005F072C">
      <w:pPr>
        <w:jc w:val="center"/>
        <w:rPr>
          <w:rFonts w:ascii="Times New Roman" w:hAnsi="Times New Roman" w:cs="Times New Roman"/>
          <w:color w:val="000000" w:themeColor="text1"/>
          <w:sz w:val="22"/>
          <w:szCs w:val="22"/>
        </w:rPr>
      </w:pPr>
      <w:r w:rsidRPr="005F072C">
        <w:rPr>
          <w:rFonts w:ascii="Times New Roman" w:hAnsi="Times New Roman" w:cs="Times New Roman"/>
          <w:color w:val="000000" w:themeColor="text1"/>
          <w:sz w:val="22"/>
          <w:szCs w:val="22"/>
        </w:rPr>
        <w:t>XN Biweekly Report</w:t>
      </w:r>
    </w:p>
    <w:p w14:paraId="00CBE2B7" w14:textId="1DD5AEAD" w:rsidR="005F072C" w:rsidRPr="005F072C" w:rsidRDefault="005F072C" w:rsidP="005F072C">
      <w:pPr>
        <w:jc w:val="center"/>
        <w:rPr>
          <w:rFonts w:ascii="Times New Roman" w:hAnsi="Times New Roman" w:cs="Times New Roman"/>
          <w:color w:val="000000" w:themeColor="text1"/>
          <w:sz w:val="22"/>
          <w:szCs w:val="22"/>
          <w:lang w:val="en-IN"/>
        </w:rPr>
      </w:pPr>
      <w:proofErr w:type="spellStart"/>
      <w:r w:rsidRPr="005F072C">
        <w:rPr>
          <w:rFonts w:ascii="Times New Roman" w:hAnsi="Times New Roman" w:cs="Times New Roman"/>
          <w:color w:val="000000" w:themeColor="text1"/>
          <w:sz w:val="22"/>
          <w:szCs w:val="22"/>
          <w:lang w:val="en-IN"/>
        </w:rPr>
        <w:t>Shuaibing</w:t>
      </w:r>
      <w:proofErr w:type="spellEnd"/>
      <w:r w:rsidRPr="005F072C">
        <w:rPr>
          <w:rFonts w:ascii="Times New Roman" w:hAnsi="Times New Roman" w:cs="Times New Roman"/>
          <w:color w:val="000000" w:themeColor="text1"/>
          <w:sz w:val="22"/>
          <w:szCs w:val="22"/>
          <w:lang w:val="en-IN"/>
        </w:rPr>
        <w:t xml:space="preserve"> Gao</w:t>
      </w:r>
    </w:p>
    <w:p w14:paraId="2F8FB1B9" w14:textId="5AE4867A" w:rsidR="005F072C" w:rsidRPr="005F072C" w:rsidRDefault="005F072C" w:rsidP="005F072C">
      <w:pPr>
        <w:jc w:val="center"/>
        <w:rPr>
          <w:rFonts w:ascii="Times New Roman" w:hAnsi="Times New Roman" w:cs="Times New Roman"/>
          <w:color w:val="000000" w:themeColor="text1"/>
          <w:sz w:val="22"/>
          <w:szCs w:val="22"/>
        </w:rPr>
      </w:pPr>
      <w:r w:rsidRPr="005F072C">
        <w:rPr>
          <w:rFonts w:ascii="Times New Roman" w:hAnsi="Times New Roman" w:cs="Times New Roman"/>
          <w:color w:val="000000" w:themeColor="text1"/>
          <w:sz w:val="22"/>
          <w:szCs w:val="22"/>
          <w:lang w:val="en-IN"/>
        </w:rPr>
        <w:t>ALY6980</w:t>
      </w:r>
      <w:r w:rsidRPr="005F072C">
        <w:rPr>
          <w:rFonts w:ascii="Times New Roman" w:hAnsi="Times New Roman" w:cs="Times New Roman"/>
          <w:color w:val="000000" w:themeColor="text1"/>
          <w:sz w:val="22"/>
          <w:szCs w:val="22"/>
          <w:lang w:val="en-IN"/>
        </w:rPr>
        <w:t>:</w:t>
      </w:r>
      <w:r w:rsidRPr="005F072C">
        <w:rPr>
          <w:rFonts w:ascii="Times New Roman" w:hAnsi="Times New Roman" w:cs="Times New Roman"/>
          <w:color w:val="000000" w:themeColor="text1"/>
          <w:sz w:val="22"/>
          <w:szCs w:val="22"/>
          <w:lang w:val="en-IN"/>
        </w:rPr>
        <w:t xml:space="preserve"> Capstone</w:t>
      </w:r>
    </w:p>
    <w:p w14:paraId="36A1DDB0" w14:textId="77777777" w:rsidR="005F072C" w:rsidRPr="005F072C" w:rsidRDefault="005F072C" w:rsidP="005F072C">
      <w:pPr>
        <w:jc w:val="center"/>
        <w:rPr>
          <w:rFonts w:ascii="Times New Roman" w:hAnsi="Times New Roman" w:cs="Times New Roman"/>
          <w:color w:val="000000" w:themeColor="text1"/>
          <w:sz w:val="22"/>
          <w:szCs w:val="22"/>
        </w:rPr>
      </w:pPr>
      <w:r w:rsidRPr="005F072C">
        <w:rPr>
          <w:rFonts w:ascii="Times New Roman" w:hAnsi="Times New Roman" w:cs="Times New Roman"/>
          <w:color w:val="000000" w:themeColor="text1"/>
          <w:sz w:val="22"/>
          <w:szCs w:val="22"/>
          <w:lang w:val="en-IN"/>
        </w:rPr>
        <w:t xml:space="preserve">Professor- </w:t>
      </w:r>
      <w:r w:rsidRPr="005F072C">
        <w:rPr>
          <w:rFonts w:ascii="Times New Roman" w:hAnsi="Times New Roman" w:cs="Times New Roman"/>
          <w:color w:val="000000" w:themeColor="text1"/>
          <w:sz w:val="22"/>
          <w:szCs w:val="22"/>
        </w:rPr>
        <w:t>AJIT APPARI</w:t>
      </w:r>
    </w:p>
    <w:p w14:paraId="7AC2721A" w14:textId="77777777" w:rsidR="005F072C" w:rsidRPr="005F072C" w:rsidRDefault="005F072C" w:rsidP="005F072C">
      <w:pPr>
        <w:jc w:val="center"/>
        <w:rPr>
          <w:rFonts w:ascii="Times New Roman" w:hAnsi="Times New Roman" w:cs="Times New Roman"/>
          <w:color w:val="000000" w:themeColor="text1"/>
          <w:sz w:val="22"/>
          <w:szCs w:val="22"/>
          <w:lang w:val="en-IN"/>
        </w:rPr>
      </w:pPr>
      <w:r w:rsidRPr="005F072C">
        <w:rPr>
          <w:rFonts w:ascii="Times New Roman" w:hAnsi="Times New Roman" w:cs="Times New Roman"/>
          <w:color w:val="000000" w:themeColor="text1"/>
          <w:sz w:val="22"/>
          <w:szCs w:val="22"/>
          <w:lang w:val="en-IN"/>
        </w:rPr>
        <w:t>12</w:t>
      </w:r>
      <w:r w:rsidRPr="005F072C">
        <w:rPr>
          <w:rFonts w:ascii="Times New Roman" w:hAnsi="Times New Roman" w:cs="Times New Roman"/>
          <w:color w:val="000000" w:themeColor="text1"/>
          <w:sz w:val="22"/>
          <w:szCs w:val="22"/>
          <w:vertAlign w:val="superscript"/>
          <w:lang w:val="en-IN"/>
        </w:rPr>
        <w:t>th</w:t>
      </w:r>
      <w:r w:rsidRPr="005F072C">
        <w:rPr>
          <w:rFonts w:ascii="Times New Roman" w:hAnsi="Times New Roman" w:cs="Times New Roman"/>
          <w:color w:val="000000" w:themeColor="text1"/>
          <w:sz w:val="22"/>
          <w:szCs w:val="22"/>
          <w:lang w:val="en-IN"/>
        </w:rPr>
        <w:t xml:space="preserve">  January 2026</w:t>
      </w:r>
    </w:p>
    <w:p w14:paraId="462FA57E" w14:textId="10A04AC8" w:rsidR="005F072C" w:rsidRPr="005F072C" w:rsidRDefault="005F072C">
      <w:pPr>
        <w:rPr>
          <w:color w:val="000000" w:themeColor="text1"/>
          <w:lang w:val="en-IN"/>
        </w:rPr>
      </w:pPr>
    </w:p>
    <w:p w14:paraId="38715605" w14:textId="40677DC1" w:rsidR="005F072C" w:rsidRPr="005F072C" w:rsidRDefault="005F072C">
      <w:pP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br w:type="page"/>
      </w:r>
    </w:p>
    <w:p w14:paraId="0492A12B" w14:textId="00B92DA2" w:rsidR="005F072C" w:rsidRPr="005F072C" w:rsidRDefault="005F072C" w:rsidP="005F072C">
      <w:pPr>
        <w:spacing w:after="0" w:line="240" w:lineRule="auto"/>
        <w:jc w:val="center"/>
        <w:rPr>
          <w:rFonts w:ascii="Times New Roman" w:eastAsia="Times New Roman" w:hAnsi="Times New Roman" w:cs="Times New Roman"/>
          <w:b/>
          <w:bCs/>
          <w:color w:val="000000" w:themeColor="text1"/>
          <w:kern w:val="0"/>
          <w:sz w:val="28"/>
          <w:szCs w:val="28"/>
          <w14:ligatures w14:val="none"/>
        </w:rPr>
      </w:pPr>
      <w:r w:rsidRPr="005F072C">
        <w:rPr>
          <w:rFonts w:ascii="Times New Roman" w:eastAsia="Times New Roman" w:hAnsi="Times New Roman" w:cs="Times New Roman"/>
          <w:b/>
          <w:bCs/>
          <w:color w:val="000000" w:themeColor="text1"/>
          <w:kern w:val="0"/>
          <w:sz w:val="28"/>
          <w:szCs w:val="28"/>
          <w14:ligatures w14:val="none"/>
        </w:rPr>
        <w:lastRenderedPageBreak/>
        <w:t>Introduction</w:t>
      </w:r>
    </w:p>
    <w:p w14:paraId="083D99C9"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3E41591C" w14:textId="18E3528C"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In the landscape of US healthcare economics, a small fraction of the population accounts for </w:t>
      </w:r>
      <w:proofErr w:type="gramStart"/>
      <w:r w:rsidRPr="005F072C">
        <w:rPr>
          <w:rFonts w:ascii="Times New Roman" w:eastAsia="Times New Roman" w:hAnsi="Times New Roman" w:cs="Times New Roman"/>
          <w:color w:val="000000" w:themeColor="text1"/>
          <w:kern w:val="0"/>
          <w14:ligatures w14:val="none"/>
        </w:rPr>
        <w:t>the majority of</w:t>
      </w:r>
      <w:proofErr w:type="gramEnd"/>
      <w:r w:rsidRPr="005F072C">
        <w:rPr>
          <w:rFonts w:ascii="Times New Roman" w:eastAsia="Times New Roman" w:hAnsi="Times New Roman" w:cs="Times New Roman"/>
          <w:color w:val="000000" w:themeColor="text1"/>
          <w:kern w:val="0"/>
          <w14:ligatures w14:val="none"/>
        </w:rPr>
        <w:t xml:space="preserve"> expenditures. While predicting persistent high-cost utilizers is relatively straightforward, the greater challenge</w:t>
      </w:r>
      <w:r>
        <w:rPr>
          <w:rFonts w:ascii="Times New Roman" w:eastAsia="Times New Roman" w:hAnsi="Times New Roman" w:cs="Times New Roman" w:hint="eastAsia"/>
          <w:color w:val="000000" w:themeColor="text1"/>
          <w:kern w:val="0"/>
          <w14:ligatures w14:val="none"/>
        </w:rPr>
        <w:t xml:space="preserve"> </w:t>
      </w:r>
      <w:r w:rsidRPr="005F072C">
        <w:rPr>
          <w:rFonts w:ascii="Times New Roman" w:eastAsia="Times New Roman" w:hAnsi="Times New Roman" w:cs="Times New Roman"/>
          <w:color w:val="000000" w:themeColor="text1"/>
          <w:kern w:val="0"/>
          <w14:ligatures w14:val="none"/>
        </w:rPr>
        <w:t>and opportunity</w:t>
      </w:r>
      <w:r>
        <w:rPr>
          <w:rFonts w:ascii="Times New Roman" w:eastAsia="Times New Roman" w:hAnsi="Times New Roman" w:cs="Times New Roman" w:hint="eastAsia"/>
          <w:color w:val="000000" w:themeColor="text1"/>
          <w:kern w:val="0"/>
          <w14:ligatures w14:val="none"/>
        </w:rPr>
        <w:t xml:space="preserve"> </w:t>
      </w:r>
      <w:proofErr w:type="gramStart"/>
      <w:r w:rsidRPr="005F072C">
        <w:rPr>
          <w:rFonts w:ascii="Times New Roman" w:eastAsia="Times New Roman" w:hAnsi="Times New Roman" w:cs="Times New Roman"/>
          <w:color w:val="000000" w:themeColor="text1"/>
          <w:kern w:val="0"/>
          <w14:ligatures w14:val="none"/>
        </w:rPr>
        <w:t>lies</w:t>
      </w:r>
      <w:proofErr w:type="gramEnd"/>
      <w:r w:rsidRPr="005F072C">
        <w:rPr>
          <w:rFonts w:ascii="Times New Roman" w:eastAsia="Times New Roman" w:hAnsi="Times New Roman" w:cs="Times New Roman"/>
          <w:color w:val="000000" w:themeColor="text1"/>
          <w:kern w:val="0"/>
          <w14:ligatures w14:val="none"/>
        </w:rPr>
        <w:t xml:space="preserve"> in identifying the "Hidden Risers": patients with historically low spending who experience a sudden, severe escalation in care needs. Traditional actuarial models, which rely heavily on prior-year cost as a predictor, often fail to detect these emerging risks until after a costly event has occurred.</w:t>
      </w:r>
    </w:p>
    <w:p w14:paraId="6C045DA3"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7E892794" w14:textId="5FD9FCC8"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This study leverages the Medical Expenditure Panel Survey (MEPS) longitudinal data (Panels 18-23, covering 2013-2019) to develop a sophisticated predictive framework. By engineering features that capture clinical interactions and care utilization styles, and by implementing a two-stage "Latent Risk" modeling architecture, </w:t>
      </w: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w:t>
      </w:r>
      <w:proofErr w:type="gramStart"/>
      <w:r w:rsidRPr="005F072C">
        <w:rPr>
          <w:rFonts w:ascii="Times New Roman" w:eastAsia="Times New Roman" w:hAnsi="Times New Roman" w:cs="Times New Roman"/>
          <w:color w:val="000000" w:themeColor="text1"/>
          <w:kern w:val="0"/>
          <w14:ligatures w14:val="none"/>
        </w:rPr>
        <w:t>aim</w:t>
      </w:r>
      <w:proofErr w:type="gramEnd"/>
      <w:r w:rsidRPr="005F072C">
        <w:rPr>
          <w:rFonts w:ascii="Times New Roman" w:eastAsia="Times New Roman" w:hAnsi="Times New Roman" w:cs="Times New Roman"/>
          <w:color w:val="000000" w:themeColor="text1"/>
          <w:kern w:val="0"/>
          <w14:ligatures w14:val="none"/>
        </w:rPr>
        <w:t xml:space="preserve"> to predict future high-cost events with greater accuracy and earlier detection than standard baseline models.</w:t>
      </w:r>
    </w:p>
    <w:p w14:paraId="6EC05239"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631F3F7A" w14:textId="5B185F8A" w:rsidR="005F072C" w:rsidRPr="005F072C" w:rsidRDefault="005F072C" w:rsidP="005F072C">
      <w:pPr>
        <w:spacing w:after="0" w:line="240" w:lineRule="auto"/>
        <w:rPr>
          <w:rFonts w:ascii="Times New Roman" w:eastAsia="Times New Roman" w:hAnsi="Times New Roman" w:cs="Times New Roman"/>
          <w:b/>
          <w:bCs/>
          <w:color w:val="000000" w:themeColor="text1"/>
          <w:kern w:val="0"/>
          <w:sz w:val="28"/>
          <w:szCs w:val="28"/>
          <w14:ligatures w14:val="none"/>
        </w:rPr>
      </w:pPr>
      <w:r w:rsidRPr="005F072C">
        <w:rPr>
          <w:rFonts w:ascii="Times New Roman" w:eastAsia="Times New Roman" w:hAnsi="Times New Roman" w:cs="Times New Roman"/>
          <w:b/>
          <w:bCs/>
          <w:color w:val="000000" w:themeColor="text1"/>
          <w:kern w:val="0"/>
          <w:sz w:val="28"/>
          <w:szCs w:val="28"/>
          <w14:ligatures w14:val="none"/>
        </w:rPr>
        <w:t>Research Methods</w:t>
      </w:r>
    </w:p>
    <w:p w14:paraId="40D32561"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7F4DCFF4" w14:textId="77777777"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2.1 Data Acquisition and Standardization</w:t>
      </w:r>
    </w:p>
    <w:p w14:paraId="672FBC0C"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Data was sourced from the Agency for Healthcare Research and Quality (AHRQ), utilizing the MEPS longitudinal files (HC-172 through HC-212). The dataset includes demographic, medical, and financial variables for a nationally representative sample of the U.S. civilian non-institutionalized population.</w:t>
      </w:r>
    </w:p>
    <w:p w14:paraId="2D4E14AB"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277BA4B6" w14:textId="6E412E5E"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Inflation Adjustment: To ensure financial comparability across the study period (2013-201</w:t>
      </w:r>
      <w:r>
        <w:rPr>
          <w:rFonts w:ascii="Times New Roman" w:eastAsia="Times New Roman" w:hAnsi="Times New Roman" w:cs="Times New Roman" w:hint="eastAsia"/>
          <w:color w:val="000000" w:themeColor="text1"/>
          <w:kern w:val="0"/>
          <w14:ligatures w14:val="none"/>
        </w:rPr>
        <w:t>8</w:t>
      </w:r>
      <w:r w:rsidRPr="005F072C">
        <w:rPr>
          <w:rFonts w:ascii="Times New Roman" w:eastAsia="Times New Roman" w:hAnsi="Times New Roman" w:cs="Times New Roman"/>
          <w:color w:val="000000" w:themeColor="text1"/>
          <w:kern w:val="0"/>
          <w14:ligatures w14:val="none"/>
        </w:rPr>
        <w:t>), all cost variables were adjusted to 2025 dollars using the Medical Care component of the Consumer Price Index (CPI).</w:t>
      </w:r>
    </w:p>
    <w:p w14:paraId="4D6AA39F" w14:textId="77777777" w:rsidR="005F072C" w:rsidRPr="005F072C" w:rsidRDefault="005F072C" w:rsidP="005F072C">
      <w:pPr>
        <w:spacing w:after="0" w:line="240" w:lineRule="auto"/>
        <w:rPr>
          <w:rFonts w:ascii="Times New Roman" w:eastAsia="Times New Roman" w:hAnsi="Times New Roman" w:cs="Times New Roman" w:hint="eastAsia"/>
          <w:color w:val="000000" w:themeColor="text1"/>
          <w:kern w:val="0"/>
          <w14:ligatures w14:val="none"/>
        </w:rPr>
      </w:pPr>
      <w:r w:rsidRPr="005F072C">
        <w:rPr>
          <w:rFonts w:ascii="Times New Roman" w:eastAsia="Times New Roman" w:hAnsi="Times New Roman" w:cs="Times New Roman" w:hint="eastAsia"/>
          <w:color w:val="000000" w:themeColor="text1"/>
          <w:kern w:val="0"/>
          <w14:ligatures w14:val="none"/>
        </w:rPr>
        <w:t>Population Filtering: The analysis cohort was restricted to adults (Age ≥ 18) with no active cancer diagnosis in the baseline year (Year 1), ensuring the model focuses on incident risk rather than the progression of known metastatic disease.</w:t>
      </w:r>
    </w:p>
    <w:p w14:paraId="54E25AE3" w14:textId="77777777" w:rsid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p>
    <w:p w14:paraId="0F13EBDF" w14:textId="3819E7E7"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2.2 Advanced Feature Engineering</w:t>
      </w:r>
    </w:p>
    <w:p w14:paraId="0A4C8D13" w14:textId="7657531B"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Beyond standard demographics, </w:t>
      </w: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developed three "Deep Dive" feature sets to capture latent risk signals:</w:t>
      </w:r>
    </w:p>
    <w:p w14:paraId="35CCDB2F"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0F016648" w14:textId="63379F2C"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Care Phenotyping (Clustering): </w:t>
      </w: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applied K-Means clustering to utilization vectors (Emergency, Inpatient, Outpatient, Prescription counts) to categorize patients into distinct "Care Phenotypes" (e.g., "Emergency-Dependent" vs. "Pharmacologically Managed").</w:t>
      </w:r>
    </w:p>
    <w:p w14:paraId="43BD8138" w14:textId="1BCC16AA"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Interaction Effects: </w:t>
      </w: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hypothesized a "Multiplier Effect" where poor mental health exacerbates the cost of chronic physical conditions. A binary feature MH_ADVERSE (defined as Self-Reported Mental Health = Fair or Poor) was interacted with chronic disease counts to create INTERACT_CHRONIC_MENTAL.</w:t>
      </w:r>
    </w:p>
    <w:p w14:paraId="58130980" w14:textId="787F7B18"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Warning Signals: </w:t>
      </w: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calculated the RATIO_ER_OFFICE to identify patients relying on crisis care (ER) rather than preventive management (Office visits).</w:t>
      </w:r>
    </w:p>
    <w:p w14:paraId="5C59E2AC" w14:textId="77777777" w:rsid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p>
    <w:p w14:paraId="6D604A44" w14:textId="0AC5ABBB"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2.3 Two-Stage "Latent Risk" Modeling Strategy</w:t>
      </w:r>
    </w:p>
    <w:p w14:paraId="220DF995" w14:textId="5112EC89"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To capture the risk of sudden escalation, </w:t>
      </w: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employed a valid two-stage approach:</w:t>
      </w:r>
    </w:p>
    <w:p w14:paraId="0D2C8BBE"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00F9BDDC" w14:textId="34717D5B"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Stage 1 (Auxiliary Model):</w:t>
      </w:r>
      <w:r w:rsidRPr="005F072C">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A</w:t>
      </w:r>
      <w:r w:rsidRPr="005F072C">
        <w:rPr>
          <w:rFonts w:ascii="Times New Roman" w:eastAsia="Times New Roman" w:hAnsi="Times New Roman" w:cs="Times New Roman"/>
          <w:color w:val="000000" w:themeColor="text1"/>
          <w:kern w:val="0"/>
          <w14:ligatures w14:val="none"/>
        </w:rPr>
        <w:t xml:space="preserve"> weighted Logistic Regression model </w:t>
      </w:r>
      <w:r>
        <w:rPr>
          <w:rFonts w:ascii="Times New Roman" w:eastAsia="Times New Roman" w:hAnsi="Times New Roman" w:cs="Times New Roman"/>
          <w:color w:val="000000" w:themeColor="text1"/>
          <w:kern w:val="0"/>
          <w14:ligatures w14:val="none"/>
        </w:rPr>
        <w:t>is trained for</w:t>
      </w:r>
      <w:r w:rsidRPr="005F072C">
        <w:rPr>
          <w:rFonts w:ascii="Times New Roman" w:eastAsia="Times New Roman" w:hAnsi="Times New Roman" w:cs="Times New Roman"/>
          <w:color w:val="000000" w:themeColor="text1"/>
          <w:kern w:val="0"/>
          <w14:ligatures w14:val="none"/>
        </w:rPr>
        <w:t xml:space="preserve"> predict</w:t>
      </w:r>
      <w:r>
        <w:rPr>
          <w:rFonts w:ascii="Times New Roman" w:eastAsia="Times New Roman" w:hAnsi="Times New Roman" w:cs="Times New Roman"/>
          <w:color w:val="000000" w:themeColor="text1"/>
          <w:kern w:val="0"/>
          <w14:ligatures w14:val="none"/>
        </w:rPr>
        <w:t>ing</w:t>
      </w:r>
      <w:r w:rsidRPr="005F072C">
        <w:rPr>
          <w:rFonts w:ascii="Times New Roman" w:eastAsia="Times New Roman" w:hAnsi="Times New Roman" w:cs="Times New Roman"/>
          <w:color w:val="000000" w:themeColor="text1"/>
          <w:kern w:val="0"/>
          <w14:ligatures w14:val="none"/>
        </w:rPr>
        <w:t xml:space="preserve"> a proxy target, LATENT_EVENT_Y2 (defined as Year 2 costs in the top 15% of the population). Crucially, we generated out-of-fold probability scores (PROB_LATENT_RISK) using 5-fold cross-validation. This ensures that the risk score for every patient is unbiased and generated by a model that did not see that patient during training.</w:t>
      </w:r>
    </w:p>
    <w:p w14:paraId="07F55F7E"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Stage 2 (Main Outcome Model):</w:t>
      </w:r>
      <w:r w:rsidRPr="005F072C">
        <w:rPr>
          <w:rFonts w:ascii="Times New Roman" w:eastAsia="Times New Roman" w:hAnsi="Times New Roman" w:cs="Times New Roman"/>
          <w:color w:val="000000" w:themeColor="text1"/>
          <w:kern w:val="0"/>
          <w14:ligatures w14:val="none"/>
        </w:rPr>
        <w:t xml:space="preserve"> The unbiased PROB_LATENT_RISK was fed as a single, powerful feature into the final model to predict the primary binary target: High Cost in Year 2 (Top 10%).</w:t>
      </w:r>
    </w:p>
    <w:p w14:paraId="11868560" w14:textId="77777777" w:rsidR="005F072C" w:rsidRDefault="005F072C" w:rsidP="005F072C">
      <w:pPr>
        <w:spacing w:after="0" w:line="240" w:lineRule="auto"/>
        <w:rPr>
          <w:rFonts w:ascii="Times New Roman" w:eastAsia="Times New Roman" w:hAnsi="Times New Roman" w:cs="Times New Roman"/>
          <w:b/>
          <w:bCs/>
          <w:color w:val="000000" w:themeColor="text1"/>
          <w:kern w:val="0"/>
          <w:sz w:val="28"/>
          <w:szCs w:val="28"/>
          <w14:ligatures w14:val="none"/>
        </w:rPr>
      </w:pPr>
    </w:p>
    <w:p w14:paraId="6B5D0B96" w14:textId="2F4552CE"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sz w:val="28"/>
          <w:szCs w:val="28"/>
          <w14:ligatures w14:val="none"/>
        </w:rPr>
        <w:t>Analysis Results and Discussion</w:t>
      </w:r>
    </w:p>
    <w:p w14:paraId="6B926247"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69D12BB6" w14:textId="77777777"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3.1 Exploratory Analysis: The Signature of "Jumpers"</w:t>
      </w:r>
    </w:p>
    <w:p w14:paraId="070EEF9F" w14:textId="00DBE471" w:rsid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The initial analysis isolated a cohort of "Jumpers" (Low Cost Y1 </w:t>
      </w:r>
      <w:r>
        <w:rPr>
          <w:rFonts w:ascii="Times New Roman" w:eastAsia="Times New Roman" w:hAnsi="Times New Roman" w:cs="Times New Roman"/>
          <w:color w:val="000000" w:themeColor="text1"/>
          <w:kern w:val="0"/>
          <w14:ligatures w14:val="none"/>
        </w:rPr>
        <w:t xml:space="preserve">~ </w:t>
      </w:r>
      <w:r w:rsidRPr="005F072C">
        <w:rPr>
          <w:rFonts w:ascii="Times New Roman" w:eastAsia="Times New Roman" w:hAnsi="Times New Roman" w:cs="Times New Roman" w:hint="eastAsia"/>
          <w:color w:val="000000" w:themeColor="text1"/>
          <w:kern w:val="0"/>
          <w14:ligatures w14:val="none"/>
        </w:rPr>
        <w:t xml:space="preserve">High Cost Y2). </w:t>
      </w:r>
      <w:r>
        <w:rPr>
          <w:rFonts w:ascii="Times New Roman" w:eastAsia="Times New Roman" w:hAnsi="Times New Roman" w:cs="Times New Roman" w:hint="eastAsia"/>
          <w:color w:val="000000" w:themeColor="text1"/>
          <w:kern w:val="0"/>
          <w14:ligatures w14:val="none"/>
        </w:rPr>
        <w:t>T</w:t>
      </w:r>
      <w:r>
        <w:rPr>
          <w:rFonts w:ascii="Times New Roman" w:eastAsia="Times New Roman" w:hAnsi="Times New Roman" w:cs="Times New Roman"/>
          <w:color w:val="000000" w:themeColor="text1"/>
          <w:kern w:val="0"/>
          <w14:ligatures w14:val="none"/>
        </w:rPr>
        <w:t xml:space="preserve">hese patients look healthy with expenditure lower than median in the Y1. </w:t>
      </w:r>
      <w:proofErr w:type="gramStart"/>
      <w:r>
        <w:rPr>
          <w:rFonts w:ascii="Times New Roman" w:eastAsia="Times New Roman" w:hAnsi="Times New Roman" w:cs="Times New Roman"/>
          <w:color w:val="000000" w:themeColor="text1"/>
          <w:kern w:val="0"/>
          <w14:ligatures w14:val="none"/>
        </w:rPr>
        <w:t>However</w:t>
      </w:r>
      <w:proofErr w:type="gramEnd"/>
      <w:r>
        <w:rPr>
          <w:rFonts w:ascii="Times New Roman" w:eastAsia="Times New Roman" w:hAnsi="Times New Roman" w:cs="Times New Roman"/>
          <w:color w:val="000000" w:themeColor="text1"/>
          <w:kern w:val="0"/>
          <w14:ligatures w14:val="none"/>
        </w:rPr>
        <w:t xml:space="preserve"> jumped to top 10% in the patients on expenditure in Y2.</w:t>
      </w:r>
    </w:p>
    <w:p w14:paraId="0D788F0D" w14:textId="6B5176BE"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hint="eastAsia"/>
          <w:color w:val="000000" w:themeColor="text1"/>
          <w:kern w:val="0"/>
          <w14:ligatures w14:val="none"/>
        </w:rPr>
        <w:t>As shown in Figure 1, these patients displayed specific leading indicators in Year 1.</w:t>
      </w:r>
      <w:r>
        <w:rPr>
          <w:rFonts w:ascii="Times New Roman" w:eastAsia="Times New Roman" w:hAnsi="Times New Roman" w:cs="Times New Roman"/>
          <w:color w:val="000000" w:themeColor="text1"/>
          <w:kern w:val="0"/>
          <w14:ligatures w14:val="none"/>
        </w:rPr>
        <w:t xml:space="preserve"> </w:t>
      </w:r>
      <w:r w:rsidRPr="005F072C">
        <w:rPr>
          <w:rFonts w:ascii="Times New Roman" w:eastAsia="Times New Roman" w:hAnsi="Times New Roman" w:cs="Times New Roman"/>
          <w:color w:val="000000" w:themeColor="text1"/>
          <w:kern w:val="0"/>
          <w14:ligatures w14:val="none"/>
        </w:rPr>
        <w:t>If the bar height for a feature exceeds 1.0 (dashed line), it indicates that the feature acts as a risk multiplier. This intuitively explains why these features should be retained.</w:t>
      </w:r>
    </w:p>
    <w:p w14:paraId="6514B046"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Inpatient Utilization:</w:t>
      </w:r>
      <w:r w:rsidRPr="005F072C">
        <w:rPr>
          <w:rFonts w:ascii="Times New Roman" w:eastAsia="Times New Roman" w:hAnsi="Times New Roman" w:cs="Times New Roman"/>
          <w:color w:val="000000" w:themeColor="text1"/>
          <w:kern w:val="0"/>
          <w14:ligatures w14:val="none"/>
        </w:rPr>
        <w:t xml:space="preserve"> The strongest predictor of future escalation was </w:t>
      </w:r>
      <w:proofErr w:type="gramStart"/>
      <w:r w:rsidRPr="005F072C">
        <w:rPr>
          <w:rFonts w:ascii="Times New Roman" w:eastAsia="Times New Roman" w:hAnsi="Times New Roman" w:cs="Times New Roman"/>
          <w:color w:val="000000" w:themeColor="text1"/>
          <w:kern w:val="0"/>
          <w14:ligatures w14:val="none"/>
        </w:rPr>
        <w:t>baseline</w:t>
      </w:r>
      <w:proofErr w:type="gramEnd"/>
      <w:r w:rsidRPr="005F072C">
        <w:rPr>
          <w:rFonts w:ascii="Times New Roman" w:eastAsia="Times New Roman" w:hAnsi="Times New Roman" w:cs="Times New Roman"/>
          <w:color w:val="000000" w:themeColor="text1"/>
          <w:kern w:val="0"/>
          <w14:ligatures w14:val="none"/>
        </w:rPr>
        <w:t xml:space="preserve"> inpatient probability. "Jumpers" had a relative risk ratio of 3.17 for inpatient discharges (UTIL_IP_Y1) compared to the stable low-cost group.</w:t>
      </w:r>
    </w:p>
    <w:p w14:paraId="7CAC6BF2" w14:textId="77777777" w:rsid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Hidden Drug Dependency:</w:t>
      </w:r>
      <w:r w:rsidRPr="005F072C">
        <w:rPr>
          <w:rFonts w:ascii="Times New Roman" w:eastAsia="Times New Roman" w:hAnsi="Times New Roman" w:cs="Times New Roman"/>
          <w:color w:val="000000" w:themeColor="text1"/>
          <w:kern w:val="0"/>
          <w14:ligatures w14:val="none"/>
        </w:rPr>
        <w:t xml:space="preserve"> Prescription utilization (UTIL_RX_Y1) showed a risk ratio of 2.94, while office-based visits had a lower ratio of 2.06. This suggests that rising medication needs often precede the physician-managed interventions, serving as an early "iceberg" indicator of declining health.</w:t>
      </w:r>
    </w:p>
    <w:p w14:paraId="65BB635D" w14:textId="7DB6267C"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7E2965C9" wp14:editId="448F5C6B">
            <wp:extent cx="3111500" cy="1866900"/>
            <wp:effectExtent l="0" t="0" r="0" b="0"/>
            <wp:docPr id="56008889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88893" name="Picture 1" descr="A graph of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23957" cy="1874374"/>
                    </a:xfrm>
                    <a:prstGeom prst="rect">
                      <a:avLst/>
                    </a:prstGeom>
                  </pic:spPr>
                </pic:pic>
              </a:graphicData>
            </a:graphic>
          </wp:inline>
        </w:drawing>
      </w:r>
    </w:p>
    <w:p w14:paraId="60DFE33D" w14:textId="4FEF61C0"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Figure 1: Exploratory Risk Ratios comparing 'Jumpers' to stable patients.</w:t>
      </w:r>
    </w:p>
    <w:p w14:paraId="081D900D"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712C03FC" w14:textId="77777777"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 xml:space="preserve">3.2 Care Phenotypes as Risk </w:t>
      </w:r>
      <w:proofErr w:type="spellStart"/>
      <w:r w:rsidRPr="005F072C">
        <w:rPr>
          <w:rFonts w:ascii="Times New Roman" w:eastAsia="Times New Roman" w:hAnsi="Times New Roman" w:cs="Times New Roman"/>
          <w:b/>
          <w:bCs/>
          <w:color w:val="000000" w:themeColor="text1"/>
          <w:kern w:val="0"/>
          <w14:ligatures w14:val="none"/>
        </w:rPr>
        <w:t>Stratifiers</w:t>
      </w:r>
      <w:proofErr w:type="spellEnd"/>
    </w:p>
    <w:p w14:paraId="40A1BC67"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The K-Means clustering identified four distinct "Care Phenotypes" (Clusters 0-3), revealing that patient cost risk varies significantly by utilization style (see Table 1 and Figure 2):</w:t>
      </w:r>
    </w:p>
    <w:p w14:paraId="17C59DCD"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134387E9"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Cluster 2 ("Crisis Management"): This group exhibited a high average of 2.86 Emergency Room visits per year but relatively low office-based care. Despite moderate baseline costs, this </w:t>
      </w:r>
      <w:r w:rsidRPr="005F072C">
        <w:rPr>
          <w:rFonts w:ascii="Times New Roman" w:eastAsia="Times New Roman" w:hAnsi="Times New Roman" w:cs="Times New Roman"/>
          <w:color w:val="000000" w:themeColor="text1"/>
          <w:kern w:val="0"/>
          <w14:ligatures w14:val="none"/>
        </w:rPr>
        <w:lastRenderedPageBreak/>
        <w:t>volatility makes them highly prone to sudden, explosive cost events in Year 2 (Mean Y2 Cost: $12,595).</w:t>
      </w:r>
    </w:p>
    <w:p w14:paraId="20C19F3B"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Cluster 3 ("High Maintenance"): Characterized by the highest average age (59.2 years) and extreme utilization intensity (22.3 office visits and 56.6 prescriptions annually). While their costs are high ($21,665), they are more predictable than Cluster 2.</w:t>
      </w:r>
    </w:p>
    <w:p w14:paraId="3F066D01"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Cluster 0 ("Low Touch"): The reference group with minimal interaction across all channels.</w:t>
      </w:r>
    </w:p>
    <w:p w14:paraId="0452542F" w14:textId="0A59ED59" w:rsid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drawing>
          <wp:inline distT="0" distB="0" distL="0" distR="0" wp14:anchorId="36F32D4C" wp14:editId="2B3FEE17">
            <wp:extent cx="4048942" cy="831850"/>
            <wp:effectExtent l="0" t="0" r="2540" b="0"/>
            <wp:docPr id="2278334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3467" name="Picture 1" descr="A screenshot of a graph&#10;&#10;AI-generated content may be incorrect."/>
                    <pic:cNvPicPr/>
                  </pic:nvPicPr>
                  <pic:blipFill>
                    <a:blip r:embed="rId8"/>
                    <a:stretch>
                      <a:fillRect/>
                    </a:stretch>
                  </pic:blipFill>
                  <pic:spPr>
                    <a:xfrm>
                      <a:off x="0" y="0"/>
                      <a:ext cx="4106601" cy="843696"/>
                    </a:xfrm>
                    <a:prstGeom prst="rect">
                      <a:avLst/>
                    </a:prstGeom>
                  </pic:spPr>
                </pic:pic>
              </a:graphicData>
            </a:graphic>
          </wp:inline>
        </w:drawing>
      </w:r>
    </w:p>
    <w:p w14:paraId="74909FA5" w14:textId="2D85E296"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Table 1: Care Utilization Profiles (Mean Values per Cluster).</w:t>
      </w:r>
    </w:p>
    <w:p w14:paraId="79EBCD4C" w14:textId="51F6EA4C"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p>
    <w:p w14:paraId="050D7966" w14:textId="77777777" w:rsid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692F0FE9" wp14:editId="08807EDB">
            <wp:extent cx="2914650" cy="1821656"/>
            <wp:effectExtent l="0" t="0" r="0" b="0"/>
            <wp:docPr id="1700758116" name="Picture 2" descr="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8116" name="Picture 2" descr="A graph showing a number of different colo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1920" cy="1838699"/>
                    </a:xfrm>
                    <a:prstGeom prst="rect">
                      <a:avLst/>
                    </a:prstGeom>
                  </pic:spPr>
                </pic:pic>
              </a:graphicData>
            </a:graphic>
          </wp:inline>
        </w:drawing>
      </w:r>
    </w:p>
    <w:p w14:paraId="529087D4" w14:textId="70F6EC48"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Figure 2: Future Cost Risk by Care Utilization Phenotype.</w:t>
      </w:r>
    </w:p>
    <w:p w14:paraId="0DB7BDDD" w14:textId="77777777"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3.3 Model Calibration and Latent Risk Power</w:t>
      </w:r>
    </w:p>
    <w:p w14:paraId="5CFB85B3"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The auxiliary model for Latent Risk demonstrated excellent calibration. Figure 3 shows that the predicted probabilities align closely with observed event rates, confirming that the PROB_LATENT_RISK score is a reliable proxy for underlying health fragility.</w:t>
      </w:r>
    </w:p>
    <w:p w14:paraId="384509A2"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In the final Adjusted Logistic Regression model, the coefficient for this PROB_LATENT_RISK feature was 3.67, indicating an exceptionally strong positive relationship with future high cost, far exceeding the magnitude of traditional demographic coefficients.</w:t>
      </w:r>
    </w:p>
    <w:p w14:paraId="4B8F4B04"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1446CA9A" w14:textId="77777777" w:rsid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A740315" wp14:editId="6CA17132">
            <wp:extent cx="2120900" cy="2120900"/>
            <wp:effectExtent l="0" t="0" r="0" b="0"/>
            <wp:docPr id="939368435" name="Picture 3"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68435" name="Picture 3" descr="A graph with a line and a poi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0900" cy="2120900"/>
                    </a:xfrm>
                    <a:prstGeom prst="rect">
                      <a:avLst/>
                    </a:prstGeom>
                  </pic:spPr>
                </pic:pic>
              </a:graphicData>
            </a:graphic>
          </wp:inline>
        </w:drawing>
      </w:r>
    </w:p>
    <w:p w14:paraId="01A2D0C6" w14:textId="7AD72E70"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Figure 3: Calibration Plot of the Latent Risk Model.</w:t>
      </w:r>
    </w:p>
    <w:p w14:paraId="49E4B36D" w14:textId="77777777" w:rsid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p>
    <w:p w14:paraId="5E2FF7DF" w14:textId="6E518EEB" w:rsidR="005F072C" w:rsidRPr="005F072C" w:rsidRDefault="005F072C" w:rsidP="005F072C">
      <w:pPr>
        <w:spacing w:after="0" w:line="240" w:lineRule="auto"/>
        <w:rPr>
          <w:rFonts w:ascii="Times New Roman" w:eastAsia="Times New Roman" w:hAnsi="Times New Roman" w:cs="Times New Roman"/>
          <w:b/>
          <w:bCs/>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lastRenderedPageBreak/>
        <w:t>3.4 Methodological Comparison and Performance</w:t>
      </w:r>
    </w:p>
    <w:p w14:paraId="11F0D248" w14:textId="0B37385B" w:rsidR="005F072C" w:rsidRDefault="005F072C" w:rsidP="005F07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This study</w:t>
      </w:r>
      <w:r w:rsidRPr="005F072C">
        <w:rPr>
          <w:rFonts w:ascii="Times New Roman" w:eastAsia="Times New Roman" w:hAnsi="Times New Roman" w:cs="Times New Roman"/>
          <w:color w:val="000000" w:themeColor="text1"/>
          <w:kern w:val="0"/>
          <w14:ligatures w14:val="none"/>
        </w:rPr>
        <w:t xml:space="preserve"> compared three modeling approaches: Baseline Logistic Regression (LR), Latent-Adjusted LR, and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 The results (Table 2) highlight a critical trade-off between sensitivity and complexity.</w:t>
      </w:r>
    </w:p>
    <w:p w14:paraId="3A17CDB0"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tbl>
      <w:tblPr>
        <w:tblW w:w="6440" w:type="dxa"/>
        <w:jc w:val="center"/>
        <w:tblLook w:val="04A0" w:firstRow="1" w:lastRow="0" w:firstColumn="1" w:lastColumn="0" w:noHBand="0" w:noVBand="1"/>
      </w:tblPr>
      <w:tblGrid>
        <w:gridCol w:w="2540"/>
        <w:gridCol w:w="1300"/>
        <w:gridCol w:w="1300"/>
        <w:gridCol w:w="1300"/>
      </w:tblGrid>
      <w:tr w:rsidR="005F072C" w:rsidRPr="005F072C" w14:paraId="3EE49889" w14:textId="77777777" w:rsidTr="005F072C">
        <w:trPr>
          <w:trHeight w:val="320"/>
          <w:jc w:val="center"/>
        </w:trPr>
        <w:tc>
          <w:tcPr>
            <w:tcW w:w="2540"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125780D9"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r w:rsidRPr="005F072C">
              <w:rPr>
                <w:rFonts w:ascii="Aptos Narrow" w:eastAsia="Times New Roman" w:hAnsi="Aptos Narrow" w:cs="Times New Roman"/>
                <w:b/>
                <w:bCs/>
                <w:color w:val="000000"/>
                <w:kern w:val="0"/>
                <w14:ligatures w14:val="none"/>
              </w:rPr>
              <w:t>Model</w:t>
            </w:r>
          </w:p>
        </w:tc>
        <w:tc>
          <w:tcPr>
            <w:tcW w:w="1300" w:type="dxa"/>
            <w:tcBorders>
              <w:top w:val="single" w:sz="4" w:space="0" w:color="auto"/>
              <w:left w:val="nil"/>
              <w:bottom w:val="single" w:sz="4" w:space="0" w:color="auto"/>
              <w:right w:val="single" w:sz="4" w:space="0" w:color="auto"/>
            </w:tcBorders>
            <w:shd w:val="clear" w:color="000000" w:fill="C0E6F5"/>
            <w:noWrap/>
            <w:vAlign w:val="bottom"/>
            <w:hideMark/>
          </w:tcPr>
          <w:p w14:paraId="41F6C858"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r w:rsidRPr="005F072C">
              <w:rPr>
                <w:rFonts w:ascii="Aptos Narrow" w:eastAsia="Times New Roman" w:hAnsi="Aptos Narrow" w:cs="Times New Roman"/>
                <w:b/>
                <w:bCs/>
                <w:color w:val="000000"/>
                <w:kern w:val="0"/>
                <w14:ligatures w14:val="none"/>
              </w:rPr>
              <w:t>AUC_ROC</w:t>
            </w:r>
          </w:p>
        </w:tc>
        <w:tc>
          <w:tcPr>
            <w:tcW w:w="1300" w:type="dxa"/>
            <w:tcBorders>
              <w:top w:val="single" w:sz="4" w:space="0" w:color="auto"/>
              <w:left w:val="nil"/>
              <w:bottom w:val="single" w:sz="4" w:space="0" w:color="auto"/>
              <w:right w:val="single" w:sz="4" w:space="0" w:color="auto"/>
            </w:tcBorders>
            <w:shd w:val="clear" w:color="000000" w:fill="C0E6F5"/>
            <w:noWrap/>
            <w:vAlign w:val="bottom"/>
            <w:hideMark/>
          </w:tcPr>
          <w:p w14:paraId="3370A4B2"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r w:rsidRPr="005F072C">
              <w:rPr>
                <w:rFonts w:ascii="Aptos Narrow" w:eastAsia="Times New Roman" w:hAnsi="Aptos Narrow" w:cs="Times New Roman"/>
                <w:b/>
                <w:bCs/>
                <w:color w:val="000000"/>
                <w:kern w:val="0"/>
                <w14:ligatures w14:val="none"/>
              </w:rPr>
              <w:t>PR_AUC</w:t>
            </w:r>
          </w:p>
        </w:tc>
        <w:tc>
          <w:tcPr>
            <w:tcW w:w="1300" w:type="dxa"/>
            <w:tcBorders>
              <w:top w:val="single" w:sz="4" w:space="0" w:color="auto"/>
              <w:left w:val="nil"/>
              <w:bottom w:val="single" w:sz="4" w:space="0" w:color="auto"/>
              <w:right w:val="single" w:sz="4" w:space="0" w:color="auto"/>
            </w:tcBorders>
            <w:shd w:val="clear" w:color="000000" w:fill="C0E6F5"/>
            <w:noWrap/>
            <w:vAlign w:val="bottom"/>
            <w:hideMark/>
          </w:tcPr>
          <w:p w14:paraId="036B1A82"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r w:rsidRPr="005F072C">
              <w:rPr>
                <w:rFonts w:ascii="Aptos Narrow" w:eastAsia="Times New Roman" w:hAnsi="Aptos Narrow" w:cs="Times New Roman"/>
                <w:b/>
                <w:bCs/>
                <w:color w:val="000000"/>
                <w:kern w:val="0"/>
                <w14:ligatures w14:val="none"/>
              </w:rPr>
              <w:t>Recall</w:t>
            </w:r>
          </w:p>
        </w:tc>
      </w:tr>
      <w:tr w:rsidR="005F072C" w:rsidRPr="005F072C" w14:paraId="17D94EB7" w14:textId="77777777" w:rsidTr="005F072C">
        <w:trPr>
          <w:trHeight w:val="320"/>
          <w:jc w:val="center"/>
        </w:trPr>
        <w:tc>
          <w:tcPr>
            <w:tcW w:w="2540" w:type="dxa"/>
            <w:tcBorders>
              <w:top w:val="nil"/>
              <w:left w:val="single" w:sz="4" w:space="0" w:color="auto"/>
              <w:bottom w:val="single" w:sz="4" w:space="0" w:color="auto"/>
              <w:right w:val="single" w:sz="4" w:space="0" w:color="auto"/>
            </w:tcBorders>
            <w:shd w:val="clear" w:color="000000" w:fill="D0D0D0"/>
            <w:noWrap/>
            <w:vAlign w:val="bottom"/>
            <w:hideMark/>
          </w:tcPr>
          <w:p w14:paraId="62BC9928"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r w:rsidRPr="005F072C">
              <w:rPr>
                <w:rFonts w:ascii="Aptos Narrow" w:eastAsia="Times New Roman" w:hAnsi="Aptos Narrow" w:cs="Times New Roman"/>
                <w:b/>
                <w:bCs/>
                <w:color w:val="000000"/>
                <w:kern w:val="0"/>
                <w14:ligatures w14:val="none"/>
              </w:rPr>
              <w:t>Baseline LR</w:t>
            </w:r>
          </w:p>
        </w:tc>
        <w:tc>
          <w:tcPr>
            <w:tcW w:w="1300" w:type="dxa"/>
            <w:tcBorders>
              <w:top w:val="nil"/>
              <w:left w:val="nil"/>
              <w:bottom w:val="single" w:sz="4" w:space="0" w:color="auto"/>
              <w:right w:val="single" w:sz="4" w:space="0" w:color="auto"/>
            </w:tcBorders>
            <w:noWrap/>
            <w:vAlign w:val="bottom"/>
            <w:hideMark/>
          </w:tcPr>
          <w:p w14:paraId="784C881E"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0.8477</w:t>
            </w:r>
          </w:p>
        </w:tc>
        <w:tc>
          <w:tcPr>
            <w:tcW w:w="1300" w:type="dxa"/>
            <w:tcBorders>
              <w:top w:val="nil"/>
              <w:left w:val="nil"/>
              <w:bottom w:val="single" w:sz="4" w:space="0" w:color="auto"/>
              <w:right w:val="single" w:sz="4" w:space="0" w:color="auto"/>
            </w:tcBorders>
            <w:noWrap/>
            <w:vAlign w:val="bottom"/>
            <w:hideMark/>
          </w:tcPr>
          <w:p w14:paraId="2B0ED904"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0.5001</w:t>
            </w:r>
          </w:p>
        </w:tc>
        <w:tc>
          <w:tcPr>
            <w:tcW w:w="1300" w:type="dxa"/>
            <w:tcBorders>
              <w:top w:val="nil"/>
              <w:left w:val="nil"/>
              <w:bottom w:val="single" w:sz="4" w:space="0" w:color="auto"/>
              <w:right w:val="single" w:sz="4" w:space="0" w:color="auto"/>
            </w:tcBorders>
            <w:noWrap/>
            <w:vAlign w:val="bottom"/>
            <w:hideMark/>
          </w:tcPr>
          <w:p w14:paraId="73A83A81"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0.7158</w:t>
            </w:r>
          </w:p>
        </w:tc>
      </w:tr>
      <w:tr w:rsidR="005F072C" w:rsidRPr="005F072C" w14:paraId="0E0BEB27" w14:textId="77777777" w:rsidTr="005F072C">
        <w:trPr>
          <w:trHeight w:val="320"/>
          <w:jc w:val="center"/>
        </w:trPr>
        <w:tc>
          <w:tcPr>
            <w:tcW w:w="2540" w:type="dxa"/>
            <w:tcBorders>
              <w:top w:val="nil"/>
              <w:left w:val="single" w:sz="4" w:space="0" w:color="auto"/>
              <w:bottom w:val="single" w:sz="4" w:space="0" w:color="auto"/>
              <w:right w:val="single" w:sz="4" w:space="0" w:color="auto"/>
            </w:tcBorders>
            <w:shd w:val="clear" w:color="000000" w:fill="D0D0D0"/>
            <w:noWrap/>
            <w:vAlign w:val="bottom"/>
            <w:hideMark/>
          </w:tcPr>
          <w:p w14:paraId="06AD92E2"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r w:rsidRPr="005F072C">
              <w:rPr>
                <w:rFonts w:ascii="Aptos Narrow" w:eastAsia="Times New Roman" w:hAnsi="Aptos Narrow" w:cs="Times New Roman"/>
                <w:b/>
                <w:bCs/>
                <w:color w:val="000000"/>
                <w:kern w:val="0"/>
                <w14:ligatures w14:val="none"/>
              </w:rPr>
              <w:t>Latent-Adjusted LR</w:t>
            </w:r>
          </w:p>
        </w:tc>
        <w:tc>
          <w:tcPr>
            <w:tcW w:w="1300" w:type="dxa"/>
            <w:tcBorders>
              <w:top w:val="nil"/>
              <w:left w:val="nil"/>
              <w:bottom w:val="single" w:sz="4" w:space="0" w:color="auto"/>
              <w:right w:val="single" w:sz="4" w:space="0" w:color="auto"/>
            </w:tcBorders>
            <w:noWrap/>
            <w:vAlign w:val="bottom"/>
            <w:hideMark/>
          </w:tcPr>
          <w:p w14:paraId="4BE897C1"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0.8476</w:t>
            </w:r>
          </w:p>
        </w:tc>
        <w:tc>
          <w:tcPr>
            <w:tcW w:w="1300" w:type="dxa"/>
            <w:tcBorders>
              <w:top w:val="nil"/>
              <w:left w:val="nil"/>
              <w:bottom w:val="single" w:sz="4" w:space="0" w:color="auto"/>
              <w:right w:val="single" w:sz="4" w:space="0" w:color="auto"/>
            </w:tcBorders>
            <w:noWrap/>
            <w:vAlign w:val="bottom"/>
            <w:hideMark/>
          </w:tcPr>
          <w:p w14:paraId="3512B509"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0.4993</w:t>
            </w:r>
          </w:p>
        </w:tc>
        <w:tc>
          <w:tcPr>
            <w:tcW w:w="1300" w:type="dxa"/>
            <w:tcBorders>
              <w:top w:val="nil"/>
              <w:left w:val="nil"/>
              <w:bottom w:val="single" w:sz="4" w:space="0" w:color="auto"/>
              <w:right w:val="single" w:sz="4" w:space="0" w:color="auto"/>
            </w:tcBorders>
            <w:noWrap/>
            <w:vAlign w:val="bottom"/>
            <w:hideMark/>
          </w:tcPr>
          <w:p w14:paraId="29B7DFA8"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0.7229</w:t>
            </w:r>
          </w:p>
        </w:tc>
      </w:tr>
      <w:tr w:rsidR="005F072C" w:rsidRPr="005F072C" w14:paraId="04D21EB5" w14:textId="77777777" w:rsidTr="005F072C">
        <w:trPr>
          <w:trHeight w:val="320"/>
          <w:jc w:val="center"/>
        </w:trPr>
        <w:tc>
          <w:tcPr>
            <w:tcW w:w="2540" w:type="dxa"/>
            <w:tcBorders>
              <w:top w:val="nil"/>
              <w:left w:val="single" w:sz="4" w:space="0" w:color="auto"/>
              <w:bottom w:val="single" w:sz="4" w:space="0" w:color="auto"/>
              <w:right w:val="single" w:sz="4" w:space="0" w:color="auto"/>
            </w:tcBorders>
            <w:shd w:val="clear" w:color="000000" w:fill="D0D0D0"/>
            <w:noWrap/>
            <w:vAlign w:val="bottom"/>
            <w:hideMark/>
          </w:tcPr>
          <w:p w14:paraId="7A48F6B4" w14:textId="77777777" w:rsidR="005F072C" w:rsidRPr="005F072C" w:rsidRDefault="005F072C" w:rsidP="005F072C">
            <w:pPr>
              <w:spacing w:after="0" w:line="240" w:lineRule="auto"/>
              <w:jc w:val="center"/>
              <w:rPr>
                <w:rFonts w:ascii="Aptos Narrow" w:eastAsia="Times New Roman" w:hAnsi="Aptos Narrow" w:cs="Times New Roman"/>
                <w:b/>
                <w:bCs/>
                <w:color w:val="000000"/>
                <w:kern w:val="0"/>
                <w14:ligatures w14:val="none"/>
              </w:rPr>
            </w:pPr>
            <w:proofErr w:type="spellStart"/>
            <w:r w:rsidRPr="005F072C">
              <w:rPr>
                <w:rFonts w:ascii="Aptos Narrow" w:eastAsia="Times New Roman" w:hAnsi="Aptos Narrow" w:cs="Times New Roman"/>
                <w:b/>
                <w:bCs/>
                <w:color w:val="000000"/>
                <w:kern w:val="0"/>
                <w14:ligatures w14:val="none"/>
              </w:rPr>
              <w:t>XGBoost</w:t>
            </w:r>
            <w:proofErr w:type="spellEnd"/>
            <w:r w:rsidRPr="005F072C">
              <w:rPr>
                <w:rFonts w:ascii="Aptos Narrow" w:eastAsia="Times New Roman" w:hAnsi="Aptos Narrow" w:cs="Times New Roman"/>
                <w:b/>
                <w:bCs/>
                <w:color w:val="000000"/>
                <w:kern w:val="0"/>
                <w14:ligatures w14:val="none"/>
              </w:rPr>
              <w:t xml:space="preserve"> (Original Feats)</w:t>
            </w:r>
          </w:p>
        </w:tc>
        <w:tc>
          <w:tcPr>
            <w:tcW w:w="1300" w:type="dxa"/>
            <w:tcBorders>
              <w:top w:val="nil"/>
              <w:left w:val="nil"/>
              <w:bottom w:val="single" w:sz="4" w:space="0" w:color="auto"/>
              <w:right w:val="single" w:sz="4" w:space="0" w:color="auto"/>
            </w:tcBorders>
            <w:noWrap/>
            <w:vAlign w:val="bottom"/>
            <w:hideMark/>
          </w:tcPr>
          <w:p w14:paraId="5C2D58CA"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0.8396</w:t>
            </w:r>
          </w:p>
        </w:tc>
        <w:tc>
          <w:tcPr>
            <w:tcW w:w="1300" w:type="dxa"/>
            <w:tcBorders>
              <w:top w:val="nil"/>
              <w:left w:val="nil"/>
              <w:bottom w:val="single" w:sz="4" w:space="0" w:color="auto"/>
              <w:right w:val="single" w:sz="4" w:space="0" w:color="auto"/>
            </w:tcBorders>
            <w:noWrap/>
            <w:vAlign w:val="bottom"/>
            <w:hideMark/>
          </w:tcPr>
          <w:p w14:paraId="52B431E5"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0.5098</w:t>
            </w:r>
          </w:p>
        </w:tc>
        <w:tc>
          <w:tcPr>
            <w:tcW w:w="1300" w:type="dxa"/>
            <w:tcBorders>
              <w:top w:val="nil"/>
              <w:left w:val="nil"/>
              <w:bottom w:val="single" w:sz="4" w:space="0" w:color="auto"/>
              <w:right w:val="single" w:sz="4" w:space="0" w:color="auto"/>
            </w:tcBorders>
            <w:noWrap/>
            <w:vAlign w:val="bottom"/>
            <w:hideMark/>
          </w:tcPr>
          <w:p w14:paraId="65EB0956" w14:textId="77777777" w:rsidR="005F072C" w:rsidRPr="005F072C" w:rsidRDefault="005F072C" w:rsidP="005F072C">
            <w:pPr>
              <w:spacing w:after="0" w:line="240" w:lineRule="auto"/>
              <w:jc w:val="center"/>
              <w:rPr>
                <w:rFonts w:ascii="Aptos Narrow" w:eastAsia="Times New Roman" w:hAnsi="Aptos Narrow" w:cs="Times New Roman"/>
                <w:color w:val="000000"/>
                <w:kern w:val="0"/>
                <w14:ligatures w14:val="none"/>
              </w:rPr>
            </w:pPr>
            <w:r w:rsidRPr="005F072C">
              <w:rPr>
                <w:rFonts w:ascii="Aptos Narrow" w:eastAsia="Times New Roman" w:hAnsi="Aptos Narrow" w:cs="Times New Roman"/>
                <w:color w:val="000000"/>
                <w:kern w:val="0"/>
                <w14:ligatures w14:val="none"/>
              </w:rPr>
              <w:t>0.3078</w:t>
            </w:r>
          </w:p>
        </w:tc>
      </w:tr>
    </w:tbl>
    <w:p w14:paraId="00E416A5"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49455BD5" w14:textId="77777777"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Table 2: Model Performance Comparison.</w:t>
      </w:r>
    </w:p>
    <w:p w14:paraId="04E0D473"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42BD0D06" w14:textId="640486C5"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Sensitivity Analysis: While all models achieved similar AUC scores (0.84), the linear models (Baseline and Adjusted LR) massively outperformed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 xml:space="preserve"> in Recall (0.72 vs 0.31).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 xml:space="preserve"> failed to identify nearly 70% of the actual high-cost patients, likely due to class imbalance issues that the weighted linear models handled more effectively.</w:t>
      </w:r>
    </w:p>
    <w:p w14:paraId="69A97EDD" w14:textId="77777777" w:rsid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Impact of Adjustment: The Latent-Adjusted LR maintained the high sensitivity of the baseline model while integrating the powerful, clinically explainable Latent Risk Score. As shown in Figure 4, the Adjusted model matches the performance of complex tree-based methods without sacrificing interpretability.</w:t>
      </w:r>
    </w:p>
    <w:p w14:paraId="56B62F49" w14:textId="204551EF"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1E6503CF" wp14:editId="3E3AB0E7">
            <wp:extent cx="3581400" cy="2148840"/>
            <wp:effectExtent l="0" t="0" r="0" b="0"/>
            <wp:docPr id="1727272689"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72689" name="Picture 4" descr="A graph with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1400" cy="2148840"/>
                    </a:xfrm>
                    <a:prstGeom prst="rect">
                      <a:avLst/>
                    </a:prstGeom>
                  </pic:spPr>
                </pic:pic>
              </a:graphicData>
            </a:graphic>
          </wp:inline>
        </w:drawing>
      </w:r>
    </w:p>
    <w:p w14:paraId="2674C7DE" w14:textId="1818DBBC" w:rsidR="005F072C" w:rsidRP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Figure 4: Final Model Comparison: Adjusted Logistic Regression vs.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w:t>
      </w:r>
    </w:p>
    <w:p w14:paraId="6924527B" w14:textId="1480ADB1" w:rsidR="005F072C" w:rsidRDefault="005F072C" w:rsidP="005F07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299949EF" wp14:editId="425545BC">
            <wp:extent cx="1811867" cy="1358900"/>
            <wp:effectExtent l="0" t="0" r="4445" b="0"/>
            <wp:docPr id="1722657428" name="Picture 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57428" name="Picture 5" descr="A blue squares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824308" cy="1368231"/>
                    </a:xfrm>
                    <a:prstGeom prst="rect">
                      <a:avLst/>
                    </a:prstGeom>
                  </pic:spPr>
                </pic:pic>
              </a:graphicData>
            </a:graphic>
          </wp:inline>
        </w:drawing>
      </w:r>
      <w:r>
        <w:rPr>
          <w:rFonts w:ascii="Times New Roman" w:eastAsia="Times New Roman" w:hAnsi="Times New Roman" w:cs="Times New Roman"/>
          <w:noProof/>
          <w:color w:val="000000" w:themeColor="text1"/>
          <w:kern w:val="0"/>
        </w:rPr>
        <w:drawing>
          <wp:inline distT="0" distB="0" distL="0" distR="0" wp14:anchorId="1073DC1E" wp14:editId="2CF0D8B6">
            <wp:extent cx="1803400" cy="1352550"/>
            <wp:effectExtent l="0" t="0" r="0" b="6350"/>
            <wp:docPr id="295265414" name="Picture 6" descr="A blue squares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65414" name="Picture 6" descr="A blue squares with numbers and a blue squa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38213" cy="1378660"/>
                    </a:xfrm>
                    <a:prstGeom prst="rect">
                      <a:avLst/>
                    </a:prstGeom>
                  </pic:spPr>
                </pic:pic>
              </a:graphicData>
            </a:graphic>
          </wp:inline>
        </w:drawing>
      </w:r>
      <w:r>
        <w:rPr>
          <w:rFonts w:ascii="Times New Roman" w:eastAsia="Times New Roman" w:hAnsi="Times New Roman" w:cs="Times New Roman"/>
          <w:noProof/>
          <w:color w:val="000000" w:themeColor="text1"/>
          <w:kern w:val="0"/>
        </w:rPr>
        <w:drawing>
          <wp:inline distT="0" distB="0" distL="0" distR="0" wp14:anchorId="27940E6F" wp14:editId="47FFFFED">
            <wp:extent cx="1816100" cy="1362075"/>
            <wp:effectExtent l="0" t="0" r="0" b="0"/>
            <wp:docPr id="1897761742" name="Picture 7" descr="A blue and white box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1742" name="Picture 7" descr="A blue and white box with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47523" cy="1385642"/>
                    </a:xfrm>
                    <a:prstGeom prst="rect">
                      <a:avLst/>
                    </a:prstGeom>
                  </pic:spPr>
                </pic:pic>
              </a:graphicData>
            </a:graphic>
          </wp:inline>
        </w:drawing>
      </w:r>
    </w:p>
    <w:p w14:paraId="71151164" w14:textId="19449582" w:rsidR="005F072C" w:rsidRDefault="005F072C" w:rsidP="005F072C">
      <w:pPr>
        <w:spacing w:after="0" w:line="240" w:lineRule="auto"/>
        <w:jc w:val="center"/>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Figure </w:t>
      </w:r>
      <w:r>
        <w:rPr>
          <w:rFonts w:ascii="Times New Roman" w:eastAsia="Times New Roman" w:hAnsi="Times New Roman" w:cs="Times New Roman"/>
          <w:color w:val="000000" w:themeColor="text1"/>
          <w:kern w:val="0"/>
          <w14:ligatures w14:val="none"/>
        </w:rPr>
        <w:t>5</w:t>
      </w:r>
      <w:r w:rsidRPr="005F072C">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hint="eastAsia"/>
          <w:color w:val="000000" w:themeColor="text1"/>
          <w:kern w:val="0"/>
          <w14:ligatures w14:val="none"/>
        </w:rPr>
        <w:t>Confusion</w:t>
      </w:r>
      <w:r>
        <w:rPr>
          <w:rFonts w:ascii="Times New Roman" w:eastAsia="Times New Roman" w:hAnsi="Times New Roman" w:cs="Times New Roman"/>
          <w:color w:val="000000" w:themeColor="text1"/>
          <w:kern w:val="0"/>
          <w14:ligatures w14:val="none"/>
        </w:rPr>
        <w:t xml:space="preserve"> Matrix </w:t>
      </w:r>
      <w:r w:rsidRPr="005F072C">
        <w:rPr>
          <w:rFonts w:ascii="Times New Roman" w:eastAsia="Times New Roman" w:hAnsi="Times New Roman" w:cs="Times New Roman"/>
          <w:color w:val="000000" w:themeColor="text1"/>
          <w:kern w:val="0"/>
          <w14:ligatures w14:val="none"/>
        </w:rPr>
        <w:t xml:space="preserve">Comparison: Adjusted Logistic Regression vs.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w:t>
      </w:r>
    </w:p>
    <w:p w14:paraId="0C817733"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5DC69C98"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While the Area Under the Curve (AUC) remained consistent between the Baseline and Latent-Adjusted Logistic Regression models (~0.848), this similarity is mathematically expected, as </w:t>
      </w:r>
      <w:r w:rsidRPr="005F072C">
        <w:rPr>
          <w:rFonts w:ascii="Times New Roman" w:eastAsia="Times New Roman" w:hAnsi="Times New Roman" w:cs="Times New Roman"/>
          <w:color w:val="000000" w:themeColor="text1"/>
          <w:kern w:val="0"/>
          <w14:ligatures w14:val="none"/>
        </w:rPr>
        <w:lastRenderedPageBreak/>
        <w:t>both models utilize the same underlying Year 1 information within a linear framework. However, a deeper investigation using Confusion Matrices (Figure 5) and Sensitivity Analysis reveals the specific operational value of the Latent-Adjusted approach:</w:t>
      </w:r>
    </w:p>
    <w:p w14:paraId="27724E7C"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6739A7A9"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Robustness in Detection (Recall): The Latent-Adjusted model achieved the highest Recall (72.3%), effectively serving as a wider "safety net." In contrast, the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 xml:space="preserve"> benchmark—despite its theoretical ability to capture non-linearities—exhibited a highly conservative bias with a Recall of only 30.8%. As shown in the Confusion Matrices,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 xml:space="preserve"> failed to flag nearly 70% of actual high-cost patients (High False Negative Rate), rendering it less suitable for population health screening where missing a high-risk patient carries significant financial and clinical downside.</w:t>
      </w:r>
    </w:p>
    <w:p w14:paraId="29E1FC93"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5DA368BF"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Incremental Value of the Latent Score: Although the AUC did not jump significantly, the addition of the PROB_LATENT_RISK variable improved the model's sensitivity by approximately 0.7% over the baseline. In a population of 1,000,000 members, this marginal improvement translates to correctly identifying an additional ~7,000 high-risk individuals who would otherwise be missed.</w:t>
      </w:r>
    </w:p>
    <w:p w14:paraId="60F63CF4"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618D471D"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Interpretability vs. Complexity: The analysis confirms that a well-designed linear model with feature engineering (the "Latent Risk" strategy) can outperform complex "black box" models in sensitivity. The Adjusted Logistic Regression offers the best of both worlds: it matches the detection power of the baseline while providing a distinct, clinically explainable "Risk Score" coefficient (3.67) that validates the patient's underlying fragility independent of their raw demographic status.</w:t>
      </w:r>
    </w:p>
    <w:p w14:paraId="652C8885" w14:textId="77777777" w:rsidR="005F072C" w:rsidRPr="005F072C" w:rsidRDefault="005F072C" w:rsidP="005F072C">
      <w:pPr>
        <w:spacing w:after="0" w:line="240" w:lineRule="auto"/>
        <w:rPr>
          <w:rFonts w:ascii="Times New Roman" w:eastAsia="Times New Roman" w:hAnsi="Times New Roman" w:cs="Times New Roman" w:hint="eastAsia"/>
          <w:color w:val="000000" w:themeColor="text1"/>
          <w:kern w:val="0"/>
          <w14:ligatures w14:val="none"/>
        </w:rPr>
      </w:pPr>
    </w:p>
    <w:p w14:paraId="317D39C9" w14:textId="7473C4B3"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14:ligatures w14:val="none"/>
        </w:rPr>
        <w:t>C</w:t>
      </w:r>
      <w:r w:rsidRPr="005F072C">
        <w:rPr>
          <w:rFonts w:ascii="Times New Roman" w:eastAsia="Times New Roman" w:hAnsi="Times New Roman" w:cs="Times New Roman"/>
          <w:b/>
          <w:bCs/>
          <w:color w:val="000000" w:themeColor="text1"/>
          <w:kern w:val="0"/>
          <w:sz w:val="28"/>
          <w:szCs w:val="28"/>
          <w14:ligatures w14:val="none"/>
        </w:rPr>
        <w:t>onclusion</w:t>
      </w:r>
    </w:p>
    <w:p w14:paraId="2C1EAC96"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2FCFC4CB"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This study confirms that future high-cost events are not random but strictly preceded by latent signals in utilization patterns—specifically high prescription-to-visit ratios and "crisis" utilization styles (Cluster 2). By implementing a Two-Stage Latent Risk Model, we successfully operationalized these signals. The resulting model offers a superior balance for clinical application: it achieves a 72% detection rate (Recall) for high-cost patients, significantly outperforming black-box methods like </w:t>
      </w:r>
      <w:proofErr w:type="spellStart"/>
      <w:r w:rsidRPr="005F072C">
        <w:rPr>
          <w:rFonts w:ascii="Times New Roman" w:eastAsia="Times New Roman" w:hAnsi="Times New Roman" w:cs="Times New Roman"/>
          <w:color w:val="000000" w:themeColor="text1"/>
          <w:kern w:val="0"/>
          <w14:ligatures w14:val="none"/>
        </w:rPr>
        <w:t>XGBoost</w:t>
      </w:r>
      <w:proofErr w:type="spellEnd"/>
      <w:r w:rsidRPr="005F072C">
        <w:rPr>
          <w:rFonts w:ascii="Times New Roman" w:eastAsia="Times New Roman" w:hAnsi="Times New Roman" w:cs="Times New Roman"/>
          <w:color w:val="000000" w:themeColor="text1"/>
          <w:kern w:val="0"/>
          <w14:ligatures w14:val="none"/>
        </w:rPr>
        <w:t xml:space="preserve"> in sensitivity, while providing clear, operational risk drivers (e.g., Latent Risk Score, Care Cluster) that care managers can act upon.</w:t>
      </w:r>
    </w:p>
    <w:p w14:paraId="50BD7277"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5FAA272F" w14:textId="77777777" w:rsidR="005F072C" w:rsidRDefault="005F072C">
      <w:pPr>
        <w:rPr>
          <w:rFonts w:ascii="Times New Roman" w:eastAsia="Times New Roman" w:hAnsi="Times New Roman" w:cs="Times New Roman"/>
          <w:b/>
          <w:bCs/>
          <w:color w:val="000000" w:themeColor="text1"/>
          <w:kern w:val="0"/>
          <w:sz w:val="28"/>
          <w:szCs w:val="28"/>
          <w14:ligatures w14:val="none"/>
        </w:rPr>
      </w:pPr>
      <w:r>
        <w:rPr>
          <w:rFonts w:ascii="Times New Roman" w:eastAsia="Times New Roman" w:hAnsi="Times New Roman" w:cs="Times New Roman"/>
          <w:b/>
          <w:bCs/>
          <w:color w:val="000000" w:themeColor="text1"/>
          <w:kern w:val="0"/>
          <w:sz w:val="28"/>
          <w:szCs w:val="28"/>
          <w14:ligatures w14:val="none"/>
        </w:rPr>
        <w:br w:type="page"/>
      </w:r>
    </w:p>
    <w:p w14:paraId="0EDD2D74" w14:textId="5948F9F6"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b/>
          <w:bCs/>
          <w:color w:val="000000" w:themeColor="text1"/>
          <w:kern w:val="0"/>
          <w:sz w:val="28"/>
          <w:szCs w:val="28"/>
          <w14:ligatures w14:val="none"/>
        </w:rPr>
        <w:lastRenderedPageBreak/>
        <w:t>References</w:t>
      </w:r>
    </w:p>
    <w:p w14:paraId="56257609" w14:textId="77777777" w:rsidR="005F072C" w:rsidRPr="005F072C" w:rsidRDefault="005F072C" w:rsidP="005F072C">
      <w:pPr>
        <w:spacing w:after="0" w:line="240" w:lineRule="auto"/>
        <w:rPr>
          <w:rFonts w:ascii="Times New Roman" w:eastAsia="Times New Roman" w:hAnsi="Times New Roman" w:cs="Times New Roman"/>
          <w:color w:val="000000" w:themeColor="text1"/>
          <w:kern w:val="0"/>
          <w14:ligatures w14:val="none"/>
        </w:rPr>
      </w:pPr>
    </w:p>
    <w:p w14:paraId="762E0844" w14:textId="77777777" w:rsidR="005F072C" w:rsidRPr="005F072C" w:rsidRDefault="005F072C" w:rsidP="005F072C">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Agency for Healthcare Research and Quality. (n.d.). Medical Expenditure Panel Survey (MEPS) HC-212: 2019 Full Year Consolidated Data File. U.S. Department of Health and Human Services.</w:t>
      </w:r>
    </w:p>
    <w:p w14:paraId="5F00001A" w14:textId="77777777" w:rsidR="005F072C" w:rsidRPr="005F072C" w:rsidRDefault="005F072C" w:rsidP="005F072C">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Agency for Healthcare Research and Quality. (n.d.). MEPS HC-209: 2018 Full Year Consolidated Data File. U.S. Department of Health and Human Services.</w:t>
      </w:r>
    </w:p>
    <w:p w14:paraId="1E10D8C3" w14:textId="77777777" w:rsidR="005F072C" w:rsidRPr="005F072C" w:rsidRDefault="005F072C" w:rsidP="005F072C">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5F072C">
        <w:rPr>
          <w:rFonts w:ascii="Times New Roman" w:eastAsia="Times New Roman" w:hAnsi="Times New Roman" w:cs="Times New Roman"/>
          <w:color w:val="000000" w:themeColor="text1"/>
          <w:kern w:val="0"/>
          <w14:ligatures w14:val="none"/>
        </w:rPr>
        <w:t xml:space="preserve">Hastie, T., </w:t>
      </w:r>
      <w:proofErr w:type="spellStart"/>
      <w:r w:rsidRPr="005F072C">
        <w:rPr>
          <w:rFonts w:ascii="Times New Roman" w:eastAsia="Times New Roman" w:hAnsi="Times New Roman" w:cs="Times New Roman"/>
          <w:color w:val="000000" w:themeColor="text1"/>
          <w:kern w:val="0"/>
          <w14:ligatures w14:val="none"/>
        </w:rPr>
        <w:t>Tibshirani</w:t>
      </w:r>
      <w:proofErr w:type="spellEnd"/>
      <w:r w:rsidRPr="005F072C">
        <w:rPr>
          <w:rFonts w:ascii="Times New Roman" w:eastAsia="Times New Roman" w:hAnsi="Times New Roman" w:cs="Times New Roman"/>
          <w:color w:val="000000" w:themeColor="text1"/>
          <w:kern w:val="0"/>
          <w14:ligatures w14:val="none"/>
        </w:rPr>
        <w:t>, R., &amp; Friedman, J. (2009). The Elements of Statistical Learning. Springer Series in Statistics.</w:t>
      </w:r>
    </w:p>
    <w:p w14:paraId="5D501F8E" w14:textId="07587939" w:rsidR="005F072C" w:rsidRPr="005F072C" w:rsidRDefault="005F072C" w:rsidP="005F072C">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proofErr w:type="spellStart"/>
      <w:proofErr w:type="gramStart"/>
      <w:r w:rsidRPr="005F072C">
        <w:rPr>
          <w:rFonts w:ascii="Times New Roman" w:eastAsia="Times New Roman" w:hAnsi="Times New Roman" w:cs="Times New Roman"/>
          <w:color w:val="000000" w:themeColor="text1"/>
          <w:kern w:val="0"/>
          <w14:ligatures w14:val="none"/>
        </w:rPr>
        <w:t>sklearn.metrics</w:t>
      </w:r>
      <w:proofErr w:type="spellEnd"/>
      <w:proofErr w:type="gramEnd"/>
      <w:r w:rsidRPr="005F072C">
        <w:rPr>
          <w:rFonts w:ascii="Times New Roman" w:eastAsia="Times New Roman" w:hAnsi="Times New Roman" w:cs="Times New Roman"/>
          <w:color w:val="000000" w:themeColor="text1"/>
          <w:kern w:val="0"/>
          <w14:ligatures w14:val="none"/>
        </w:rPr>
        <w:t>. (n.d.). Receiver Operating Characteristic (ROC). Scikit-learn documentation</w:t>
      </w:r>
    </w:p>
    <w:p w14:paraId="7C972E45" w14:textId="77777777" w:rsidR="005F072C" w:rsidRPr="005F072C" w:rsidRDefault="005F072C">
      <w:pPr>
        <w:rPr>
          <w:rFonts w:hint="eastAsia"/>
          <w:color w:val="000000" w:themeColor="text1"/>
        </w:rPr>
      </w:pPr>
    </w:p>
    <w:sectPr w:rsidR="005F072C" w:rsidRPr="005F0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4740"/>
    <w:multiLevelType w:val="hybridMultilevel"/>
    <w:tmpl w:val="61A2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14680"/>
    <w:multiLevelType w:val="multilevel"/>
    <w:tmpl w:val="C77EC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0D48AA"/>
    <w:multiLevelType w:val="multilevel"/>
    <w:tmpl w:val="576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3B3805"/>
    <w:multiLevelType w:val="multilevel"/>
    <w:tmpl w:val="93D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394448">
    <w:abstractNumId w:val="2"/>
  </w:num>
  <w:num w:numId="2" w16cid:durableId="782309793">
    <w:abstractNumId w:val="1"/>
  </w:num>
  <w:num w:numId="3" w16cid:durableId="3286906">
    <w:abstractNumId w:val="3"/>
  </w:num>
  <w:num w:numId="4" w16cid:durableId="117179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33"/>
    <w:rsid w:val="003B2B8C"/>
    <w:rsid w:val="00462333"/>
    <w:rsid w:val="005F072C"/>
    <w:rsid w:val="00B3018F"/>
    <w:rsid w:val="00C2053E"/>
    <w:rsid w:val="00FA36F2"/>
    <w:rsid w:val="00FD4CBE"/>
    <w:rsid w:val="00FE4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45BCA2"/>
  <w15:chartTrackingRefBased/>
  <w15:docId w15:val="{B0B4F352-1D97-BF40-8289-6A2B274B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333"/>
    <w:rPr>
      <w:rFonts w:eastAsiaTheme="majorEastAsia" w:cstheme="majorBidi"/>
      <w:color w:val="272727" w:themeColor="text1" w:themeTint="D8"/>
    </w:rPr>
  </w:style>
  <w:style w:type="paragraph" w:styleId="Title">
    <w:name w:val="Title"/>
    <w:basedOn w:val="Normal"/>
    <w:next w:val="Normal"/>
    <w:link w:val="TitleChar"/>
    <w:uiPriority w:val="10"/>
    <w:qFormat/>
    <w:rsid w:val="00462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333"/>
    <w:pPr>
      <w:spacing w:before="160"/>
      <w:jc w:val="center"/>
    </w:pPr>
    <w:rPr>
      <w:i/>
      <w:iCs/>
      <w:color w:val="404040" w:themeColor="text1" w:themeTint="BF"/>
    </w:rPr>
  </w:style>
  <w:style w:type="character" w:customStyle="1" w:styleId="QuoteChar">
    <w:name w:val="Quote Char"/>
    <w:basedOn w:val="DefaultParagraphFont"/>
    <w:link w:val="Quote"/>
    <w:uiPriority w:val="29"/>
    <w:rsid w:val="00462333"/>
    <w:rPr>
      <w:i/>
      <w:iCs/>
      <w:color w:val="404040" w:themeColor="text1" w:themeTint="BF"/>
    </w:rPr>
  </w:style>
  <w:style w:type="paragraph" w:styleId="ListParagraph">
    <w:name w:val="List Paragraph"/>
    <w:basedOn w:val="Normal"/>
    <w:uiPriority w:val="34"/>
    <w:qFormat/>
    <w:rsid w:val="00462333"/>
    <w:pPr>
      <w:ind w:left="720"/>
      <w:contextualSpacing/>
    </w:pPr>
  </w:style>
  <w:style w:type="character" w:styleId="IntenseEmphasis">
    <w:name w:val="Intense Emphasis"/>
    <w:basedOn w:val="DefaultParagraphFont"/>
    <w:uiPriority w:val="21"/>
    <w:qFormat/>
    <w:rsid w:val="00462333"/>
    <w:rPr>
      <w:i/>
      <w:iCs/>
      <w:color w:val="0F4761" w:themeColor="accent1" w:themeShade="BF"/>
    </w:rPr>
  </w:style>
  <w:style w:type="paragraph" w:styleId="IntenseQuote">
    <w:name w:val="Intense Quote"/>
    <w:basedOn w:val="Normal"/>
    <w:next w:val="Normal"/>
    <w:link w:val="IntenseQuoteChar"/>
    <w:uiPriority w:val="30"/>
    <w:qFormat/>
    <w:rsid w:val="00462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333"/>
    <w:rPr>
      <w:i/>
      <w:iCs/>
      <w:color w:val="0F4761" w:themeColor="accent1" w:themeShade="BF"/>
    </w:rPr>
  </w:style>
  <w:style w:type="character" w:styleId="IntenseReference">
    <w:name w:val="Intense Reference"/>
    <w:basedOn w:val="DefaultParagraphFont"/>
    <w:uiPriority w:val="32"/>
    <w:qFormat/>
    <w:rsid w:val="00462333"/>
    <w:rPr>
      <w:b/>
      <w:bCs/>
      <w:smallCaps/>
      <w:color w:val="0F4761" w:themeColor="accent1" w:themeShade="BF"/>
      <w:spacing w:val="5"/>
    </w:rPr>
  </w:style>
  <w:style w:type="paragraph" w:styleId="NormalWeb">
    <w:name w:val="Normal (Web)"/>
    <w:basedOn w:val="Normal"/>
    <w:uiPriority w:val="99"/>
    <w:semiHidden/>
    <w:unhideWhenUsed/>
    <w:rsid w:val="005F07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s://encrypted-tbn0.gstatic.com/images?q=tbn:ANd9GcRaGvqQhqWdx31K9q6qqMnIbqDdhg264ZYe_w&amp;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Gao</dc:creator>
  <cp:keywords/>
  <dc:description/>
  <cp:lastModifiedBy>Sylvia Gao</cp:lastModifiedBy>
  <cp:revision>3</cp:revision>
  <dcterms:created xsi:type="dcterms:W3CDTF">2026-01-16T23:09:00Z</dcterms:created>
  <dcterms:modified xsi:type="dcterms:W3CDTF">2026-01-17T22:20:00Z</dcterms:modified>
</cp:coreProperties>
</file>