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664AA" w14:textId="68C5938C" w:rsidR="005F072C" w:rsidRPr="005F072C" w:rsidRDefault="005F072C" w:rsidP="005F072C">
      <w:pPr>
        <w:rPr>
          <w:rFonts w:ascii="Times New Roman" w:hAnsi="Times New Roman" w:cs="Times New Roman"/>
          <w:b/>
          <w:bCs/>
          <w:color w:val="000000" w:themeColor="text1"/>
          <w:sz w:val="36"/>
          <w:szCs w:val="36"/>
          <w:lang w:val="en-IN"/>
        </w:rPr>
      </w:pPr>
      <w:r w:rsidRPr="005F072C">
        <w:rPr>
          <w:noProof/>
          <w:color w:val="000000" w:themeColor="text1"/>
        </w:rPr>
        <w:drawing>
          <wp:anchor distT="0" distB="0" distL="114300" distR="114300" simplePos="0" relativeHeight="251659264" behindDoc="1" locked="0" layoutInCell="1" allowOverlap="1" wp14:anchorId="70618D61" wp14:editId="05C82670">
            <wp:simplePos x="0" y="0"/>
            <wp:positionH relativeFrom="margin">
              <wp:posOffset>1695450</wp:posOffset>
            </wp:positionH>
            <wp:positionV relativeFrom="paragraph">
              <wp:posOffset>177800</wp:posOffset>
            </wp:positionV>
            <wp:extent cx="2184400" cy="2184400"/>
            <wp:effectExtent l="0" t="0" r="0" b="0"/>
            <wp:wrapTopAndBottom/>
            <wp:docPr id="1569860649" name="Picture 2" descr="Seal - Brand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860649" name="Picture 2" descr="Seal - Brand Center"/>
                    <pic:cNvPicPr>
                      <a:picLocks noChangeAspect="1"/>
                    </pic:cNvPicPr>
                  </pic:nvPicPr>
                  <pic:blipFill>
                    <a:blip r:embed="rId5" r:link="rId6">
                      <a:extLst>
                        <a:ext uri="{28A0092B-C50C-407E-A947-70E740481C1C}">
                          <a14:useLocalDpi xmlns:a14="http://schemas.microsoft.com/office/drawing/2010/main" val="0"/>
                        </a:ext>
                      </a:extLst>
                    </a:blip>
                    <a:srcRect/>
                    <a:stretch>
                      <a:fillRect/>
                    </a:stretch>
                  </pic:blipFill>
                  <pic:spPr bwMode="auto">
                    <a:xfrm>
                      <a:off x="0" y="0"/>
                      <a:ext cx="2184400" cy="2184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D07955" w14:textId="67C9A147" w:rsidR="005F072C" w:rsidRPr="005F072C" w:rsidRDefault="005F072C" w:rsidP="005F072C">
      <w:pPr>
        <w:rPr>
          <w:rFonts w:ascii="Times New Roman" w:hAnsi="Times New Roman" w:cs="Times New Roman"/>
          <w:b/>
          <w:bCs/>
          <w:color w:val="000000" w:themeColor="text1"/>
          <w:sz w:val="36"/>
          <w:szCs w:val="36"/>
          <w:lang w:val="en-IN"/>
        </w:rPr>
      </w:pPr>
      <w:r w:rsidRPr="005F072C">
        <w:rPr>
          <w:rFonts w:ascii="Times New Roman" w:hAnsi="Times New Roman" w:cs="Times New Roman"/>
          <w:b/>
          <w:bCs/>
          <w:color w:val="000000" w:themeColor="text1"/>
          <w:sz w:val="36"/>
          <w:szCs w:val="36"/>
          <w:lang w:val="en-IN"/>
        </w:rPr>
        <w:t xml:space="preserve">Identifying Latent High-Cost Risk in Healthcare: A Two-Stage </w:t>
      </w:r>
      <w:proofErr w:type="spellStart"/>
      <w:r w:rsidRPr="005F072C">
        <w:rPr>
          <w:rFonts w:ascii="Times New Roman" w:hAnsi="Times New Roman" w:cs="Times New Roman"/>
          <w:b/>
          <w:bCs/>
          <w:color w:val="000000" w:themeColor="text1"/>
          <w:sz w:val="36"/>
          <w:szCs w:val="36"/>
          <w:lang w:val="en-IN"/>
        </w:rPr>
        <w:t>Modeling</w:t>
      </w:r>
      <w:proofErr w:type="spellEnd"/>
      <w:r w:rsidRPr="005F072C">
        <w:rPr>
          <w:rFonts w:ascii="Times New Roman" w:hAnsi="Times New Roman" w:cs="Times New Roman"/>
          <w:b/>
          <w:bCs/>
          <w:color w:val="000000" w:themeColor="text1"/>
          <w:sz w:val="36"/>
          <w:szCs w:val="36"/>
          <w:lang w:val="en-IN"/>
        </w:rPr>
        <w:t xml:space="preserve"> Approach Using MEPS Longitudinal Data</w:t>
      </w:r>
    </w:p>
    <w:p w14:paraId="52CB7E9B" w14:textId="77777777" w:rsidR="005F072C" w:rsidRPr="005F072C" w:rsidRDefault="005F072C" w:rsidP="005F072C">
      <w:pPr>
        <w:rPr>
          <w:rFonts w:ascii="Times New Roman" w:hAnsi="Times New Roman" w:cs="Times New Roman"/>
          <w:b/>
          <w:bCs/>
          <w:color w:val="000000" w:themeColor="text1"/>
          <w:sz w:val="36"/>
          <w:szCs w:val="36"/>
          <w:lang w:val="en-IN"/>
        </w:rPr>
      </w:pPr>
    </w:p>
    <w:p w14:paraId="63C4DA25" w14:textId="77777777" w:rsidR="005F072C" w:rsidRPr="005F072C" w:rsidRDefault="005F072C" w:rsidP="005F072C">
      <w:pPr>
        <w:jc w:val="center"/>
        <w:rPr>
          <w:rFonts w:ascii="Times New Roman" w:hAnsi="Times New Roman" w:cs="Times New Roman"/>
          <w:color w:val="000000" w:themeColor="text1"/>
          <w:sz w:val="22"/>
          <w:szCs w:val="22"/>
          <w:lang w:val="en-IN"/>
        </w:rPr>
      </w:pPr>
      <w:r w:rsidRPr="005F072C">
        <w:rPr>
          <w:rFonts w:ascii="Times New Roman" w:hAnsi="Times New Roman" w:cs="Times New Roman"/>
          <w:color w:val="000000" w:themeColor="text1"/>
          <w:sz w:val="22"/>
          <w:szCs w:val="22"/>
          <w:lang w:val="en-IN"/>
        </w:rPr>
        <w:t>ALY6980</w:t>
      </w:r>
    </w:p>
    <w:p w14:paraId="11F1B57B" w14:textId="77777777" w:rsidR="005F072C" w:rsidRPr="005F072C" w:rsidRDefault="005F072C" w:rsidP="005F072C">
      <w:pPr>
        <w:jc w:val="center"/>
        <w:rPr>
          <w:rFonts w:ascii="Times New Roman" w:hAnsi="Times New Roman" w:cs="Times New Roman"/>
          <w:color w:val="000000" w:themeColor="text1"/>
          <w:sz w:val="22"/>
          <w:szCs w:val="22"/>
        </w:rPr>
      </w:pPr>
      <w:r w:rsidRPr="005F072C">
        <w:rPr>
          <w:rFonts w:ascii="Times New Roman" w:hAnsi="Times New Roman" w:cs="Times New Roman"/>
          <w:color w:val="000000" w:themeColor="text1"/>
          <w:sz w:val="22"/>
          <w:szCs w:val="22"/>
        </w:rPr>
        <w:t>XN Biweekly Report</w:t>
      </w:r>
    </w:p>
    <w:p w14:paraId="00CBE2B7" w14:textId="1DD5AEAD" w:rsidR="005F072C" w:rsidRPr="005F072C" w:rsidRDefault="005F072C" w:rsidP="005F072C">
      <w:pPr>
        <w:jc w:val="center"/>
        <w:rPr>
          <w:rFonts w:ascii="Times New Roman" w:hAnsi="Times New Roman" w:cs="Times New Roman"/>
          <w:color w:val="000000" w:themeColor="text1"/>
          <w:sz w:val="22"/>
          <w:szCs w:val="22"/>
          <w:lang w:val="en-IN"/>
        </w:rPr>
      </w:pPr>
      <w:proofErr w:type="spellStart"/>
      <w:r w:rsidRPr="005F072C">
        <w:rPr>
          <w:rFonts w:ascii="Times New Roman" w:hAnsi="Times New Roman" w:cs="Times New Roman"/>
          <w:color w:val="000000" w:themeColor="text1"/>
          <w:sz w:val="22"/>
          <w:szCs w:val="22"/>
          <w:lang w:val="en-IN"/>
        </w:rPr>
        <w:t>Shuaibing</w:t>
      </w:r>
      <w:proofErr w:type="spellEnd"/>
      <w:r w:rsidRPr="005F072C">
        <w:rPr>
          <w:rFonts w:ascii="Times New Roman" w:hAnsi="Times New Roman" w:cs="Times New Roman"/>
          <w:color w:val="000000" w:themeColor="text1"/>
          <w:sz w:val="22"/>
          <w:szCs w:val="22"/>
          <w:lang w:val="en-IN"/>
        </w:rPr>
        <w:t xml:space="preserve"> Gao</w:t>
      </w:r>
    </w:p>
    <w:p w14:paraId="2F8FB1B9" w14:textId="5AE4867A" w:rsidR="005F072C" w:rsidRPr="005F072C" w:rsidRDefault="005F072C" w:rsidP="005F072C">
      <w:pPr>
        <w:jc w:val="center"/>
        <w:rPr>
          <w:rFonts w:ascii="Times New Roman" w:hAnsi="Times New Roman" w:cs="Times New Roman"/>
          <w:color w:val="000000" w:themeColor="text1"/>
          <w:sz w:val="22"/>
          <w:szCs w:val="22"/>
        </w:rPr>
      </w:pPr>
      <w:r w:rsidRPr="005F072C">
        <w:rPr>
          <w:rFonts w:ascii="Times New Roman" w:hAnsi="Times New Roman" w:cs="Times New Roman"/>
          <w:color w:val="000000" w:themeColor="text1"/>
          <w:sz w:val="22"/>
          <w:szCs w:val="22"/>
          <w:lang w:val="en-IN"/>
        </w:rPr>
        <w:t>ALY6980</w:t>
      </w:r>
      <w:r w:rsidRPr="005F072C">
        <w:rPr>
          <w:rFonts w:ascii="Times New Roman" w:hAnsi="Times New Roman" w:cs="Times New Roman"/>
          <w:color w:val="000000" w:themeColor="text1"/>
          <w:sz w:val="22"/>
          <w:szCs w:val="22"/>
          <w:lang w:val="en-IN"/>
        </w:rPr>
        <w:t>:</w:t>
      </w:r>
      <w:r w:rsidRPr="005F072C">
        <w:rPr>
          <w:rFonts w:ascii="Times New Roman" w:hAnsi="Times New Roman" w:cs="Times New Roman"/>
          <w:color w:val="000000" w:themeColor="text1"/>
          <w:sz w:val="22"/>
          <w:szCs w:val="22"/>
          <w:lang w:val="en-IN"/>
        </w:rPr>
        <w:t xml:space="preserve"> Capstone</w:t>
      </w:r>
    </w:p>
    <w:p w14:paraId="36A1DDB0" w14:textId="77777777" w:rsidR="005F072C" w:rsidRPr="005F072C" w:rsidRDefault="005F072C" w:rsidP="005F072C">
      <w:pPr>
        <w:jc w:val="center"/>
        <w:rPr>
          <w:rFonts w:ascii="Times New Roman" w:hAnsi="Times New Roman" w:cs="Times New Roman"/>
          <w:color w:val="000000" w:themeColor="text1"/>
          <w:sz w:val="22"/>
          <w:szCs w:val="22"/>
        </w:rPr>
      </w:pPr>
      <w:r w:rsidRPr="005F072C">
        <w:rPr>
          <w:rFonts w:ascii="Times New Roman" w:hAnsi="Times New Roman" w:cs="Times New Roman"/>
          <w:color w:val="000000" w:themeColor="text1"/>
          <w:sz w:val="22"/>
          <w:szCs w:val="22"/>
          <w:lang w:val="en-IN"/>
        </w:rPr>
        <w:t xml:space="preserve">Professor- </w:t>
      </w:r>
      <w:r w:rsidRPr="005F072C">
        <w:rPr>
          <w:rFonts w:ascii="Times New Roman" w:hAnsi="Times New Roman" w:cs="Times New Roman"/>
          <w:color w:val="000000" w:themeColor="text1"/>
          <w:sz w:val="22"/>
          <w:szCs w:val="22"/>
        </w:rPr>
        <w:t>AJIT APPARI</w:t>
      </w:r>
    </w:p>
    <w:p w14:paraId="7AC2721A" w14:textId="77777777" w:rsidR="005F072C" w:rsidRPr="005F072C" w:rsidRDefault="005F072C" w:rsidP="005F072C">
      <w:pPr>
        <w:jc w:val="center"/>
        <w:rPr>
          <w:rFonts w:ascii="Times New Roman" w:hAnsi="Times New Roman" w:cs="Times New Roman"/>
          <w:color w:val="000000" w:themeColor="text1"/>
          <w:sz w:val="22"/>
          <w:szCs w:val="22"/>
          <w:lang w:val="en-IN"/>
        </w:rPr>
      </w:pPr>
      <w:r w:rsidRPr="005F072C">
        <w:rPr>
          <w:rFonts w:ascii="Times New Roman" w:hAnsi="Times New Roman" w:cs="Times New Roman"/>
          <w:color w:val="000000" w:themeColor="text1"/>
          <w:sz w:val="22"/>
          <w:szCs w:val="22"/>
          <w:lang w:val="en-IN"/>
        </w:rPr>
        <w:t>12</w:t>
      </w:r>
      <w:r w:rsidRPr="005F072C">
        <w:rPr>
          <w:rFonts w:ascii="Times New Roman" w:hAnsi="Times New Roman" w:cs="Times New Roman"/>
          <w:color w:val="000000" w:themeColor="text1"/>
          <w:sz w:val="22"/>
          <w:szCs w:val="22"/>
          <w:vertAlign w:val="superscript"/>
          <w:lang w:val="en-IN"/>
        </w:rPr>
        <w:t>th</w:t>
      </w:r>
      <w:r w:rsidRPr="005F072C">
        <w:rPr>
          <w:rFonts w:ascii="Times New Roman" w:hAnsi="Times New Roman" w:cs="Times New Roman"/>
          <w:color w:val="000000" w:themeColor="text1"/>
          <w:sz w:val="22"/>
          <w:szCs w:val="22"/>
          <w:lang w:val="en-IN"/>
        </w:rPr>
        <w:t xml:space="preserve">  January 2026</w:t>
      </w:r>
    </w:p>
    <w:p w14:paraId="462FA57E" w14:textId="10A04AC8" w:rsidR="005F072C" w:rsidRPr="005F072C" w:rsidRDefault="005F072C">
      <w:pPr>
        <w:rPr>
          <w:color w:val="000000" w:themeColor="text1"/>
          <w:lang w:val="en-IN"/>
        </w:rPr>
      </w:pPr>
    </w:p>
    <w:p w14:paraId="38715605" w14:textId="40677DC1" w:rsidR="005F072C" w:rsidRPr="005F072C" w:rsidRDefault="005F072C">
      <w:pPr>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br w:type="page"/>
      </w:r>
    </w:p>
    <w:p w14:paraId="0492A12B" w14:textId="00B92DA2" w:rsidR="005F072C" w:rsidRPr="005F072C" w:rsidRDefault="005F072C" w:rsidP="005F072C">
      <w:pPr>
        <w:spacing w:after="0" w:line="240" w:lineRule="auto"/>
        <w:jc w:val="center"/>
        <w:rPr>
          <w:rFonts w:ascii="Times New Roman" w:eastAsia="Times New Roman" w:hAnsi="Times New Roman" w:cs="Times New Roman"/>
          <w:b/>
          <w:bCs/>
          <w:color w:val="000000" w:themeColor="text1"/>
          <w:kern w:val="0"/>
          <w:sz w:val="28"/>
          <w:szCs w:val="28"/>
          <w14:ligatures w14:val="none"/>
        </w:rPr>
      </w:pPr>
      <w:r w:rsidRPr="005F072C">
        <w:rPr>
          <w:rFonts w:ascii="Times New Roman" w:eastAsia="Times New Roman" w:hAnsi="Times New Roman" w:cs="Times New Roman"/>
          <w:b/>
          <w:bCs/>
          <w:color w:val="000000" w:themeColor="text1"/>
          <w:kern w:val="0"/>
          <w:sz w:val="28"/>
          <w:szCs w:val="28"/>
          <w14:ligatures w14:val="none"/>
        </w:rPr>
        <w:lastRenderedPageBreak/>
        <w:t>Introduction</w:t>
      </w:r>
    </w:p>
    <w:p w14:paraId="083D99C9"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3E41591C" w14:textId="18E3528C"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In the landscape of US healthcare economics, a small fraction of the population accounts for </w:t>
      </w:r>
      <w:proofErr w:type="gramStart"/>
      <w:r w:rsidRPr="005F072C">
        <w:rPr>
          <w:rFonts w:ascii="Times New Roman" w:eastAsia="Times New Roman" w:hAnsi="Times New Roman" w:cs="Times New Roman"/>
          <w:color w:val="000000" w:themeColor="text1"/>
          <w:kern w:val="0"/>
          <w14:ligatures w14:val="none"/>
        </w:rPr>
        <w:t>the majority of</w:t>
      </w:r>
      <w:proofErr w:type="gramEnd"/>
      <w:r w:rsidRPr="005F072C">
        <w:rPr>
          <w:rFonts w:ascii="Times New Roman" w:eastAsia="Times New Roman" w:hAnsi="Times New Roman" w:cs="Times New Roman"/>
          <w:color w:val="000000" w:themeColor="text1"/>
          <w:kern w:val="0"/>
          <w14:ligatures w14:val="none"/>
        </w:rPr>
        <w:t xml:space="preserve"> expenditures. While predicting persistent high-cost utilizers is relatively straightforward, the greater challenge</w:t>
      </w:r>
      <w:r>
        <w:rPr>
          <w:rFonts w:ascii="Times New Roman" w:eastAsia="Times New Roman" w:hAnsi="Times New Roman" w:cs="Times New Roman" w:hint="eastAsia"/>
          <w:color w:val="000000" w:themeColor="text1"/>
          <w:kern w:val="0"/>
          <w14:ligatures w14:val="none"/>
        </w:rPr>
        <w:t xml:space="preserve"> </w:t>
      </w:r>
      <w:r w:rsidRPr="005F072C">
        <w:rPr>
          <w:rFonts w:ascii="Times New Roman" w:eastAsia="Times New Roman" w:hAnsi="Times New Roman" w:cs="Times New Roman"/>
          <w:color w:val="000000" w:themeColor="text1"/>
          <w:kern w:val="0"/>
          <w14:ligatures w14:val="none"/>
        </w:rPr>
        <w:t>and opportunity</w:t>
      </w:r>
      <w:r>
        <w:rPr>
          <w:rFonts w:ascii="Times New Roman" w:eastAsia="Times New Roman" w:hAnsi="Times New Roman" w:cs="Times New Roman" w:hint="eastAsia"/>
          <w:color w:val="000000" w:themeColor="text1"/>
          <w:kern w:val="0"/>
          <w14:ligatures w14:val="none"/>
        </w:rPr>
        <w:t xml:space="preserve"> </w:t>
      </w:r>
      <w:proofErr w:type="gramStart"/>
      <w:r w:rsidRPr="005F072C">
        <w:rPr>
          <w:rFonts w:ascii="Times New Roman" w:eastAsia="Times New Roman" w:hAnsi="Times New Roman" w:cs="Times New Roman"/>
          <w:color w:val="000000" w:themeColor="text1"/>
          <w:kern w:val="0"/>
          <w14:ligatures w14:val="none"/>
        </w:rPr>
        <w:t>lies</w:t>
      </w:r>
      <w:proofErr w:type="gramEnd"/>
      <w:r w:rsidRPr="005F072C">
        <w:rPr>
          <w:rFonts w:ascii="Times New Roman" w:eastAsia="Times New Roman" w:hAnsi="Times New Roman" w:cs="Times New Roman"/>
          <w:color w:val="000000" w:themeColor="text1"/>
          <w:kern w:val="0"/>
          <w14:ligatures w14:val="none"/>
        </w:rPr>
        <w:t xml:space="preserve"> in identifying the "Hidden Risers": patients with historically low spending who experience a sudden, severe escalation in care needs. Traditional actuarial models, which rely heavily on prior-year cost as a predictor, often fail to detect these emerging risks until after a costly event has occurred.</w:t>
      </w:r>
    </w:p>
    <w:p w14:paraId="6C045DA3"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7E892794" w14:textId="5FD9FCC8"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This study leverages the Medical Expenditure Panel Survey (MEPS) longitudinal data (Panels 18-23, covering 2013-2019) to develop a sophisticated predictive framework. By engineering features that capture clinical interactions and care utilization styles, and by implementing a two-stage "Latent Risk" modeling architecture, </w:t>
      </w:r>
      <w:r>
        <w:rPr>
          <w:rFonts w:ascii="Times New Roman" w:eastAsia="Times New Roman" w:hAnsi="Times New Roman" w:cs="Times New Roman"/>
          <w:color w:val="000000" w:themeColor="text1"/>
          <w:kern w:val="0"/>
          <w14:ligatures w14:val="none"/>
        </w:rPr>
        <w:t>this study</w:t>
      </w:r>
      <w:r w:rsidRPr="005F072C">
        <w:rPr>
          <w:rFonts w:ascii="Times New Roman" w:eastAsia="Times New Roman" w:hAnsi="Times New Roman" w:cs="Times New Roman"/>
          <w:color w:val="000000" w:themeColor="text1"/>
          <w:kern w:val="0"/>
          <w14:ligatures w14:val="none"/>
        </w:rPr>
        <w:t xml:space="preserve"> </w:t>
      </w:r>
      <w:proofErr w:type="gramStart"/>
      <w:r w:rsidRPr="005F072C">
        <w:rPr>
          <w:rFonts w:ascii="Times New Roman" w:eastAsia="Times New Roman" w:hAnsi="Times New Roman" w:cs="Times New Roman"/>
          <w:color w:val="000000" w:themeColor="text1"/>
          <w:kern w:val="0"/>
          <w14:ligatures w14:val="none"/>
        </w:rPr>
        <w:t>aim</w:t>
      </w:r>
      <w:proofErr w:type="gramEnd"/>
      <w:r w:rsidRPr="005F072C">
        <w:rPr>
          <w:rFonts w:ascii="Times New Roman" w:eastAsia="Times New Roman" w:hAnsi="Times New Roman" w:cs="Times New Roman"/>
          <w:color w:val="000000" w:themeColor="text1"/>
          <w:kern w:val="0"/>
          <w14:ligatures w14:val="none"/>
        </w:rPr>
        <w:t xml:space="preserve"> to predict future high-cost events with greater accuracy and earlier detection than standard baseline models.</w:t>
      </w:r>
    </w:p>
    <w:p w14:paraId="6EC05239"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631F3F7A" w14:textId="5B185F8A" w:rsidR="005F072C" w:rsidRPr="005F072C" w:rsidRDefault="005F072C" w:rsidP="005F072C">
      <w:pPr>
        <w:spacing w:after="0" w:line="240" w:lineRule="auto"/>
        <w:rPr>
          <w:rFonts w:ascii="Times New Roman" w:eastAsia="Times New Roman" w:hAnsi="Times New Roman" w:cs="Times New Roman"/>
          <w:b/>
          <w:bCs/>
          <w:color w:val="000000" w:themeColor="text1"/>
          <w:kern w:val="0"/>
          <w:sz w:val="28"/>
          <w:szCs w:val="28"/>
          <w14:ligatures w14:val="none"/>
        </w:rPr>
      </w:pPr>
      <w:r w:rsidRPr="005F072C">
        <w:rPr>
          <w:rFonts w:ascii="Times New Roman" w:eastAsia="Times New Roman" w:hAnsi="Times New Roman" w:cs="Times New Roman"/>
          <w:b/>
          <w:bCs/>
          <w:color w:val="000000" w:themeColor="text1"/>
          <w:kern w:val="0"/>
          <w:sz w:val="28"/>
          <w:szCs w:val="28"/>
          <w14:ligatures w14:val="none"/>
        </w:rPr>
        <w:t>Research Methods</w:t>
      </w:r>
    </w:p>
    <w:p w14:paraId="40D32561"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7F4DCFF4" w14:textId="77777777" w:rsidR="005F072C" w:rsidRPr="005F072C" w:rsidRDefault="005F072C" w:rsidP="005F072C">
      <w:pPr>
        <w:spacing w:after="0" w:line="240" w:lineRule="auto"/>
        <w:rPr>
          <w:rFonts w:ascii="Times New Roman" w:eastAsia="Times New Roman" w:hAnsi="Times New Roman" w:cs="Times New Roman"/>
          <w:b/>
          <w:bCs/>
          <w:color w:val="000000" w:themeColor="text1"/>
          <w:kern w:val="0"/>
          <w14:ligatures w14:val="none"/>
        </w:rPr>
      </w:pPr>
      <w:r w:rsidRPr="005F072C">
        <w:rPr>
          <w:rFonts w:ascii="Times New Roman" w:eastAsia="Times New Roman" w:hAnsi="Times New Roman" w:cs="Times New Roman"/>
          <w:b/>
          <w:bCs/>
          <w:color w:val="000000" w:themeColor="text1"/>
          <w:kern w:val="0"/>
          <w14:ligatures w14:val="none"/>
        </w:rPr>
        <w:t>2.1 Data Acquisition and Standardization</w:t>
      </w:r>
    </w:p>
    <w:p w14:paraId="672FBC0C"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Data was sourced from the Agency for Healthcare Research and Quality (AHRQ), utilizing the MEPS longitudinal files (HC-172 through HC-212). The dataset includes demographic, medical, and financial variables for a nationally representative sample of the U.S. civilian non-institutionalized population.</w:t>
      </w:r>
    </w:p>
    <w:p w14:paraId="2D4E14AB"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277BA4B6" w14:textId="6E412E5E"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Inflation Adjustment: To ensure financial comparability across the study period (2013-201</w:t>
      </w:r>
      <w:r>
        <w:rPr>
          <w:rFonts w:ascii="Times New Roman" w:eastAsia="Times New Roman" w:hAnsi="Times New Roman" w:cs="Times New Roman" w:hint="eastAsia"/>
          <w:color w:val="000000" w:themeColor="text1"/>
          <w:kern w:val="0"/>
          <w14:ligatures w14:val="none"/>
        </w:rPr>
        <w:t>8</w:t>
      </w:r>
      <w:r w:rsidRPr="005F072C">
        <w:rPr>
          <w:rFonts w:ascii="Times New Roman" w:eastAsia="Times New Roman" w:hAnsi="Times New Roman" w:cs="Times New Roman"/>
          <w:color w:val="000000" w:themeColor="text1"/>
          <w:kern w:val="0"/>
          <w14:ligatures w14:val="none"/>
        </w:rPr>
        <w:t>), all cost variables were adjusted to 2025 dollars using the Medical Care component of the Consumer Price Index (CPI).</w:t>
      </w:r>
    </w:p>
    <w:p w14:paraId="4D6AA39F" w14:textId="77777777" w:rsidR="005F072C" w:rsidRPr="005F072C" w:rsidRDefault="005F072C" w:rsidP="005F072C">
      <w:pPr>
        <w:spacing w:after="0" w:line="240" w:lineRule="auto"/>
        <w:rPr>
          <w:rFonts w:ascii="Times New Roman" w:eastAsia="Times New Roman" w:hAnsi="Times New Roman" w:cs="Times New Roman" w:hint="eastAsia"/>
          <w:color w:val="000000" w:themeColor="text1"/>
          <w:kern w:val="0"/>
          <w14:ligatures w14:val="none"/>
        </w:rPr>
      </w:pPr>
      <w:r w:rsidRPr="005F072C">
        <w:rPr>
          <w:rFonts w:ascii="Times New Roman" w:eastAsia="Times New Roman" w:hAnsi="Times New Roman" w:cs="Times New Roman" w:hint="eastAsia"/>
          <w:color w:val="000000" w:themeColor="text1"/>
          <w:kern w:val="0"/>
          <w14:ligatures w14:val="none"/>
        </w:rPr>
        <w:t>Population Filtering: The analysis cohort was restricted to adults (Age ≥ 18) with no active cancer diagnosis in the baseline year (Year 1), ensuring the model focuses on incident risk rather than the progression of known metastatic disease.</w:t>
      </w:r>
    </w:p>
    <w:p w14:paraId="54E25AE3" w14:textId="77777777" w:rsidR="005F072C" w:rsidRDefault="005F072C" w:rsidP="005F072C">
      <w:pPr>
        <w:spacing w:after="0" w:line="240" w:lineRule="auto"/>
        <w:rPr>
          <w:rFonts w:ascii="Times New Roman" w:eastAsia="Times New Roman" w:hAnsi="Times New Roman" w:cs="Times New Roman"/>
          <w:b/>
          <w:bCs/>
          <w:color w:val="000000" w:themeColor="text1"/>
          <w:kern w:val="0"/>
          <w14:ligatures w14:val="none"/>
        </w:rPr>
      </w:pPr>
    </w:p>
    <w:p w14:paraId="0F13EBDF" w14:textId="3819E7E7" w:rsidR="005F072C" w:rsidRPr="005F072C" w:rsidRDefault="005F072C" w:rsidP="005F072C">
      <w:pPr>
        <w:spacing w:after="0" w:line="240" w:lineRule="auto"/>
        <w:rPr>
          <w:rFonts w:ascii="Times New Roman" w:eastAsia="Times New Roman" w:hAnsi="Times New Roman" w:cs="Times New Roman"/>
          <w:b/>
          <w:bCs/>
          <w:color w:val="000000" w:themeColor="text1"/>
          <w:kern w:val="0"/>
          <w14:ligatures w14:val="none"/>
        </w:rPr>
      </w:pPr>
      <w:r w:rsidRPr="005F072C">
        <w:rPr>
          <w:rFonts w:ascii="Times New Roman" w:eastAsia="Times New Roman" w:hAnsi="Times New Roman" w:cs="Times New Roman"/>
          <w:b/>
          <w:bCs/>
          <w:color w:val="000000" w:themeColor="text1"/>
          <w:kern w:val="0"/>
          <w14:ligatures w14:val="none"/>
        </w:rPr>
        <w:t>2.2 Advanced Feature Engineering</w:t>
      </w:r>
    </w:p>
    <w:p w14:paraId="0A4C8D13" w14:textId="7657531B"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Beyond standard demographics, </w:t>
      </w:r>
      <w:r>
        <w:rPr>
          <w:rFonts w:ascii="Times New Roman" w:eastAsia="Times New Roman" w:hAnsi="Times New Roman" w:cs="Times New Roman"/>
          <w:color w:val="000000" w:themeColor="text1"/>
          <w:kern w:val="0"/>
          <w14:ligatures w14:val="none"/>
        </w:rPr>
        <w:t>this study</w:t>
      </w:r>
      <w:r w:rsidRPr="005F072C">
        <w:rPr>
          <w:rFonts w:ascii="Times New Roman" w:eastAsia="Times New Roman" w:hAnsi="Times New Roman" w:cs="Times New Roman"/>
          <w:color w:val="000000" w:themeColor="text1"/>
          <w:kern w:val="0"/>
          <w14:ligatures w14:val="none"/>
        </w:rPr>
        <w:t xml:space="preserve"> developed three "Deep Dive" feature sets to capture latent risk signals:</w:t>
      </w:r>
    </w:p>
    <w:p w14:paraId="35CCDB2F"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0F016648" w14:textId="63379F2C"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Care Phenotyping (Clustering): </w:t>
      </w:r>
      <w:r>
        <w:rPr>
          <w:rFonts w:ascii="Times New Roman" w:eastAsia="Times New Roman" w:hAnsi="Times New Roman" w:cs="Times New Roman"/>
          <w:color w:val="000000" w:themeColor="text1"/>
          <w:kern w:val="0"/>
          <w14:ligatures w14:val="none"/>
        </w:rPr>
        <w:t>This study</w:t>
      </w:r>
      <w:r w:rsidRPr="005F072C">
        <w:rPr>
          <w:rFonts w:ascii="Times New Roman" w:eastAsia="Times New Roman" w:hAnsi="Times New Roman" w:cs="Times New Roman"/>
          <w:color w:val="000000" w:themeColor="text1"/>
          <w:kern w:val="0"/>
          <w14:ligatures w14:val="none"/>
        </w:rPr>
        <w:t xml:space="preserve"> applied K-Means clustering to utilization vectors (Emergency, Inpatient, Outpatient, Prescription counts) to categorize patients into distinct "Care Phenotypes" (e.g., "Emergency-Dependent" vs. "Pharmacologically Managed").</w:t>
      </w:r>
    </w:p>
    <w:p w14:paraId="43BD8138" w14:textId="1BCC16AA"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Interaction Effects: </w:t>
      </w:r>
      <w:r>
        <w:rPr>
          <w:rFonts w:ascii="Times New Roman" w:eastAsia="Times New Roman" w:hAnsi="Times New Roman" w:cs="Times New Roman"/>
          <w:color w:val="000000" w:themeColor="text1"/>
          <w:kern w:val="0"/>
          <w14:ligatures w14:val="none"/>
        </w:rPr>
        <w:t>This study</w:t>
      </w:r>
      <w:r w:rsidRPr="005F072C">
        <w:rPr>
          <w:rFonts w:ascii="Times New Roman" w:eastAsia="Times New Roman" w:hAnsi="Times New Roman" w:cs="Times New Roman"/>
          <w:color w:val="000000" w:themeColor="text1"/>
          <w:kern w:val="0"/>
          <w14:ligatures w14:val="none"/>
        </w:rPr>
        <w:t xml:space="preserve"> hypothesized a "Multiplier Effect" where poor mental health exacerbates the cost of chronic physical conditions. A binary feature MH_ADVERSE (defined as Self-Reported Mental Health = Fair or Poor) was interacted with chronic disease counts to create INTERACT_CHRONIC_MENTAL.</w:t>
      </w:r>
    </w:p>
    <w:p w14:paraId="58130980" w14:textId="787F7B18"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Warning Signals: </w:t>
      </w:r>
      <w:r>
        <w:rPr>
          <w:rFonts w:ascii="Times New Roman" w:eastAsia="Times New Roman" w:hAnsi="Times New Roman" w:cs="Times New Roman"/>
          <w:color w:val="000000" w:themeColor="text1"/>
          <w:kern w:val="0"/>
          <w14:ligatures w14:val="none"/>
        </w:rPr>
        <w:t>This study</w:t>
      </w:r>
      <w:r w:rsidRPr="005F072C">
        <w:rPr>
          <w:rFonts w:ascii="Times New Roman" w:eastAsia="Times New Roman" w:hAnsi="Times New Roman" w:cs="Times New Roman"/>
          <w:color w:val="000000" w:themeColor="text1"/>
          <w:kern w:val="0"/>
          <w14:ligatures w14:val="none"/>
        </w:rPr>
        <w:t xml:space="preserve"> calculated the RATIO_ER_OFFICE to identify patients relying on crisis care (ER) rather than preventive management (Office visits).</w:t>
      </w:r>
    </w:p>
    <w:p w14:paraId="5C59E2AC" w14:textId="77777777" w:rsidR="005F072C" w:rsidRDefault="005F072C" w:rsidP="005F072C">
      <w:pPr>
        <w:spacing w:after="0" w:line="240" w:lineRule="auto"/>
        <w:rPr>
          <w:rFonts w:ascii="Times New Roman" w:eastAsia="Times New Roman" w:hAnsi="Times New Roman" w:cs="Times New Roman"/>
          <w:b/>
          <w:bCs/>
          <w:color w:val="000000" w:themeColor="text1"/>
          <w:kern w:val="0"/>
          <w14:ligatures w14:val="none"/>
        </w:rPr>
      </w:pPr>
    </w:p>
    <w:p w14:paraId="6D604A44" w14:textId="0AC5ABBB" w:rsidR="005F072C" w:rsidRPr="005F072C" w:rsidRDefault="005F072C" w:rsidP="005F072C">
      <w:pPr>
        <w:spacing w:after="0" w:line="240" w:lineRule="auto"/>
        <w:rPr>
          <w:rFonts w:ascii="Times New Roman" w:eastAsia="Times New Roman" w:hAnsi="Times New Roman" w:cs="Times New Roman"/>
          <w:b/>
          <w:bCs/>
          <w:color w:val="000000" w:themeColor="text1"/>
          <w:kern w:val="0"/>
          <w14:ligatures w14:val="none"/>
        </w:rPr>
      </w:pPr>
      <w:r w:rsidRPr="005F072C">
        <w:rPr>
          <w:rFonts w:ascii="Times New Roman" w:eastAsia="Times New Roman" w:hAnsi="Times New Roman" w:cs="Times New Roman"/>
          <w:b/>
          <w:bCs/>
          <w:color w:val="000000" w:themeColor="text1"/>
          <w:kern w:val="0"/>
          <w14:ligatures w14:val="none"/>
        </w:rPr>
        <w:t>2.3 Two-Stage "Latent Risk" Modeling Strategy</w:t>
      </w:r>
    </w:p>
    <w:p w14:paraId="220DF995" w14:textId="5112EC89"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To capture the risk of sudden escalation, </w:t>
      </w:r>
      <w:r>
        <w:rPr>
          <w:rFonts w:ascii="Times New Roman" w:eastAsia="Times New Roman" w:hAnsi="Times New Roman" w:cs="Times New Roman"/>
          <w:color w:val="000000" w:themeColor="text1"/>
          <w:kern w:val="0"/>
          <w14:ligatures w14:val="none"/>
        </w:rPr>
        <w:t>this study</w:t>
      </w:r>
      <w:r w:rsidRPr="005F072C">
        <w:rPr>
          <w:rFonts w:ascii="Times New Roman" w:eastAsia="Times New Roman" w:hAnsi="Times New Roman" w:cs="Times New Roman"/>
          <w:color w:val="000000" w:themeColor="text1"/>
          <w:kern w:val="0"/>
          <w14:ligatures w14:val="none"/>
        </w:rPr>
        <w:t xml:space="preserve"> employed a valid two-stage approach:</w:t>
      </w:r>
    </w:p>
    <w:p w14:paraId="0D2C8BBE"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00F9BDDC" w14:textId="34717D5B"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b/>
          <w:bCs/>
          <w:color w:val="000000" w:themeColor="text1"/>
          <w:kern w:val="0"/>
          <w14:ligatures w14:val="none"/>
        </w:rPr>
        <w:t>Stage 1 (Auxiliary Model):</w:t>
      </w:r>
      <w:r w:rsidRPr="005F072C">
        <w:rPr>
          <w:rFonts w:ascii="Times New Roman" w:eastAsia="Times New Roman" w:hAnsi="Times New Roman" w:cs="Times New Roman"/>
          <w:color w:val="000000" w:themeColor="text1"/>
          <w:kern w:val="0"/>
          <w14:ligatures w14:val="none"/>
        </w:rPr>
        <w:t xml:space="preserve"> </w:t>
      </w:r>
      <w:r>
        <w:rPr>
          <w:rFonts w:ascii="Times New Roman" w:eastAsia="Times New Roman" w:hAnsi="Times New Roman" w:cs="Times New Roman"/>
          <w:color w:val="000000" w:themeColor="text1"/>
          <w:kern w:val="0"/>
          <w14:ligatures w14:val="none"/>
        </w:rPr>
        <w:t>A</w:t>
      </w:r>
      <w:r w:rsidRPr="005F072C">
        <w:rPr>
          <w:rFonts w:ascii="Times New Roman" w:eastAsia="Times New Roman" w:hAnsi="Times New Roman" w:cs="Times New Roman"/>
          <w:color w:val="000000" w:themeColor="text1"/>
          <w:kern w:val="0"/>
          <w14:ligatures w14:val="none"/>
        </w:rPr>
        <w:t xml:space="preserve"> weighted Logistic Regression model </w:t>
      </w:r>
      <w:r>
        <w:rPr>
          <w:rFonts w:ascii="Times New Roman" w:eastAsia="Times New Roman" w:hAnsi="Times New Roman" w:cs="Times New Roman"/>
          <w:color w:val="000000" w:themeColor="text1"/>
          <w:kern w:val="0"/>
          <w14:ligatures w14:val="none"/>
        </w:rPr>
        <w:t>is trained for</w:t>
      </w:r>
      <w:r w:rsidRPr="005F072C">
        <w:rPr>
          <w:rFonts w:ascii="Times New Roman" w:eastAsia="Times New Roman" w:hAnsi="Times New Roman" w:cs="Times New Roman"/>
          <w:color w:val="000000" w:themeColor="text1"/>
          <w:kern w:val="0"/>
          <w14:ligatures w14:val="none"/>
        </w:rPr>
        <w:t xml:space="preserve"> predict</w:t>
      </w:r>
      <w:r>
        <w:rPr>
          <w:rFonts w:ascii="Times New Roman" w:eastAsia="Times New Roman" w:hAnsi="Times New Roman" w:cs="Times New Roman"/>
          <w:color w:val="000000" w:themeColor="text1"/>
          <w:kern w:val="0"/>
          <w14:ligatures w14:val="none"/>
        </w:rPr>
        <w:t>ing</w:t>
      </w:r>
      <w:r w:rsidRPr="005F072C">
        <w:rPr>
          <w:rFonts w:ascii="Times New Roman" w:eastAsia="Times New Roman" w:hAnsi="Times New Roman" w:cs="Times New Roman"/>
          <w:color w:val="000000" w:themeColor="text1"/>
          <w:kern w:val="0"/>
          <w14:ligatures w14:val="none"/>
        </w:rPr>
        <w:t xml:space="preserve"> a proxy target, LATENT_EVENT_Y2 (defined as Year 2 costs in the top 15% of the population). Crucially, we generated out-of-fold probability scores (PROB_LATENT_RISK) using 5-fold cross-validation. This ensures that the risk score for every patient is unbiased and generated by a model that did not see that patient during training.</w:t>
      </w:r>
    </w:p>
    <w:p w14:paraId="07F55F7E"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b/>
          <w:bCs/>
          <w:color w:val="000000" w:themeColor="text1"/>
          <w:kern w:val="0"/>
          <w14:ligatures w14:val="none"/>
        </w:rPr>
        <w:t>Stage 2 (Main Outcome Model):</w:t>
      </w:r>
      <w:r w:rsidRPr="005F072C">
        <w:rPr>
          <w:rFonts w:ascii="Times New Roman" w:eastAsia="Times New Roman" w:hAnsi="Times New Roman" w:cs="Times New Roman"/>
          <w:color w:val="000000" w:themeColor="text1"/>
          <w:kern w:val="0"/>
          <w14:ligatures w14:val="none"/>
        </w:rPr>
        <w:t xml:space="preserve"> The unbiased PROB_LATENT_RISK was fed as a single, powerful feature into the final model to predict the primary binary target: High Cost in Year 2 (Top 10%).</w:t>
      </w:r>
    </w:p>
    <w:p w14:paraId="11868560" w14:textId="77777777" w:rsidR="005F072C" w:rsidRDefault="005F072C" w:rsidP="005F072C">
      <w:pPr>
        <w:spacing w:after="0" w:line="240" w:lineRule="auto"/>
        <w:rPr>
          <w:rFonts w:ascii="Times New Roman" w:eastAsia="Times New Roman" w:hAnsi="Times New Roman" w:cs="Times New Roman"/>
          <w:b/>
          <w:bCs/>
          <w:color w:val="000000" w:themeColor="text1"/>
          <w:kern w:val="0"/>
          <w:sz w:val="28"/>
          <w:szCs w:val="28"/>
          <w14:ligatures w14:val="none"/>
        </w:rPr>
      </w:pPr>
    </w:p>
    <w:p w14:paraId="6B5D0B96" w14:textId="2F4552CE"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b/>
          <w:bCs/>
          <w:color w:val="000000" w:themeColor="text1"/>
          <w:kern w:val="0"/>
          <w:sz w:val="28"/>
          <w:szCs w:val="28"/>
          <w14:ligatures w14:val="none"/>
        </w:rPr>
        <w:t>Analysis Results and Discussion</w:t>
      </w:r>
    </w:p>
    <w:p w14:paraId="6B926247"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69D12BB6" w14:textId="77777777" w:rsidR="005F072C" w:rsidRPr="005F072C" w:rsidRDefault="005F072C" w:rsidP="005F072C">
      <w:pPr>
        <w:spacing w:after="0" w:line="240" w:lineRule="auto"/>
        <w:rPr>
          <w:rFonts w:ascii="Times New Roman" w:eastAsia="Times New Roman" w:hAnsi="Times New Roman" w:cs="Times New Roman"/>
          <w:b/>
          <w:bCs/>
          <w:color w:val="000000" w:themeColor="text1"/>
          <w:kern w:val="0"/>
          <w14:ligatures w14:val="none"/>
        </w:rPr>
      </w:pPr>
      <w:r w:rsidRPr="005F072C">
        <w:rPr>
          <w:rFonts w:ascii="Times New Roman" w:eastAsia="Times New Roman" w:hAnsi="Times New Roman" w:cs="Times New Roman"/>
          <w:b/>
          <w:bCs/>
          <w:color w:val="000000" w:themeColor="text1"/>
          <w:kern w:val="0"/>
          <w14:ligatures w14:val="none"/>
        </w:rPr>
        <w:t>3.1 Exploratory Analysis: The Signature of "Jumpers"</w:t>
      </w:r>
    </w:p>
    <w:p w14:paraId="070EEF9F" w14:textId="00DBE471" w:rsid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The initial analysis isolated a cohort of "Jumpers" (Low Cost Y1 </w:t>
      </w:r>
      <w:r>
        <w:rPr>
          <w:rFonts w:ascii="Times New Roman" w:eastAsia="Times New Roman" w:hAnsi="Times New Roman" w:cs="Times New Roman"/>
          <w:color w:val="000000" w:themeColor="text1"/>
          <w:kern w:val="0"/>
          <w14:ligatures w14:val="none"/>
        </w:rPr>
        <w:t xml:space="preserve">~ </w:t>
      </w:r>
      <w:r w:rsidRPr="005F072C">
        <w:rPr>
          <w:rFonts w:ascii="Times New Roman" w:eastAsia="Times New Roman" w:hAnsi="Times New Roman" w:cs="Times New Roman" w:hint="eastAsia"/>
          <w:color w:val="000000" w:themeColor="text1"/>
          <w:kern w:val="0"/>
          <w14:ligatures w14:val="none"/>
        </w:rPr>
        <w:t xml:space="preserve">High Cost Y2). </w:t>
      </w:r>
      <w:r>
        <w:rPr>
          <w:rFonts w:ascii="Times New Roman" w:eastAsia="Times New Roman" w:hAnsi="Times New Roman" w:cs="Times New Roman" w:hint="eastAsia"/>
          <w:color w:val="000000" w:themeColor="text1"/>
          <w:kern w:val="0"/>
          <w14:ligatures w14:val="none"/>
        </w:rPr>
        <w:t>T</w:t>
      </w:r>
      <w:r>
        <w:rPr>
          <w:rFonts w:ascii="Times New Roman" w:eastAsia="Times New Roman" w:hAnsi="Times New Roman" w:cs="Times New Roman"/>
          <w:color w:val="000000" w:themeColor="text1"/>
          <w:kern w:val="0"/>
          <w14:ligatures w14:val="none"/>
        </w:rPr>
        <w:t xml:space="preserve">hese patients look healthy with expenditure lower than median in the Y1. </w:t>
      </w:r>
      <w:proofErr w:type="gramStart"/>
      <w:r>
        <w:rPr>
          <w:rFonts w:ascii="Times New Roman" w:eastAsia="Times New Roman" w:hAnsi="Times New Roman" w:cs="Times New Roman"/>
          <w:color w:val="000000" w:themeColor="text1"/>
          <w:kern w:val="0"/>
          <w14:ligatures w14:val="none"/>
        </w:rPr>
        <w:t>However</w:t>
      </w:r>
      <w:proofErr w:type="gramEnd"/>
      <w:r>
        <w:rPr>
          <w:rFonts w:ascii="Times New Roman" w:eastAsia="Times New Roman" w:hAnsi="Times New Roman" w:cs="Times New Roman"/>
          <w:color w:val="000000" w:themeColor="text1"/>
          <w:kern w:val="0"/>
          <w14:ligatures w14:val="none"/>
        </w:rPr>
        <w:t xml:space="preserve"> jumped to top 10% in the patients on expenditure in Y2.</w:t>
      </w:r>
    </w:p>
    <w:p w14:paraId="0D788F0D" w14:textId="6B5176BE"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hint="eastAsia"/>
          <w:color w:val="000000" w:themeColor="text1"/>
          <w:kern w:val="0"/>
          <w14:ligatures w14:val="none"/>
        </w:rPr>
        <w:t>As shown in Figure 1, these patients displayed specific leading indicators in Year 1.</w:t>
      </w:r>
      <w:r>
        <w:rPr>
          <w:rFonts w:ascii="Times New Roman" w:eastAsia="Times New Roman" w:hAnsi="Times New Roman" w:cs="Times New Roman"/>
          <w:color w:val="000000" w:themeColor="text1"/>
          <w:kern w:val="0"/>
          <w14:ligatures w14:val="none"/>
        </w:rPr>
        <w:t xml:space="preserve"> </w:t>
      </w:r>
      <w:r w:rsidRPr="005F072C">
        <w:rPr>
          <w:rFonts w:ascii="Times New Roman" w:eastAsia="Times New Roman" w:hAnsi="Times New Roman" w:cs="Times New Roman"/>
          <w:color w:val="000000" w:themeColor="text1"/>
          <w:kern w:val="0"/>
          <w14:ligatures w14:val="none"/>
        </w:rPr>
        <w:t>If the bar height for a feature exceeds 1.0 (dashed line), it indicates that the feature acts as a risk multiplier. This intuitively explains why these features should be retained.</w:t>
      </w:r>
    </w:p>
    <w:p w14:paraId="6514B046"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b/>
          <w:bCs/>
          <w:color w:val="000000" w:themeColor="text1"/>
          <w:kern w:val="0"/>
          <w14:ligatures w14:val="none"/>
        </w:rPr>
        <w:t>Inpatient Utilization:</w:t>
      </w:r>
      <w:r w:rsidRPr="005F072C">
        <w:rPr>
          <w:rFonts w:ascii="Times New Roman" w:eastAsia="Times New Roman" w:hAnsi="Times New Roman" w:cs="Times New Roman"/>
          <w:color w:val="000000" w:themeColor="text1"/>
          <w:kern w:val="0"/>
          <w14:ligatures w14:val="none"/>
        </w:rPr>
        <w:t xml:space="preserve"> The strongest predictor of future escalation was </w:t>
      </w:r>
      <w:proofErr w:type="gramStart"/>
      <w:r w:rsidRPr="005F072C">
        <w:rPr>
          <w:rFonts w:ascii="Times New Roman" w:eastAsia="Times New Roman" w:hAnsi="Times New Roman" w:cs="Times New Roman"/>
          <w:color w:val="000000" w:themeColor="text1"/>
          <w:kern w:val="0"/>
          <w14:ligatures w14:val="none"/>
        </w:rPr>
        <w:t>baseline</w:t>
      </w:r>
      <w:proofErr w:type="gramEnd"/>
      <w:r w:rsidRPr="005F072C">
        <w:rPr>
          <w:rFonts w:ascii="Times New Roman" w:eastAsia="Times New Roman" w:hAnsi="Times New Roman" w:cs="Times New Roman"/>
          <w:color w:val="000000" w:themeColor="text1"/>
          <w:kern w:val="0"/>
          <w14:ligatures w14:val="none"/>
        </w:rPr>
        <w:t xml:space="preserve"> inpatient probability. "Jumpers" had a relative risk ratio of 3.17 for inpatient discharges (UTIL_IP_Y1) compared to the stable low-cost group.</w:t>
      </w:r>
    </w:p>
    <w:p w14:paraId="7CAC6BF2" w14:textId="77777777" w:rsid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b/>
          <w:bCs/>
          <w:color w:val="000000" w:themeColor="text1"/>
          <w:kern w:val="0"/>
          <w14:ligatures w14:val="none"/>
        </w:rPr>
        <w:t>Hidden Drug Dependency:</w:t>
      </w:r>
      <w:r w:rsidRPr="005F072C">
        <w:rPr>
          <w:rFonts w:ascii="Times New Roman" w:eastAsia="Times New Roman" w:hAnsi="Times New Roman" w:cs="Times New Roman"/>
          <w:color w:val="000000" w:themeColor="text1"/>
          <w:kern w:val="0"/>
          <w14:ligatures w14:val="none"/>
        </w:rPr>
        <w:t xml:space="preserve"> Prescription utilization (UTIL_RX_Y1) showed a risk ratio of 2.94, while office-based visits had a lower ratio of 2.06. This suggests that rising medication needs often precede the physician-managed interventions, serving as an early "iceberg" indicator of declining health.</w:t>
      </w:r>
    </w:p>
    <w:p w14:paraId="65BB635D" w14:textId="7DB6267C" w:rsidR="005F072C" w:rsidRPr="005F072C" w:rsidRDefault="005F072C" w:rsidP="005F072C">
      <w:pPr>
        <w:spacing w:after="0" w:line="240" w:lineRule="auto"/>
        <w:jc w:val="cente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7E2965C9" wp14:editId="448F5C6B">
            <wp:extent cx="3111500" cy="1866900"/>
            <wp:effectExtent l="0" t="0" r="0" b="0"/>
            <wp:docPr id="560088893"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088893" name="Picture 1" descr="A graph of different colored ba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23957" cy="1874374"/>
                    </a:xfrm>
                    <a:prstGeom prst="rect">
                      <a:avLst/>
                    </a:prstGeom>
                  </pic:spPr>
                </pic:pic>
              </a:graphicData>
            </a:graphic>
          </wp:inline>
        </w:drawing>
      </w:r>
    </w:p>
    <w:p w14:paraId="60DFE33D" w14:textId="4FEF61C0" w:rsidR="005F072C" w:rsidRPr="005F072C" w:rsidRDefault="005F072C" w:rsidP="005F072C">
      <w:pPr>
        <w:spacing w:after="0" w:line="240" w:lineRule="auto"/>
        <w:jc w:val="center"/>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Figure 1: Exploratory Risk Ratios comparing 'Jumpers' to stable patients.</w:t>
      </w:r>
    </w:p>
    <w:p w14:paraId="081D900D"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712C03FC" w14:textId="77777777" w:rsidR="005F072C" w:rsidRPr="005F072C" w:rsidRDefault="005F072C" w:rsidP="005F072C">
      <w:pPr>
        <w:spacing w:after="0" w:line="240" w:lineRule="auto"/>
        <w:rPr>
          <w:rFonts w:ascii="Times New Roman" w:eastAsia="Times New Roman" w:hAnsi="Times New Roman" w:cs="Times New Roman"/>
          <w:b/>
          <w:bCs/>
          <w:color w:val="000000" w:themeColor="text1"/>
          <w:kern w:val="0"/>
          <w14:ligatures w14:val="none"/>
        </w:rPr>
      </w:pPr>
      <w:r w:rsidRPr="005F072C">
        <w:rPr>
          <w:rFonts w:ascii="Times New Roman" w:eastAsia="Times New Roman" w:hAnsi="Times New Roman" w:cs="Times New Roman"/>
          <w:b/>
          <w:bCs/>
          <w:color w:val="000000" w:themeColor="text1"/>
          <w:kern w:val="0"/>
          <w14:ligatures w14:val="none"/>
        </w:rPr>
        <w:t xml:space="preserve">3.2 Care Phenotypes as Risk </w:t>
      </w:r>
      <w:proofErr w:type="spellStart"/>
      <w:r w:rsidRPr="005F072C">
        <w:rPr>
          <w:rFonts w:ascii="Times New Roman" w:eastAsia="Times New Roman" w:hAnsi="Times New Roman" w:cs="Times New Roman"/>
          <w:b/>
          <w:bCs/>
          <w:color w:val="000000" w:themeColor="text1"/>
          <w:kern w:val="0"/>
          <w14:ligatures w14:val="none"/>
        </w:rPr>
        <w:t>Stratifiers</w:t>
      </w:r>
      <w:proofErr w:type="spellEnd"/>
    </w:p>
    <w:p w14:paraId="40A1BC67"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The K-Means clustering identified four distinct "Care Phenotypes" (Clusters 0-3), revealing that patient cost risk varies significantly by utilization style (see Table 1 and Figure 2):</w:t>
      </w:r>
    </w:p>
    <w:p w14:paraId="17C59DCD"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134387E9"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Cluster 2 ("Crisis Management"): This group exhibited a high average of 2.86 Emergency Room visits per year but relatively low office-based care. Despite moderate baseline costs, this </w:t>
      </w:r>
      <w:r w:rsidRPr="005F072C">
        <w:rPr>
          <w:rFonts w:ascii="Times New Roman" w:eastAsia="Times New Roman" w:hAnsi="Times New Roman" w:cs="Times New Roman"/>
          <w:color w:val="000000" w:themeColor="text1"/>
          <w:kern w:val="0"/>
          <w14:ligatures w14:val="none"/>
        </w:rPr>
        <w:lastRenderedPageBreak/>
        <w:t>volatility makes them highly prone to sudden, explosive cost events in Year 2 (Mean Y2 Cost: $12,595).</w:t>
      </w:r>
    </w:p>
    <w:p w14:paraId="20C19F3B"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Cluster 3 ("High Maintenance"): Characterized by the highest average age (59.2 years) and extreme utilization intensity (22.3 office visits and 56.6 prescriptions annually). While their costs are high ($21,665), they are more predictable than Cluster 2.</w:t>
      </w:r>
    </w:p>
    <w:p w14:paraId="3F066D01"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Cluster 0 ("Low Touch"): The reference group with minimal interaction across all channels.</w:t>
      </w:r>
    </w:p>
    <w:p w14:paraId="0452542F" w14:textId="0A59ED59" w:rsidR="005F072C" w:rsidRDefault="005F072C" w:rsidP="005F072C">
      <w:pPr>
        <w:spacing w:after="0" w:line="240" w:lineRule="auto"/>
        <w:jc w:val="center"/>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drawing>
          <wp:inline distT="0" distB="0" distL="0" distR="0" wp14:anchorId="36F32D4C" wp14:editId="2B3FEE17">
            <wp:extent cx="4048942" cy="831850"/>
            <wp:effectExtent l="0" t="0" r="2540" b="0"/>
            <wp:docPr id="22783346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33467" name="Picture 1" descr="A screenshot of a graph&#10;&#10;AI-generated content may be incorrect."/>
                    <pic:cNvPicPr/>
                  </pic:nvPicPr>
                  <pic:blipFill>
                    <a:blip r:embed="rId8"/>
                    <a:stretch>
                      <a:fillRect/>
                    </a:stretch>
                  </pic:blipFill>
                  <pic:spPr>
                    <a:xfrm>
                      <a:off x="0" y="0"/>
                      <a:ext cx="4106601" cy="843696"/>
                    </a:xfrm>
                    <a:prstGeom prst="rect">
                      <a:avLst/>
                    </a:prstGeom>
                  </pic:spPr>
                </pic:pic>
              </a:graphicData>
            </a:graphic>
          </wp:inline>
        </w:drawing>
      </w:r>
    </w:p>
    <w:p w14:paraId="74909FA5" w14:textId="2D85E296" w:rsidR="005F072C" w:rsidRPr="005F072C" w:rsidRDefault="005F072C" w:rsidP="005F072C">
      <w:pPr>
        <w:spacing w:after="0" w:line="240" w:lineRule="auto"/>
        <w:jc w:val="center"/>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Table 1: Care Utilization Profiles (Mean Values per Cluster).</w:t>
      </w:r>
    </w:p>
    <w:p w14:paraId="79EBCD4C" w14:textId="51F6EA4C" w:rsidR="005F072C" w:rsidRPr="005F072C" w:rsidRDefault="005F072C" w:rsidP="005F072C">
      <w:pPr>
        <w:spacing w:after="0" w:line="240" w:lineRule="auto"/>
        <w:jc w:val="center"/>
        <w:rPr>
          <w:rFonts w:ascii="Times New Roman" w:eastAsia="Times New Roman" w:hAnsi="Times New Roman" w:cs="Times New Roman"/>
          <w:color w:val="000000" w:themeColor="text1"/>
          <w:kern w:val="0"/>
          <w14:ligatures w14:val="none"/>
        </w:rPr>
      </w:pPr>
    </w:p>
    <w:p w14:paraId="050D7966" w14:textId="77777777" w:rsidR="005F072C" w:rsidRDefault="005F072C" w:rsidP="005F072C">
      <w:pPr>
        <w:spacing w:after="0" w:line="240" w:lineRule="auto"/>
        <w:jc w:val="cente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692F0FE9" wp14:editId="08807EDB">
            <wp:extent cx="2914650" cy="1821656"/>
            <wp:effectExtent l="0" t="0" r="0" b="0"/>
            <wp:docPr id="1700758116" name="Picture 2" descr="A graph showing a number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58116" name="Picture 2" descr="A graph showing a number of different colored squar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41920" cy="1838699"/>
                    </a:xfrm>
                    <a:prstGeom prst="rect">
                      <a:avLst/>
                    </a:prstGeom>
                  </pic:spPr>
                </pic:pic>
              </a:graphicData>
            </a:graphic>
          </wp:inline>
        </w:drawing>
      </w:r>
    </w:p>
    <w:p w14:paraId="529087D4" w14:textId="70F6EC48" w:rsidR="005F072C" w:rsidRPr="005F072C" w:rsidRDefault="005F072C" w:rsidP="005F072C">
      <w:pPr>
        <w:spacing w:after="0" w:line="240" w:lineRule="auto"/>
        <w:jc w:val="center"/>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Figure 2: Future Cost Risk by Care Utilization Phenotype.</w:t>
      </w:r>
    </w:p>
    <w:p w14:paraId="0DB7BDDD" w14:textId="77777777" w:rsidR="005F072C" w:rsidRPr="005F072C" w:rsidRDefault="005F072C" w:rsidP="005F072C">
      <w:pPr>
        <w:spacing w:after="0" w:line="240" w:lineRule="auto"/>
        <w:rPr>
          <w:rFonts w:ascii="Times New Roman" w:eastAsia="Times New Roman" w:hAnsi="Times New Roman" w:cs="Times New Roman"/>
          <w:b/>
          <w:bCs/>
          <w:color w:val="000000" w:themeColor="text1"/>
          <w:kern w:val="0"/>
          <w14:ligatures w14:val="none"/>
        </w:rPr>
      </w:pPr>
      <w:r w:rsidRPr="005F072C">
        <w:rPr>
          <w:rFonts w:ascii="Times New Roman" w:eastAsia="Times New Roman" w:hAnsi="Times New Roman" w:cs="Times New Roman"/>
          <w:b/>
          <w:bCs/>
          <w:color w:val="000000" w:themeColor="text1"/>
          <w:kern w:val="0"/>
          <w14:ligatures w14:val="none"/>
        </w:rPr>
        <w:t>3.3 Model Calibration and Latent Risk Power</w:t>
      </w:r>
    </w:p>
    <w:p w14:paraId="5CFB85B3"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The auxiliary model for Latent Risk demonstrated excellent calibration. Figure 3 shows that the predicted probabilities align closely with observed event rates, confirming that the PROB_LATENT_RISK score is a reliable proxy for underlying health fragility.</w:t>
      </w:r>
    </w:p>
    <w:p w14:paraId="384509A2"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In the final Adjusted Logistic Regression model, the coefficient for this PROB_LATENT_RISK feature was 3.67, indicating an exceptionally strong positive relationship with future high cost, far exceeding the magnitude of traditional demographic coefficients.</w:t>
      </w:r>
    </w:p>
    <w:p w14:paraId="4B8F4B04"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1446CA9A" w14:textId="77777777" w:rsidR="005F072C" w:rsidRDefault="005F072C" w:rsidP="005F072C">
      <w:pPr>
        <w:spacing w:after="0" w:line="240" w:lineRule="auto"/>
        <w:jc w:val="cente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0A740315" wp14:editId="6CA17132">
            <wp:extent cx="2120900" cy="2120900"/>
            <wp:effectExtent l="0" t="0" r="0" b="0"/>
            <wp:docPr id="939368435" name="Picture 3" descr="A graph with a line and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68435" name="Picture 3" descr="A graph with a line and a poin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20900" cy="2120900"/>
                    </a:xfrm>
                    <a:prstGeom prst="rect">
                      <a:avLst/>
                    </a:prstGeom>
                  </pic:spPr>
                </pic:pic>
              </a:graphicData>
            </a:graphic>
          </wp:inline>
        </w:drawing>
      </w:r>
    </w:p>
    <w:p w14:paraId="01A2D0C6" w14:textId="7AD72E70" w:rsidR="005F072C" w:rsidRPr="005F072C" w:rsidRDefault="005F072C" w:rsidP="005F072C">
      <w:pPr>
        <w:spacing w:after="0" w:line="240" w:lineRule="auto"/>
        <w:jc w:val="center"/>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Figure 3: Calibration Plot of the Latent Risk Model.</w:t>
      </w:r>
    </w:p>
    <w:p w14:paraId="49E4B36D" w14:textId="77777777" w:rsidR="005F072C" w:rsidRDefault="005F072C" w:rsidP="005F072C">
      <w:pPr>
        <w:spacing w:after="0" w:line="240" w:lineRule="auto"/>
        <w:rPr>
          <w:rFonts w:ascii="Times New Roman" w:eastAsia="Times New Roman" w:hAnsi="Times New Roman" w:cs="Times New Roman"/>
          <w:b/>
          <w:bCs/>
          <w:color w:val="000000" w:themeColor="text1"/>
          <w:kern w:val="0"/>
          <w14:ligatures w14:val="none"/>
        </w:rPr>
      </w:pPr>
    </w:p>
    <w:p w14:paraId="5E2FF7DF" w14:textId="6E518EEB" w:rsidR="005F072C" w:rsidRPr="005F072C" w:rsidRDefault="005F072C" w:rsidP="005F072C">
      <w:pPr>
        <w:spacing w:after="0" w:line="240" w:lineRule="auto"/>
        <w:rPr>
          <w:rFonts w:ascii="Times New Roman" w:eastAsia="Times New Roman" w:hAnsi="Times New Roman" w:cs="Times New Roman"/>
          <w:b/>
          <w:bCs/>
          <w:color w:val="000000" w:themeColor="text1"/>
          <w:kern w:val="0"/>
          <w14:ligatures w14:val="none"/>
        </w:rPr>
      </w:pPr>
      <w:r w:rsidRPr="005F072C">
        <w:rPr>
          <w:rFonts w:ascii="Times New Roman" w:eastAsia="Times New Roman" w:hAnsi="Times New Roman" w:cs="Times New Roman"/>
          <w:b/>
          <w:bCs/>
          <w:color w:val="000000" w:themeColor="text1"/>
          <w:kern w:val="0"/>
          <w14:ligatures w14:val="none"/>
        </w:rPr>
        <w:lastRenderedPageBreak/>
        <w:t>3.4 Methodological Comparison and Performance</w:t>
      </w:r>
    </w:p>
    <w:p w14:paraId="11F0D248" w14:textId="0B37385B" w:rsidR="005F072C" w:rsidRDefault="005F072C" w:rsidP="005F072C">
      <w:pPr>
        <w:spacing w:after="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This study</w:t>
      </w:r>
      <w:r w:rsidRPr="005F072C">
        <w:rPr>
          <w:rFonts w:ascii="Times New Roman" w:eastAsia="Times New Roman" w:hAnsi="Times New Roman" w:cs="Times New Roman"/>
          <w:color w:val="000000" w:themeColor="text1"/>
          <w:kern w:val="0"/>
          <w14:ligatures w14:val="none"/>
        </w:rPr>
        <w:t xml:space="preserve"> compared three modeling approaches: Baseline Logistic Regression (LR), Latent-Adjusted LR, and </w:t>
      </w:r>
      <w:proofErr w:type="spellStart"/>
      <w:r w:rsidRPr="005F072C">
        <w:rPr>
          <w:rFonts w:ascii="Times New Roman" w:eastAsia="Times New Roman" w:hAnsi="Times New Roman" w:cs="Times New Roman"/>
          <w:color w:val="000000" w:themeColor="text1"/>
          <w:kern w:val="0"/>
          <w14:ligatures w14:val="none"/>
        </w:rPr>
        <w:t>XGBoost</w:t>
      </w:r>
      <w:proofErr w:type="spellEnd"/>
      <w:r w:rsidRPr="005F072C">
        <w:rPr>
          <w:rFonts w:ascii="Times New Roman" w:eastAsia="Times New Roman" w:hAnsi="Times New Roman" w:cs="Times New Roman"/>
          <w:color w:val="000000" w:themeColor="text1"/>
          <w:kern w:val="0"/>
          <w14:ligatures w14:val="none"/>
        </w:rPr>
        <w:t>. The results (Table 2) highlight a critical trade-off between sensitivity and complexity.</w:t>
      </w:r>
    </w:p>
    <w:p w14:paraId="3A17CDB0"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tbl>
      <w:tblPr>
        <w:tblW w:w="6440" w:type="dxa"/>
        <w:jc w:val="center"/>
        <w:tblLook w:val="04A0" w:firstRow="1" w:lastRow="0" w:firstColumn="1" w:lastColumn="0" w:noHBand="0" w:noVBand="1"/>
      </w:tblPr>
      <w:tblGrid>
        <w:gridCol w:w="2540"/>
        <w:gridCol w:w="1300"/>
        <w:gridCol w:w="1300"/>
        <w:gridCol w:w="1300"/>
      </w:tblGrid>
      <w:tr w:rsidR="005F072C" w:rsidRPr="005F072C" w14:paraId="3EE49889" w14:textId="77777777" w:rsidTr="005F072C">
        <w:trPr>
          <w:trHeight w:val="320"/>
          <w:jc w:val="center"/>
        </w:trPr>
        <w:tc>
          <w:tcPr>
            <w:tcW w:w="2540" w:type="dxa"/>
            <w:tcBorders>
              <w:top w:val="single" w:sz="4" w:space="0" w:color="auto"/>
              <w:left w:val="single" w:sz="4" w:space="0" w:color="auto"/>
              <w:bottom w:val="single" w:sz="4" w:space="0" w:color="auto"/>
              <w:right w:val="single" w:sz="4" w:space="0" w:color="auto"/>
            </w:tcBorders>
            <w:shd w:val="clear" w:color="000000" w:fill="D0D0D0"/>
            <w:noWrap/>
            <w:vAlign w:val="bottom"/>
            <w:hideMark/>
          </w:tcPr>
          <w:p w14:paraId="125780D9" w14:textId="77777777" w:rsidR="005F072C" w:rsidRPr="005F072C" w:rsidRDefault="005F072C" w:rsidP="005F072C">
            <w:pPr>
              <w:spacing w:after="0" w:line="240" w:lineRule="auto"/>
              <w:jc w:val="center"/>
              <w:rPr>
                <w:rFonts w:ascii="Aptos Narrow" w:eastAsia="Times New Roman" w:hAnsi="Aptos Narrow" w:cs="Times New Roman"/>
                <w:b/>
                <w:bCs/>
                <w:color w:val="000000"/>
                <w:kern w:val="0"/>
                <w14:ligatures w14:val="none"/>
              </w:rPr>
            </w:pPr>
            <w:r w:rsidRPr="005F072C">
              <w:rPr>
                <w:rFonts w:ascii="Aptos Narrow" w:eastAsia="Times New Roman" w:hAnsi="Aptos Narrow" w:cs="Times New Roman"/>
                <w:b/>
                <w:bCs/>
                <w:color w:val="000000"/>
                <w:kern w:val="0"/>
                <w14:ligatures w14:val="none"/>
              </w:rPr>
              <w:t>Model</w:t>
            </w:r>
          </w:p>
        </w:tc>
        <w:tc>
          <w:tcPr>
            <w:tcW w:w="1300" w:type="dxa"/>
            <w:tcBorders>
              <w:top w:val="single" w:sz="4" w:space="0" w:color="auto"/>
              <w:left w:val="nil"/>
              <w:bottom w:val="single" w:sz="4" w:space="0" w:color="auto"/>
              <w:right w:val="single" w:sz="4" w:space="0" w:color="auto"/>
            </w:tcBorders>
            <w:shd w:val="clear" w:color="000000" w:fill="C0E6F5"/>
            <w:noWrap/>
            <w:vAlign w:val="bottom"/>
            <w:hideMark/>
          </w:tcPr>
          <w:p w14:paraId="41F6C858" w14:textId="77777777" w:rsidR="005F072C" w:rsidRPr="005F072C" w:rsidRDefault="005F072C" w:rsidP="005F072C">
            <w:pPr>
              <w:spacing w:after="0" w:line="240" w:lineRule="auto"/>
              <w:jc w:val="center"/>
              <w:rPr>
                <w:rFonts w:ascii="Aptos Narrow" w:eastAsia="Times New Roman" w:hAnsi="Aptos Narrow" w:cs="Times New Roman"/>
                <w:b/>
                <w:bCs/>
                <w:color w:val="000000"/>
                <w:kern w:val="0"/>
                <w14:ligatures w14:val="none"/>
              </w:rPr>
            </w:pPr>
            <w:r w:rsidRPr="005F072C">
              <w:rPr>
                <w:rFonts w:ascii="Aptos Narrow" w:eastAsia="Times New Roman" w:hAnsi="Aptos Narrow" w:cs="Times New Roman"/>
                <w:b/>
                <w:bCs/>
                <w:color w:val="000000"/>
                <w:kern w:val="0"/>
                <w14:ligatures w14:val="none"/>
              </w:rPr>
              <w:t>AUC_ROC</w:t>
            </w:r>
          </w:p>
        </w:tc>
        <w:tc>
          <w:tcPr>
            <w:tcW w:w="1300" w:type="dxa"/>
            <w:tcBorders>
              <w:top w:val="single" w:sz="4" w:space="0" w:color="auto"/>
              <w:left w:val="nil"/>
              <w:bottom w:val="single" w:sz="4" w:space="0" w:color="auto"/>
              <w:right w:val="single" w:sz="4" w:space="0" w:color="auto"/>
            </w:tcBorders>
            <w:shd w:val="clear" w:color="000000" w:fill="C0E6F5"/>
            <w:noWrap/>
            <w:vAlign w:val="bottom"/>
            <w:hideMark/>
          </w:tcPr>
          <w:p w14:paraId="3370A4B2" w14:textId="77777777" w:rsidR="005F072C" w:rsidRPr="005F072C" w:rsidRDefault="005F072C" w:rsidP="005F072C">
            <w:pPr>
              <w:spacing w:after="0" w:line="240" w:lineRule="auto"/>
              <w:jc w:val="center"/>
              <w:rPr>
                <w:rFonts w:ascii="Aptos Narrow" w:eastAsia="Times New Roman" w:hAnsi="Aptos Narrow" w:cs="Times New Roman"/>
                <w:b/>
                <w:bCs/>
                <w:color w:val="000000"/>
                <w:kern w:val="0"/>
                <w14:ligatures w14:val="none"/>
              </w:rPr>
            </w:pPr>
            <w:r w:rsidRPr="005F072C">
              <w:rPr>
                <w:rFonts w:ascii="Aptos Narrow" w:eastAsia="Times New Roman" w:hAnsi="Aptos Narrow" w:cs="Times New Roman"/>
                <w:b/>
                <w:bCs/>
                <w:color w:val="000000"/>
                <w:kern w:val="0"/>
                <w14:ligatures w14:val="none"/>
              </w:rPr>
              <w:t>PR_AUC</w:t>
            </w:r>
          </w:p>
        </w:tc>
        <w:tc>
          <w:tcPr>
            <w:tcW w:w="1300" w:type="dxa"/>
            <w:tcBorders>
              <w:top w:val="single" w:sz="4" w:space="0" w:color="auto"/>
              <w:left w:val="nil"/>
              <w:bottom w:val="single" w:sz="4" w:space="0" w:color="auto"/>
              <w:right w:val="single" w:sz="4" w:space="0" w:color="auto"/>
            </w:tcBorders>
            <w:shd w:val="clear" w:color="000000" w:fill="C0E6F5"/>
            <w:noWrap/>
            <w:vAlign w:val="bottom"/>
            <w:hideMark/>
          </w:tcPr>
          <w:p w14:paraId="036B1A82" w14:textId="77777777" w:rsidR="005F072C" w:rsidRPr="005F072C" w:rsidRDefault="005F072C" w:rsidP="005F072C">
            <w:pPr>
              <w:spacing w:after="0" w:line="240" w:lineRule="auto"/>
              <w:jc w:val="center"/>
              <w:rPr>
                <w:rFonts w:ascii="Aptos Narrow" w:eastAsia="Times New Roman" w:hAnsi="Aptos Narrow" w:cs="Times New Roman"/>
                <w:b/>
                <w:bCs/>
                <w:color w:val="000000"/>
                <w:kern w:val="0"/>
                <w14:ligatures w14:val="none"/>
              </w:rPr>
            </w:pPr>
            <w:r w:rsidRPr="005F072C">
              <w:rPr>
                <w:rFonts w:ascii="Aptos Narrow" w:eastAsia="Times New Roman" w:hAnsi="Aptos Narrow" w:cs="Times New Roman"/>
                <w:b/>
                <w:bCs/>
                <w:color w:val="000000"/>
                <w:kern w:val="0"/>
                <w14:ligatures w14:val="none"/>
              </w:rPr>
              <w:t>Recall</w:t>
            </w:r>
          </w:p>
        </w:tc>
      </w:tr>
      <w:tr w:rsidR="005F072C" w:rsidRPr="005F072C" w14:paraId="17D94EB7" w14:textId="77777777" w:rsidTr="005F072C">
        <w:trPr>
          <w:trHeight w:val="320"/>
          <w:jc w:val="center"/>
        </w:trPr>
        <w:tc>
          <w:tcPr>
            <w:tcW w:w="2540" w:type="dxa"/>
            <w:tcBorders>
              <w:top w:val="nil"/>
              <w:left w:val="single" w:sz="4" w:space="0" w:color="auto"/>
              <w:bottom w:val="single" w:sz="4" w:space="0" w:color="auto"/>
              <w:right w:val="single" w:sz="4" w:space="0" w:color="auto"/>
            </w:tcBorders>
            <w:shd w:val="clear" w:color="000000" w:fill="D0D0D0"/>
            <w:noWrap/>
            <w:vAlign w:val="bottom"/>
            <w:hideMark/>
          </w:tcPr>
          <w:p w14:paraId="62BC9928" w14:textId="77777777" w:rsidR="005F072C" w:rsidRPr="005F072C" w:rsidRDefault="005F072C" w:rsidP="005F072C">
            <w:pPr>
              <w:spacing w:after="0" w:line="240" w:lineRule="auto"/>
              <w:jc w:val="center"/>
              <w:rPr>
                <w:rFonts w:ascii="Aptos Narrow" w:eastAsia="Times New Roman" w:hAnsi="Aptos Narrow" w:cs="Times New Roman"/>
                <w:b/>
                <w:bCs/>
                <w:color w:val="000000"/>
                <w:kern w:val="0"/>
                <w14:ligatures w14:val="none"/>
              </w:rPr>
            </w:pPr>
            <w:r w:rsidRPr="005F072C">
              <w:rPr>
                <w:rFonts w:ascii="Aptos Narrow" w:eastAsia="Times New Roman" w:hAnsi="Aptos Narrow" w:cs="Times New Roman"/>
                <w:b/>
                <w:bCs/>
                <w:color w:val="000000"/>
                <w:kern w:val="0"/>
                <w14:ligatures w14:val="none"/>
              </w:rPr>
              <w:t>Baseline LR</w:t>
            </w:r>
          </w:p>
        </w:tc>
        <w:tc>
          <w:tcPr>
            <w:tcW w:w="1300" w:type="dxa"/>
            <w:tcBorders>
              <w:top w:val="nil"/>
              <w:left w:val="nil"/>
              <w:bottom w:val="single" w:sz="4" w:space="0" w:color="auto"/>
              <w:right w:val="single" w:sz="4" w:space="0" w:color="auto"/>
            </w:tcBorders>
            <w:noWrap/>
            <w:vAlign w:val="bottom"/>
            <w:hideMark/>
          </w:tcPr>
          <w:p w14:paraId="784C881E" w14:textId="77777777" w:rsidR="005F072C" w:rsidRPr="005F072C" w:rsidRDefault="005F072C" w:rsidP="005F072C">
            <w:pPr>
              <w:spacing w:after="0" w:line="240" w:lineRule="auto"/>
              <w:jc w:val="center"/>
              <w:rPr>
                <w:rFonts w:ascii="Aptos Narrow" w:eastAsia="Times New Roman" w:hAnsi="Aptos Narrow" w:cs="Times New Roman"/>
                <w:color w:val="000000"/>
                <w:kern w:val="0"/>
                <w14:ligatures w14:val="none"/>
              </w:rPr>
            </w:pPr>
            <w:r w:rsidRPr="005F072C">
              <w:rPr>
                <w:rFonts w:ascii="Aptos Narrow" w:eastAsia="Times New Roman" w:hAnsi="Aptos Narrow" w:cs="Times New Roman"/>
                <w:color w:val="000000"/>
                <w:kern w:val="0"/>
                <w14:ligatures w14:val="none"/>
              </w:rPr>
              <w:t>0.8477</w:t>
            </w:r>
          </w:p>
        </w:tc>
        <w:tc>
          <w:tcPr>
            <w:tcW w:w="1300" w:type="dxa"/>
            <w:tcBorders>
              <w:top w:val="nil"/>
              <w:left w:val="nil"/>
              <w:bottom w:val="single" w:sz="4" w:space="0" w:color="auto"/>
              <w:right w:val="single" w:sz="4" w:space="0" w:color="auto"/>
            </w:tcBorders>
            <w:noWrap/>
            <w:vAlign w:val="bottom"/>
            <w:hideMark/>
          </w:tcPr>
          <w:p w14:paraId="2B0ED904" w14:textId="77777777" w:rsidR="005F072C" w:rsidRPr="005F072C" w:rsidRDefault="005F072C" w:rsidP="005F072C">
            <w:pPr>
              <w:spacing w:after="0" w:line="240" w:lineRule="auto"/>
              <w:jc w:val="center"/>
              <w:rPr>
                <w:rFonts w:ascii="Aptos Narrow" w:eastAsia="Times New Roman" w:hAnsi="Aptos Narrow" w:cs="Times New Roman"/>
                <w:color w:val="000000"/>
                <w:kern w:val="0"/>
                <w14:ligatures w14:val="none"/>
              </w:rPr>
            </w:pPr>
            <w:r w:rsidRPr="005F072C">
              <w:rPr>
                <w:rFonts w:ascii="Aptos Narrow" w:eastAsia="Times New Roman" w:hAnsi="Aptos Narrow" w:cs="Times New Roman"/>
                <w:color w:val="000000"/>
                <w:kern w:val="0"/>
                <w14:ligatures w14:val="none"/>
              </w:rPr>
              <w:t>0.5001</w:t>
            </w:r>
          </w:p>
        </w:tc>
        <w:tc>
          <w:tcPr>
            <w:tcW w:w="1300" w:type="dxa"/>
            <w:tcBorders>
              <w:top w:val="nil"/>
              <w:left w:val="nil"/>
              <w:bottom w:val="single" w:sz="4" w:space="0" w:color="auto"/>
              <w:right w:val="single" w:sz="4" w:space="0" w:color="auto"/>
            </w:tcBorders>
            <w:noWrap/>
            <w:vAlign w:val="bottom"/>
            <w:hideMark/>
          </w:tcPr>
          <w:p w14:paraId="73A83A81" w14:textId="77777777" w:rsidR="005F072C" w:rsidRPr="005F072C" w:rsidRDefault="005F072C" w:rsidP="005F072C">
            <w:pPr>
              <w:spacing w:after="0" w:line="240" w:lineRule="auto"/>
              <w:jc w:val="center"/>
              <w:rPr>
                <w:rFonts w:ascii="Aptos Narrow" w:eastAsia="Times New Roman" w:hAnsi="Aptos Narrow" w:cs="Times New Roman"/>
                <w:color w:val="000000"/>
                <w:kern w:val="0"/>
                <w14:ligatures w14:val="none"/>
              </w:rPr>
            </w:pPr>
            <w:r w:rsidRPr="005F072C">
              <w:rPr>
                <w:rFonts w:ascii="Aptos Narrow" w:eastAsia="Times New Roman" w:hAnsi="Aptos Narrow" w:cs="Times New Roman"/>
                <w:color w:val="000000"/>
                <w:kern w:val="0"/>
                <w14:ligatures w14:val="none"/>
              </w:rPr>
              <w:t>0.7158</w:t>
            </w:r>
          </w:p>
        </w:tc>
      </w:tr>
      <w:tr w:rsidR="005F072C" w:rsidRPr="005F072C" w14:paraId="0E0BEB27" w14:textId="77777777" w:rsidTr="005F072C">
        <w:trPr>
          <w:trHeight w:val="320"/>
          <w:jc w:val="center"/>
        </w:trPr>
        <w:tc>
          <w:tcPr>
            <w:tcW w:w="2540" w:type="dxa"/>
            <w:tcBorders>
              <w:top w:val="nil"/>
              <w:left w:val="single" w:sz="4" w:space="0" w:color="auto"/>
              <w:bottom w:val="single" w:sz="4" w:space="0" w:color="auto"/>
              <w:right w:val="single" w:sz="4" w:space="0" w:color="auto"/>
            </w:tcBorders>
            <w:shd w:val="clear" w:color="000000" w:fill="D0D0D0"/>
            <w:noWrap/>
            <w:vAlign w:val="bottom"/>
            <w:hideMark/>
          </w:tcPr>
          <w:p w14:paraId="06AD92E2" w14:textId="77777777" w:rsidR="005F072C" w:rsidRPr="005F072C" w:rsidRDefault="005F072C" w:rsidP="005F072C">
            <w:pPr>
              <w:spacing w:after="0" w:line="240" w:lineRule="auto"/>
              <w:jc w:val="center"/>
              <w:rPr>
                <w:rFonts w:ascii="Aptos Narrow" w:eastAsia="Times New Roman" w:hAnsi="Aptos Narrow" w:cs="Times New Roman"/>
                <w:b/>
                <w:bCs/>
                <w:color w:val="000000"/>
                <w:kern w:val="0"/>
                <w14:ligatures w14:val="none"/>
              </w:rPr>
            </w:pPr>
            <w:r w:rsidRPr="005F072C">
              <w:rPr>
                <w:rFonts w:ascii="Aptos Narrow" w:eastAsia="Times New Roman" w:hAnsi="Aptos Narrow" w:cs="Times New Roman"/>
                <w:b/>
                <w:bCs/>
                <w:color w:val="000000"/>
                <w:kern w:val="0"/>
                <w14:ligatures w14:val="none"/>
              </w:rPr>
              <w:t>Latent-Adjusted LR</w:t>
            </w:r>
          </w:p>
        </w:tc>
        <w:tc>
          <w:tcPr>
            <w:tcW w:w="1300" w:type="dxa"/>
            <w:tcBorders>
              <w:top w:val="nil"/>
              <w:left w:val="nil"/>
              <w:bottom w:val="single" w:sz="4" w:space="0" w:color="auto"/>
              <w:right w:val="single" w:sz="4" w:space="0" w:color="auto"/>
            </w:tcBorders>
            <w:noWrap/>
            <w:vAlign w:val="bottom"/>
            <w:hideMark/>
          </w:tcPr>
          <w:p w14:paraId="4BE897C1" w14:textId="77777777" w:rsidR="005F072C" w:rsidRPr="005F072C" w:rsidRDefault="005F072C" w:rsidP="005F072C">
            <w:pPr>
              <w:spacing w:after="0" w:line="240" w:lineRule="auto"/>
              <w:jc w:val="center"/>
              <w:rPr>
                <w:rFonts w:ascii="Aptos Narrow" w:eastAsia="Times New Roman" w:hAnsi="Aptos Narrow" w:cs="Times New Roman"/>
                <w:color w:val="000000"/>
                <w:kern w:val="0"/>
                <w14:ligatures w14:val="none"/>
              </w:rPr>
            </w:pPr>
            <w:r w:rsidRPr="005F072C">
              <w:rPr>
                <w:rFonts w:ascii="Aptos Narrow" w:eastAsia="Times New Roman" w:hAnsi="Aptos Narrow" w:cs="Times New Roman"/>
                <w:color w:val="000000"/>
                <w:kern w:val="0"/>
                <w14:ligatures w14:val="none"/>
              </w:rPr>
              <w:t>0.8476</w:t>
            </w:r>
          </w:p>
        </w:tc>
        <w:tc>
          <w:tcPr>
            <w:tcW w:w="1300" w:type="dxa"/>
            <w:tcBorders>
              <w:top w:val="nil"/>
              <w:left w:val="nil"/>
              <w:bottom w:val="single" w:sz="4" w:space="0" w:color="auto"/>
              <w:right w:val="single" w:sz="4" w:space="0" w:color="auto"/>
            </w:tcBorders>
            <w:noWrap/>
            <w:vAlign w:val="bottom"/>
            <w:hideMark/>
          </w:tcPr>
          <w:p w14:paraId="3512B509" w14:textId="77777777" w:rsidR="005F072C" w:rsidRPr="005F072C" w:rsidRDefault="005F072C" w:rsidP="005F072C">
            <w:pPr>
              <w:spacing w:after="0" w:line="240" w:lineRule="auto"/>
              <w:jc w:val="center"/>
              <w:rPr>
                <w:rFonts w:ascii="Aptos Narrow" w:eastAsia="Times New Roman" w:hAnsi="Aptos Narrow" w:cs="Times New Roman"/>
                <w:color w:val="000000"/>
                <w:kern w:val="0"/>
                <w14:ligatures w14:val="none"/>
              </w:rPr>
            </w:pPr>
            <w:r w:rsidRPr="005F072C">
              <w:rPr>
                <w:rFonts w:ascii="Aptos Narrow" w:eastAsia="Times New Roman" w:hAnsi="Aptos Narrow" w:cs="Times New Roman"/>
                <w:color w:val="000000"/>
                <w:kern w:val="0"/>
                <w14:ligatures w14:val="none"/>
              </w:rPr>
              <w:t>0.4993</w:t>
            </w:r>
          </w:p>
        </w:tc>
        <w:tc>
          <w:tcPr>
            <w:tcW w:w="1300" w:type="dxa"/>
            <w:tcBorders>
              <w:top w:val="nil"/>
              <w:left w:val="nil"/>
              <w:bottom w:val="single" w:sz="4" w:space="0" w:color="auto"/>
              <w:right w:val="single" w:sz="4" w:space="0" w:color="auto"/>
            </w:tcBorders>
            <w:noWrap/>
            <w:vAlign w:val="bottom"/>
            <w:hideMark/>
          </w:tcPr>
          <w:p w14:paraId="29B7DFA8" w14:textId="77777777" w:rsidR="005F072C" w:rsidRPr="005F072C" w:rsidRDefault="005F072C" w:rsidP="005F072C">
            <w:pPr>
              <w:spacing w:after="0" w:line="240" w:lineRule="auto"/>
              <w:jc w:val="center"/>
              <w:rPr>
                <w:rFonts w:ascii="Aptos Narrow" w:eastAsia="Times New Roman" w:hAnsi="Aptos Narrow" w:cs="Times New Roman"/>
                <w:color w:val="000000"/>
                <w:kern w:val="0"/>
                <w14:ligatures w14:val="none"/>
              </w:rPr>
            </w:pPr>
            <w:r w:rsidRPr="005F072C">
              <w:rPr>
                <w:rFonts w:ascii="Aptos Narrow" w:eastAsia="Times New Roman" w:hAnsi="Aptos Narrow" w:cs="Times New Roman"/>
                <w:color w:val="000000"/>
                <w:kern w:val="0"/>
                <w14:ligatures w14:val="none"/>
              </w:rPr>
              <w:t>0.7229</w:t>
            </w:r>
          </w:p>
        </w:tc>
      </w:tr>
      <w:tr w:rsidR="005F072C" w:rsidRPr="005F072C" w14:paraId="04D21EB5" w14:textId="77777777" w:rsidTr="005F072C">
        <w:trPr>
          <w:trHeight w:val="320"/>
          <w:jc w:val="center"/>
        </w:trPr>
        <w:tc>
          <w:tcPr>
            <w:tcW w:w="2540" w:type="dxa"/>
            <w:tcBorders>
              <w:top w:val="nil"/>
              <w:left w:val="single" w:sz="4" w:space="0" w:color="auto"/>
              <w:bottom w:val="single" w:sz="4" w:space="0" w:color="auto"/>
              <w:right w:val="single" w:sz="4" w:space="0" w:color="auto"/>
            </w:tcBorders>
            <w:shd w:val="clear" w:color="000000" w:fill="D0D0D0"/>
            <w:noWrap/>
            <w:vAlign w:val="bottom"/>
            <w:hideMark/>
          </w:tcPr>
          <w:p w14:paraId="7A48F6B4" w14:textId="77777777" w:rsidR="005F072C" w:rsidRPr="005F072C" w:rsidRDefault="005F072C" w:rsidP="005F072C">
            <w:pPr>
              <w:spacing w:after="0" w:line="240" w:lineRule="auto"/>
              <w:jc w:val="center"/>
              <w:rPr>
                <w:rFonts w:ascii="Aptos Narrow" w:eastAsia="Times New Roman" w:hAnsi="Aptos Narrow" w:cs="Times New Roman"/>
                <w:b/>
                <w:bCs/>
                <w:color w:val="000000"/>
                <w:kern w:val="0"/>
                <w14:ligatures w14:val="none"/>
              </w:rPr>
            </w:pPr>
            <w:proofErr w:type="spellStart"/>
            <w:r w:rsidRPr="005F072C">
              <w:rPr>
                <w:rFonts w:ascii="Aptos Narrow" w:eastAsia="Times New Roman" w:hAnsi="Aptos Narrow" w:cs="Times New Roman"/>
                <w:b/>
                <w:bCs/>
                <w:color w:val="000000"/>
                <w:kern w:val="0"/>
                <w14:ligatures w14:val="none"/>
              </w:rPr>
              <w:t>XGBoost</w:t>
            </w:r>
            <w:proofErr w:type="spellEnd"/>
            <w:r w:rsidRPr="005F072C">
              <w:rPr>
                <w:rFonts w:ascii="Aptos Narrow" w:eastAsia="Times New Roman" w:hAnsi="Aptos Narrow" w:cs="Times New Roman"/>
                <w:b/>
                <w:bCs/>
                <w:color w:val="000000"/>
                <w:kern w:val="0"/>
                <w14:ligatures w14:val="none"/>
              </w:rPr>
              <w:t xml:space="preserve"> (Original Feats)</w:t>
            </w:r>
          </w:p>
        </w:tc>
        <w:tc>
          <w:tcPr>
            <w:tcW w:w="1300" w:type="dxa"/>
            <w:tcBorders>
              <w:top w:val="nil"/>
              <w:left w:val="nil"/>
              <w:bottom w:val="single" w:sz="4" w:space="0" w:color="auto"/>
              <w:right w:val="single" w:sz="4" w:space="0" w:color="auto"/>
            </w:tcBorders>
            <w:noWrap/>
            <w:vAlign w:val="bottom"/>
            <w:hideMark/>
          </w:tcPr>
          <w:p w14:paraId="5C2D58CA" w14:textId="77777777" w:rsidR="005F072C" w:rsidRPr="005F072C" w:rsidRDefault="005F072C" w:rsidP="005F072C">
            <w:pPr>
              <w:spacing w:after="0" w:line="240" w:lineRule="auto"/>
              <w:jc w:val="center"/>
              <w:rPr>
                <w:rFonts w:ascii="Aptos Narrow" w:eastAsia="Times New Roman" w:hAnsi="Aptos Narrow" w:cs="Times New Roman"/>
                <w:color w:val="000000"/>
                <w:kern w:val="0"/>
                <w14:ligatures w14:val="none"/>
              </w:rPr>
            </w:pPr>
            <w:r w:rsidRPr="005F072C">
              <w:rPr>
                <w:rFonts w:ascii="Aptos Narrow" w:eastAsia="Times New Roman" w:hAnsi="Aptos Narrow" w:cs="Times New Roman"/>
                <w:color w:val="000000"/>
                <w:kern w:val="0"/>
                <w14:ligatures w14:val="none"/>
              </w:rPr>
              <w:t>0.8396</w:t>
            </w:r>
          </w:p>
        </w:tc>
        <w:tc>
          <w:tcPr>
            <w:tcW w:w="1300" w:type="dxa"/>
            <w:tcBorders>
              <w:top w:val="nil"/>
              <w:left w:val="nil"/>
              <w:bottom w:val="single" w:sz="4" w:space="0" w:color="auto"/>
              <w:right w:val="single" w:sz="4" w:space="0" w:color="auto"/>
            </w:tcBorders>
            <w:noWrap/>
            <w:vAlign w:val="bottom"/>
            <w:hideMark/>
          </w:tcPr>
          <w:p w14:paraId="52B431E5" w14:textId="77777777" w:rsidR="005F072C" w:rsidRPr="005F072C" w:rsidRDefault="005F072C" w:rsidP="005F072C">
            <w:pPr>
              <w:spacing w:after="0" w:line="240" w:lineRule="auto"/>
              <w:jc w:val="center"/>
              <w:rPr>
                <w:rFonts w:ascii="Aptos Narrow" w:eastAsia="Times New Roman" w:hAnsi="Aptos Narrow" w:cs="Times New Roman"/>
                <w:color w:val="000000"/>
                <w:kern w:val="0"/>
                <w14:ligatures w14:val="none"/>
              </w:rPr>
            </w:pPr>
            <w:r w:rsidRPr="005F072C">
              <w:rPr>
                <w:rFonts w:ascii="Aptos Narrow" w:eastAsia="Times New Roman" w:hAnsi="Aptos Narrow" w:cs="Times New Roman"/>
                <w:color w:val="000000"/>
                <w:kern w:val="0"/>
                <w14:ligatures w14:val="none"/>
              </w:rPr>
              <w:t>0.5098</w:t>
            </w:r>
          </w:p>
        </w:tc>
        <w:tc>
          <w:tcPr>
            <w:tcW w:w="1300" w:type="dxa"/>
            <w:tcBorders>
              <w:top w:val="nil"/>
              <w:left w:val="nil"/>
              <w:bottom w:val="single" w:sz="4" w:space="0" w:color="auto"/>
              <w:right w:val="single" w:sz="4" w:space="0" w:color="auto"/>
            </w:tcBorders>
            <w:noWrap/>
            <w:vAlign w:val="bottom"/>
            <w:hideMark/>
          </w:tcPr>
          <w:p w14:paraId="65EB0956" w14:textId="77777777" w:rsidR="005F072C" w:rsidRPr="005F072C" w:rsidRDefault="005F072C" w:rsidP="005F072C">
            <w:pPr>
              <w:spacing w:after="0" w:line="240" w:lineRule="auto"/>
              <w:jc w:val="center"/>
              <w:rPr>
                <w:rFonts w:ascii="Aptos Narrow" w:eastAsia="Times New Roman" w:hAnsi="Aptos Narrow" w:cs="Times New Roman"/>
                <w:color w:val="000000"/>
                <w:kern w:val="0"/>
                <w14:ligatures w14:val="none"/>
              </w:rPr>
            </w:pPr>
            <w:r w:rsidRPr="005F072C">
              <w:rPr>
                <w:rFonts w:ascii="Aptos Narrow" w:eastAsia="Times New Roman" w:hAnsi="Aptos Narrow" w:cs="Times New Roman"/>
                <w:color w:val="000000"/>
                <w:kern w:val="0"/>
                <w14:ligatures w14:val="none"/>
              </w:rPr>
              <w:t>0.3078</w:t>
            </w:r>
          </w:p>
        </w:tc>
      </w:tr>
    </w:tbl>
    <w:p w14:paraId="00E416A5"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49455BD5" w14:textId="77777777" w:rsidR="005F072C" w:rsidRPr="005F072C" w:rsidRDefault="005F072C" w:rsidP="005F072C">
      <w:pPr>
        <w:spacing w:after="0" w:line="240" w:lineRule="auto"/>
        <w:jc w:val="center"/>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Table 2: Model Performance Comparison.</w:t>
      </w:r>
    </w:p>
    <w:p w14:paraId="04E0D473"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42BD0D06" w14:textId="640486C5"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Sensitivity Analysis: While all models achieved similar AUC scores (0.84), the linear models (Baseline and Adjusted LR) massively outperformed </w:t>
      </w:r>
      <w:proofErr w:type="spellStart"/>
      <w:r w:rsidRPr="005F072C">
        <w:rPr>
          <w:rFonts w:ascii="Times New Roman" w:eastAsia="Times New Roman" w:hAnsi="Times New Roman" w:cs="Times New Roman"/>
          <w:color w:val="000000" w:themeColor="text1"/>
          <w:kern w:val="0"/>
          <w14:ligatures w14:val="none"/>
        </w:rPr>
        <w:t>XGBoost</w:t>
      </w:r>
      <w:proofErr w:type="spellEnd"/>
      <w:r w:rsidRPr="005F072C">
        <w:rPr>
          <w:rFonts w:ascii="Times New Roman" w:eastAsia="Times New Roman" w:hAnsi="Times New Roman" w:cs="Times New Roman"/>
          <w:color w:val="000000" w:themeColor="text1"/>
          <w:kern w:val="0"/>
          <w14:ligatures w14:val="none"/>
        </w:rPr>
        <w:t xml:space="preserve"> in Recall (0.72 vs 0.31). </w:t>
      </w:r>
      <w:proofErr w:type="spellStart"/>
      <w:r w:rsidRPr="005F072C">
        <w:rPr>
          <w:rFonts w:ascii="Times New Roman" w:eastAsia="Times New Roman" w:hAnsi="Times New Roman" w:cs="Times New Roman"/>
          <w:color w:val="000000" w:themeColor="text1"/>
          <w:kern w:val="0"/>
          <w14:ligatures w14:val="none"/>
        </w:rPr>
        <w:t>XGBoost</w:t>
      </w:r>
      <w:proofErr w:type="spellEnd"/>
      <w:r w:rsidRPr="005F072C">
        <w:rPr>
          <w:rFonts w:ascii="Times New Roman" w:eastAsia="Times New Roman" w:hAnsi="Times New Roman" w:cs="Times New Roman"/>
          <w:color w:val="000000" w:themeColor="text1"/>
          <w:kern w:val="0"/>
          <w14:ligatures w14:val="none"/>
        </w:rPr>
        <w:t xml:space="preserve"> failed to identify nearly 70% of the actual high-cost patients, likely due to class imbalance issues that the weighted linear models handled more effectively.</w:t>
      </w:r>
    </w:p>
    <w:p w14:paraId="69A97EDD" w14:textId="77777777" w:rsid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Impact of Adjustment: The Latent-Adjusted LR maintained the high sensitivity of the baseline model while integrating the powerful, clinically explainable Latent Risk Score. As shown in Figure 4, the Adjusted model matches the performance of complex tree-based methods without sacrificing interpretability.</w:t>
      </w:r>
    </w:p>
    <w:p w14:paraId="56B62F49" w14:textId="204551EF" w:rsidR="005F072C" w:rsidRPr="005F072C" w:rsidRDefault="005F072C" w:rsidP="005F072C">
      <w:pPr>
        <w:spacing w:after="0" w:line="240" w:lineRule="auto"/>
        <w:jc w:val="center"/>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1E6503CF" wp14:editId="3E3AB0E7">
            <wp:extent cx="3581400" cy="2148840"/>
            <wp:effectExtent l="0" t="0" r="0" b="0"/>
            <wp:docPr id="1727272689" name="Picture 4"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72689" name="Picture 4" descr="A graph with a lin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81400" cy="2148840"/>
                    </a:xfrm>
                    <a:prstGeom prst="rect">
                      <a:avLst/>
                    </a:prstGeom>
                  </pic:spPr>
                </pic:pic>
              </a:graphicData>
            </a:graphic>
          </wp:inline>
        </w:drawing>
      </w:r>
    </w:p>
    <w:p w14:paraId="2674C7DE" w14:textId="1818DBBC" w:rsidR="005F072C" w:rsidRPr="005F072C" w:rsidRDefault="005F072C" w:rsidP="005F072C">
      <w:pPr>
        <w:spacing w:after="0" w:line="240" w:lineRule="auto"/>
        <w:jc w:val="center"/>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Figure 4: Final Model Comparison: Adjusted Logistic Regression vs. </w:t>
      </w:r>
      <w:proofErr w:type="spellStart"/>
      <w:r w:rsidRPr="005F072C">
        <w:rPr>
          <w:rFonts w:ascii="Times New Roman" w:eastAsia="Times New Roman" w:hAnsi="Times New Roman" w:cs="Times New Roman"/>
          <w:color w:val="000000" w:themeColor="text1"/>
          <w:kern w:val="0"/>
          <w14:ligatures w14:val="none"/>
        </w:rPr>
        <w:t>XGBoost</w:t>
      </w:r>
      <w:proofErr w:type="spellEnd"/>
      <w:r w:rsidRPr="005F072C">
        <w:rPr>
          <w:rFonts w:ascii="Times New Roman" w:eastAsia="Times New Roman" w:hAnsi="Times New Roman" w:cs="Times New Roman"/>
          <w:color w:val="000000" w:themeColor="text1"/>
          <w:kern w:val="0"/>
          <w14:ligatures w14:val="none"/>
        </w:rPr>
        <w:t>.</w:t>
      </w:r>
    </w:p>
    <w:p w14:paraId="6924527B" w14:textId="1480ADB1" w:rsidR="005F072C" w:rsidRDefault="005F072C" w:rsidP="005F072C">
      <w:pPr>
        <w:spacing w:after="0"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noProof/>
          <w:color w:val="000000" w:themeColor="text1"/>
          <w:kern w:val="0"/>
        </w:rPr>
        <w:drawing>
          <wp:inline distT="0" distB="0" distL="0" distR="0" wp14:anchorId="299949EF" wp14:editId="425545BC">
            <wp:extent cx="1811867" cy="1358900"/>
            <wp:effectExtent l="0" t="0" r="4445" b="0"/>
            <wp:docPr id="1722657428" name="Picture 5"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657428" name="Picture 5" descr="A blue squares with white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1824308" cy="1368231"/>
                    </a:xfrm>
                    <a:prstGeom prst="rect">
                      <a:avLst/>
                    </a:prstGeom>
                  </pic:spPr>
                </pic:pic>
              </a:graphicData>
            </a:graphic>
          </wp:inline>
        </w:drawing>
      </w:r>
      <w:r>
        <w:rPr>
          <w:rFonts w:ascii="Times New Roman" w:eastAsia="Times New Roman" w:hAnsi="Times New Roman" w:cs="Times New Roman"/>
          <w:noProof/>
          <w:color w:val="000000" w:themeColor="text1"/>
          <w:kern w:val="0"/>
        </w:rPr>
        <w:drawing>
          <wp:inline distT="0" distB="0" distL="0" distR="0" wp14:anchorId="1073DC1E" wp14:editId="2CF0D8B6">
            <wp:extent cx="1803400" cy="1352550"/>
            <wp:effectExtent l="0" t="0" r="0" b="6350"/>
            <wp:docPr id="295265414" name="Picture 6" descr="A blue squares with numbers and a blu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65414" name="Picture 6" descr="A blue squares with numbers and a blue squar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1838213" cy="1378660"/>
                    </a:xfrm>
                    <a:prstGeom prst="rect">
                      <a:avLst/>
                    </a:prstGeom>
                  </pic:spPr>
                </pic:pic>
              </a:graphicData>
            </a:graphic>
          </wp:inline>
        </w:drawing>
      </w:r>
      <w:r>
        <w:rPr>
          <w:rFonts w:ascii="Times New Roman" w:eastAsia="Times New Roman" w:hAnsi="Times New Roman" w:cs="Times New Roman"/>
          <w:noProof/>
          <w:color w:val="000000" w:themeColor="text1"/>
          <w:kern w:val="0"/>
        </w:rPr>
        <w:drawing>
          <wp:inline distT="0" distB="0" distL="0" distR="0" wp14:anchorId="27940E6F" wp14:editId="47FFFFED">
            <wp:extent cx="1816100" cy="1362075"/>
            <wp:effectExtent l="0" t="0" r="0" b="0"/>
            <wp:docPr id="1897761742" name="Picture 7" descr="A blue and white box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61742" name="Picture 7" descr="A blue and white box with number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1847523" cy="1385642"/>
                    </a:xfrm>
                    <a:prstGeom prst="rect">
                      <a:avLst/>
                    </a:prstGeom>
                  </pic:spPr>
                </pic:pic>
              </a:graphicData>
            </a:graphic>
          </wp:inline>
        </w:drawing>
      </w:r>
    </w:p>
    <w:p w14:paraId="71151164" w14:textId="19449582" w:rsidR="005F072C" w:rsidRDefault="005F072C" w:rsidP="005F072C">
      <w:pPr>
        <w:spacing w:after="0" w:line="240" w:lineRule="auto"/>
        <w:jc w:val="center"/>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Figure </w:t>
      </w:r>
      <w:r>
        <w:rPr>
          <w:rFonts w:ascii="Times New Roman" w:eastAsia="Times New Roman" w:hAnsi="Times New Roman" w:cs="Times New Roman"/>
          <w:color w:val="000000" w:themeColor="text1"/>
          <w:kern w:val="0"/>
          <w14:ligatures w14:val="none"/>
        </w:rPr>
        <w:t>5</w:t>
      </w:r>
      <w:r w:rsidRPr="005F072C">
        <w:rPr>
          <w:rFonts w:ascii="Times New Roman" w:eastAsia="Times New Roman" w:hAnsi="Times New Roman" w:cs="Times New Roman"/>
          <w:color w:val="000000" w:themeColor="text1"/>
          <w:kern w:val="0"/>
          <w14:ligatures w14:val="none"/>
        </w:rPr>
        <w:t xml:space="preserve">: </w:t>
      </w:r>
      <w:r>
        <w:rPr>
          <w:rFonts w:ascii="Times New Roman" w:eastAsia="Times New Roman" w:hAnsi="Times New Roman" w:cs="Times New Roman" w:hint="eastAsia"/>
          <w:color w:val="000000" w:themeColor="text1"/>
          <w:kern w:val="0"/>
          <w14:ligatures w14:val="none"/>
        </w:rPr>
        <w:t>Confusion</w:t>
      </w:r>
      <w:r>
        <w:rPr>
          <w:rFonts w:ascii="Times New Roman" w:eastAsia="Times New Roman" w:hAnsi="Times New Roman" w:cs="Times New Roman"/>
          <w:color w:val="000000" w:themeColor="text1"/>
          <w:kern w:val="0"/>
          <w14:ligatures w14:val="none"/>
        </w:rPr>
        <w:t xml:space="preserve"> Matrix </w:t>
      </w:r>
      <w:r w:rsidRPr="005F072C">
        <w:rPr>
          <w:rFonts w:ascii="Times New Roman" w:eastAsia="Times New Roman" w:hAnsi="Times New Roman" w:cs="Times New Roman"/>
          <w:color w:val="000000" w:themeColor="text1"/>
          <w:kern w:val="0"/>
          <w14:ligatures w14:val="none"/>
        </w:rPr>
        <w:t xml:space="preserve">Comparison: Adjusted Logistic Regression vs. </w:t>
      </w:r>
      <w:proofErr w:type="spellStart"/>
      <w:r w:rsidRPr="005F072C">
        <w:rPr>
          <w:rFonts w:ascii="Times New Roman" w:eastAsia="Times New Roman" w:hAnsi="Times New Roman" w:cs="Times New Roman"/>
          <w:color w:val="000000" w:themeColor="text1"/>
          <w:kern w:val="0"/>
          <w14:ligatures w14:val="none"/>
        </w:rPr>
        <w:t>XGBoost</w:t>
      </w:r>
      <w:proofErr w:type="spellEnd"/>
      <w:r w:rsidRPr="005F072C">
        <w:rPr>
          <w:rFonts w:ascii="Times New Roman" w:eastAsia="Times New Roman" w:hAnsi="Times New Roman" w:cs="Times New Roman"/>
          <w:color w:val="000000" w:themeColor="text1"/>
          <w:kern w:val="0"/>
          <w14:ligatures w14:val="none"/>
        </w:rPr>
        <w:t>.</w:t>
      </w:r>
    </w:p>
    <w:p w14:paraId="0C817733"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5DC69C98"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While the Area Under the Curve (AUC) remained consistent between the Baseline and Latent-Adjusted Logistic Regression models (~0.848), this similarity is mathematically expected, as </w:t>
      </w:r>
      <w:r w:rsidRPr="005F072C">
        <w:rPr>
          <w:rFonts w:ascii="Times New Roman" w:eastAsia="Times New Roman" w:hAnsi="Times New Roman" w:cs="Times New Roman"/>
          <w:color w:val="000000" w:themeColor="text1"/>
          <w:kern w:val="0"/>
          <w14:ligatures w14:val="none"/>
        </w:rPr>
        <w:lastRenderedPageBreak/>
        <w:t>both models utilize the same underlying Year 1 information within a linear framework. However, a deeper investigation using Confusion Matrices (Figure 5) and Sensitivity Analysis reveals the specific operational value of the Latent-Adjusted approach:</w:t>
      </w:r>
    </w:p>
    <w:p w14:paraId="27724E7C"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6739A7A9"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Robustness in Detection (Recall): The Latent-Adjusted model achieved the highest Recall (72.3%), effectively serving as a wider "safety net." In contrast, the </w:t>
      </w:r>
      <w:proofErr w:type="spellStart"/>
      <w:r w:rsidRPr="005F072C">
        <w:rPr>
          <w:rFonts w:ascii="Times New Roman" w:eastAsia="Times New Roman" w:hAnsi="Times New Roman" w:cs="Times New Roman"/>
          <w:color w:val="000000" w:themeColor="text1"/>
          <w:kern w:val="0"/>
          <w14:ligatures w14:val="none"/>
        </w:rPr>
        <w:t>XGBoost</w:t>
      </w:r>
      <w:proofErr w:type="spellEnd"/>
      <w:r w:rsidRPr="005F072C">
        <w:rPr>
          <w:rFonts w:ascii="Times New Roman" w:eastAsia="Times New Roman" w:hAnsi="Times New Roman" w:cs="Times New Roman"/>
          <w:color w:val="000000" w:themeColor="text1"/>
          <w:kern w:val="0"/>
          <w14:ligatures w14:val="none"/>
        </w:rPr>
        <w:t xml:space="preserve"> benchmark—despite its theoretical ability to capture non-linearities—exhibited a highly conservative bias with a Recall of only 30.8%. As shown in the Confusion Matrices, </w:t>
      </w:r>
      <w:proofErr w:type="spellStart"/>
      <w:r w:rsidRPr="005F072C">
        <w:rPr>
          <w:rFonts w:ascii="Times New Roman" w:eastAsia="Times New Roman" w:hAnsi="Times New Roman" w:cs="Times New Roman"/>
          <w:color w:val="000000" w:themeColor="text1"/>
          <w:kern w:val="0"/>
          <w14:ligatures w14:val="none"/>
        </w:rPr>
        <w:t>XGBoost</w:t>
      </w:r>
      <w:proofErr w:type="spellEnd"/>
      <w:r w:rsidRPr="005F072C">
        <w:rPr>
          <w:rFonts w:ascii="Times New Roman" w:eastAsia="Times New Roman" w:hAnsi="Times New Roman" w:cs="Times New Roman"/>
          <w:color w:val="000000" w:themeColor="text1"/>
          <w:kern w:val="0"/>
          <w14:ligatures w14:val="none"/>
        </w:rPr>
        <w:t xml:space="preserve"> failed to flag nearly 70% of actual high-cost patients (High False Negative Rate), rendering it less suitable for population health screening where missing a high-risk patient carries significant financial and clinical downside.</w:t>
      </w:r>
    </w:p>
    <w:p w14:paraId="29E1FC93"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5DA368BF"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Incremental Value of the Latent Score: Although the AUC did not jump significantly, the addition of the PROB_LATENT_RISK variable improved the model's sensitivity by approximately 0.7% over the baseline. In a population of 1,000,000 members, this marginal improvement translates to correctly identifying an additional ~7,000 high-risk individuals who would otherwise be missed.</w:t>
      </w:r>
    </w:p>
    <w:p w14:paraId="60F63CF4"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618D471D"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Interpretability vs. Complexity: The analysis confirms that a well-designed linear model with feature engineering (the "Latent Risk" strategy) can outperform complex "black box" models in sensitivity. The Adjusted Logistic Regression offers the best of both worlds: it matches the detection power of the baseline while providing a distinct, clinically explainable "Risk Score" coefficient (3.67) that validates the patient's underlying fragility independent of their raw demographic status.</w:t>
      </w:r>
    </w:p>
    <w:p w14:paraId="652C8885" w14:textId="77777777" w:rsidR="005F072C" w:rsidRPr="005F072C" w:rsidRDefault="005F072C" w:rsidP="005F072C">
      <w:pPr>
        <w:spacing w:after="0" w:line="240" w:lineRule="auto"/>
        <w:rPr>
          <w:rFonts w:ascii="Times New Roman" w:eastAsia="Times New Roman" w:hAnsi="Times New Roman" w:cs="Times New Roman" w:hint="eastAsia"/>
          <w:color w:val="000000" w:themeColor="text1"/>
          <w:kern w:val="0"/>
          <w14:ligatures w14:val="none"/>
        </w:rPr>
      </w:pPr>
    </w:p>
    <w:p w14:paraId="317D39C9" w14:textId="7473C4B3"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b/>
          <w:bCs/>
          <w:color w:val="000000" w:themeColor="text1"/>
          <w:kern w:val="0"/>
          <w14:ligatures w14:val="none"/>
        </w:rPr>
        <w:t>C</w:t>
      </w:r>
      <w:r w:rsidRPr="005F072C">
        <w:rPr>
          <w:rFonts w:ascii="Times New Roman" w:eastAsia="Times New Roman" w:hAnsi="Times New Roman" w:cs="Times New Roman"/>
          <w:b/>
          <w:bCs/>
          <w:color w:val="000000" w:themeColor="text1"/>
          <w:kern w:val="0"/>
          <w:sz w:val="28"/>
          <w:szCs w:val="28"/>
          <w14:ligatures w14:val="none"/>
        </w:rPr>
        <w:t>onclusion</w:t>
      </w:r>
    </w:p>
    <w:p w14:paraId="2C1EAC96"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2FCFC4CB"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This study confirms that future high-cost events are not random but strictly preceded by latent signals in utilization patterns—specifically high prescription-to-visit ratios and "crisis" utilization styles (Cluster 2). By implementing a Two-Stage Latent Risk Model, we successfully operationalized these signals. The resulting model offers a superior balance for clinical application: it achieves a 72% detection rate (Recall) for high-cost patients, significantly outperforming black-box methods like </w:t>
      </w:r>
      <w:proofErr w:type="spellStart"/>
      <w:r w:rsidRPr="005F072C">
        <w:rPr>
          <w:rFonts w:ascii="Times New Roman" w:eastAsia="Times New Roman" w:hAnsi="Times New Roman" w:cs="Times New Roman"/>
          <w:color w:val="000000" w:themeColor="text1"/>
          <w:kern w:val="0"/>
          <w14:ligatures w14:val="none"/>
        </w:rPr>
        <w:t>XGBoost</w:t>
      </w:r>
      <w:proofErr w:type="spellEnd"/>
      <w:r w:rsidRPr="005F072C">
        <w:rPr>
          <w:rFonts w:ascii="Times New Roman" w:eastAsia="Times New Roman" w:hAnsi="Times New Roman" w:cs="Times New Roman"/>
          <w:color w:val="000000" w:themeColor="text1"/>
          <w:kern w:val="0"/>
          <w14:ligatures w14:val="none"/>
        </w:rPr>
        <w:t xml:space="preserve"> in sensitivity, while providing clear, operational risk drivers (e.g., Latent Risk Score, Care Cluster) that care managers can act upon.</w:t>
      </w:r>
    </w:p>
    <w:p w14:paraId="50BD7277"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5FAA272F" w14:textId="77777777" w:rsidR="005F072C" w:rsidRDefault="005F072C">
      <w:pPr>
        <w:rPr>
          <w:rFonts w:ascii="Times New Roman" w:eastAsia="Times New Roman" w:hAnsi="Times New Roman" w:cs="Times New Roman"/>
          <w:b/>
          <w:bCs/>
          <w:color w:val="000000" w:themeColor="text1"/>
          <w:kern w:val="0"/>
          <w:sz w:val="28"/>
          <w:szCs w:val="28"/>
          <w14:ligatures w14:val="none"/>
        </w:rPr>
      </w:pPr>
      <w:r>
        <w:rPr>
          <w:rFonts w:ascii="Times New Roman" w:eastAsia="Times New Roman" w:hAnsi="Times New Roman" w:cs="Times New Roman"/>
          <w:b/>
          <w:bCs/>
          <w:color w:val="000000" w:themeColor="text1"/>
          <w:kern w:val="0"/>
          <w:sz w:val="28"/>
          <w:szCs w:val="28"/>
          <w14:ligatures w14:val="none"/>
        </w:rPr>
        <w:br w:type="page"/>
      </w:r>
    </w:p>
    <w:p w14:paraId="0EDD2D74" w14:textId="5948F9F6"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b/>
          <w:bCs/>
          <w:color w:val="000000" w:themeColor="text1"/>
          <w:kern w:val="0"/>
          <w:sz w:val="28"/>
          <w:szCs w:val="28"/>
          <w14:ligatures w14:val="none"/>
        </w:rPr>
        <w:lastRenderedPageBreak/>
        <w:t>References</w:t>
      </w:r>
    </w:p>
    <w:p w14:paraId="56257609" w14:textId="77777777" w:rsidR="005F072C" w:rsidRPr="005F072C" w:rsidRDefault="005F072C" w:rsidP="005F072C">
      <w:pPr>
        <w:spacing w:after="0" w:line="240" w:lineRule="auto"/>
        <w:rPr>
          <w:rFonts w:ascii="Times New Roman" w:eastAsia="Times New Roman" w:hAnsi="Times New Roman" w:cs="Times New Roman"/>
          <w:color w:val="000000" w:themeColor="text1"/>
          <w:kern w:val="0"/>
          <w14:ligatures w14:val="none"/>
        </w:rPr>
      </w:pPr>
    </w:p>
    <w:p w14:paraId="762E0844" w14:textId="77777777" w:rsidR="005F072C" w:rsidRPr="005F072C" w:rsidRDefault="005F072C" w:rsidP="005F072C">
      <w:pPr>
        <w:pStyle w:val="ListParagraph"/>
        <w:numPr>
          <w:ilvl w:val="0"/>
          <w:numId w:val="4"/>
        </w:num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Agency for Healthcare Research and Quality. (n.d.). Medical Expenditure Panel Survey (MEPS) HC-212: 2019 Full Year Consolidated Data File. U.S. Department of Health and Human Services.</w:t>
      </w:r>
    </w:p>
    <w:p w14:paraId="5F00001A" w14:textId="77777777" w:rsidR="005F072C" w:rsidRPr="005F072C" w:rsidRDefault="005F072C" w:rsidP="005F072C">
      <w:pPr>
        <w:pStyle w:val="ListParagraph"/>
        <w:numPr>
          <w:ilvl w:val="0"/>
          <w:numId w:val="4"/>
        </w:num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Agency for Healthcare Research and Quality. (n.d.). MEPS HC-209: 2018 Full Year Consolidated Data File. U.S. Department of Health and Human Services.</w:t>
      </w:r>
    </w:p>
    <w:p w14:paraId="1E10D8C3" w14:textId="77777777" w:rsidR="005F072C" w:rsidRPr="005F072C" w:rsidRDefault="005F072C" w:rsidP="005F072C">
      <w:pPr>
        <w:pStyle w:val="ListParagraph"/>
        <w:numPr>
          <w:ilvl w:val="0"/>
          <w:numId w:val="4"/>
        </w:numPr>
        <w:spacing w:after="0" w:line="240" w:lineRule="auto"/>
        <w:rPr>
          <w:rFonts w:ascii="Times New Roman" w:eastAsia="Times New Roman" w:hAnsi="Times New Roman" w:cs="Times New Roman"/>
          <w:color w:val="000000" w:themeColor="text1"/>
          <w:kern w:val="0"/>
          <w14:ligatures w14:val="none"/>
        </w:rPr>
      </w:pPr>
      <w:r w:rsidRPr="005F072C">
        <w:rPr>
          <w:rFonts w:ascii="Times New Roman" w:eastAsia="Times New Roman" w:hAnsi="Times New Roman" w:cs="Times New Roman"/>
          <w:color w:val="000000" w:themeColor="text1"/>
          <w:kern w:val="0"/>
          <w14:ligatures w14:val="none"/>
        </w:rPr>
        <w:t xml:space="preserve">Hastie, T., </w:t>
      </w:r>
      <w:proofErr w:type="spellStart"/>
      <w:r w:rsidRPr="005F072C">
        <w:rPr>
          <w:rFonts w:ascii="Times New Roman" w:eastAsia="Times New Roman" w:hAnsi="Times New Roman" w:cs="Times New Roman"/>
          <w:color w:val="000000" w:themeColor="text1"/>
          <w:kern w:val="0"/>
          <w14:ligatures w14:val="none"/>
        </w:rPr>
        <w:t>Tibshirani</w:t>
      </w:r>
      <w:proofErr w:type="spellEnd"/>
      <w:r w:rsidRPr="005F072C">
        <w:rPr>
          <w:rFonts w:ascii="Times New Roman" w:eastAsia="Times New Roman" w:hAnsi="Times New Roman" w:cs="Times New Roman"/>
          <w:color w:val="000000" w:themeColor="text1"/>
          <w:kern w:val="0"/>
          <w14:ligatures w14:val="none"/>
        </w:rPr>
        <w:t>, R., &amp; Friedman, J. (2009). The Elements of Statistical Learning. Springer Series in Statistics.</w:t>
      </w:r>
    </w:p>
    <w:p w14:paraId="5D501F8E" w14:textId="07587939" w:rsidR="005F072C" w:rsidRPr="005F072C" w:rsidRDefault="005F072C" w:rsidP="005F072C">
      <w:pPr>
        <w:pStyle w:val="ListParagraph"/>
        <w:numPr>
          <w:ilvl w:val="0"/>
          <w:numId w:val="4"/>
        </w:numPr>
        <w:spacing w:after="0" w:line="240" w:lineRule="auto"/>
        <w:rPr>
          <w:rFonts w:ascii="Times New Roman" w:eastAsia="Times New Roman" w:hAnsi="Times New Roman" w:cs="Times New Roman"/>
          <w:color w:val="000000" w:themeColor="text1"/>
          <w:kern w:val="0"/>
          <w14:ligatures w14:val="none"/>
        </w:rPr>
      </w:pPr>
      <w:proofErr w:type="spellStart"/>
      <w:proofErr w:type="gramStart"/>
      <w:r w:rsidRPr="005F072C">
        <w:rPr>
          <w:rFonts w:ascii="Times New Roman" w:eastAsia="Times New Roman" w:hAnsi="Times New Roman" w:cs="Times New Roman"/>
          <w:color w:val="000000" w:themeColor="text1"/>
          <w:kern w:val="0"/>
          <w14:ligatures w14:val="none"/>
        </w:rPr>
        <w:t>sklearn.metrics</w:t>
      </w:r>
      <w:proofErr w:type="spellEnd"/>
      <w:proofErr w:type="gramEnd"/>
      <w:r w:rsidRPr="005F072C">
        <w:rPr>
          <w:rFonts w:ascii="Times New Roman" w:eastAsia="Times New Roman" w:hAnsi="Times New Roman" w:cs="Times New Roman"/>
          <w:color w:val="000000" w:themeColor="text1"/>
          <w:kern w:val="0"/>
          <w14:ligatures w14:val="none"/>
        </w:rPr>
        <w:t>. (n.d.). Receiver Operating Characteristic (ROC). Scikit-learn documentation</w:t>
      </w:r>
    </w:p>
    <w:p w14:paraId="7C972E45" w14:textId="77777777" w:rsidR="005F072C" w:rsidRPr="005F072C" w:rsidRDefault="005F072C">
      <w:pPr>
        <w:rPr>
          <w:rFonts w:hint="eastAsia"/>
          <w:color w:val="000000" w:themeColor="text1"/>
        </w:rPr>
      </w:pPr>
    </w:p>
    <w:sectPr w:rsidR="005F072C" w:rsidRPr="005F07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644740"/>
    <w:multiLevelType w:val="hybridMultilevel"/>
    <w:tmpl w:val="61A2EF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A714680"/>
    <w:multiLevelType w:val="multilevel"/>
    <w:tmpl w:val="C77ECF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60D48AA"/>
    <w:multiLevelType w:val="multilevel"/>
    <w:tmpl w:val="576AD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83B3805"/>
    <w:multiLevelType w:val="multilevel"/>
    <w:tmpl w:val="93D2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4394448">
    <w:abstractNumId w:val="2"/>
  </w:num>
  <w:num w:numId="2" w16cid:durableId="782309793">
    <w:abstractNumId w:val="1"/>
  </w:num>
  <w:num w:numId="3" w16cid:durableId="3286906">
    <w:abstractNumId w:val="3"/>
  </w:num>
  <w:num w:numId="4" w16cid:durableId="1171791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333"/>
    <w:rsid w:val="003B2B8C"/>
    <w:rsid w:val="00462333"/>
    <w:rsid w:val="005F072C"/>
    <w:rsid w:val="00FA36F2"/>
    <w:rsid w:val="00FD4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B45BCA2"/>
  <w15:chartTrackingRefBased/>
  <w15:docId w15:val="{B0B4F352-1D97-BF40-8289-6A2B274B9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23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23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23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23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23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2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2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2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2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23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23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23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23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23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2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2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2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2333"/>
    <w:rPr>
      <w:rFonts w:eastAsiaTheme="majorEastAsia" w:cstheme="majorBidi"/>
      <w:color w:val="272727" w:themeColor="text1" w:themeTint="D8"/>
    </w:rPr>
  </w:style>
  <w:style w:type="paragraph" w:styleId="Title">
    <w:name w:val="Title"/>
    <w:basedOn w:val="Normal"/>
    <w:next w:val="Normal"/>
    <w:link w:val="TitleChar"/>
    <w:uiPriority w:val="10"/>
    <w:qFormat/>
    <w:rsid w:val="004623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23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23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23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2333"/>
    <w:pPr>
      <w:spacing w:before="160"/>
      <w:jc w:val="center"/>
    </w:pPr>
    <w:rPr>
      <w:i/>
      <w:iCs/>
      <w:color w:val="404040" w:themeColor="text1" w:themeTint="BF"/>
    </w:rPr>
  </w:style>
  <w:style w:type="character" w:customStyle="1" w:styleId="QuoteChar">
    <w:name w:val="Quote Char"/>
    <w:basedOn w:val="DefaultParagraphFont"/>
    <w:link w:val="Quote"/>
    <w:uiPriority w:val="29"/>
    <w:rsid w:val="00462333"/>
    <w:rPr>
      <w:i/>
      <w:iCs/>
      <w:color w:val="404040" w:themeColor="text1" w:themeTint="BF"/>
    </w:rPr>
  </w:style>
  <w:style w:type="paragraph" w:styleId="ListParagraph">
    <w:name w:val="List Paragraph"/>
    <w:basedOn w:val="Normal"/>
    <w:uiPriority w:val="34"/>
    <w:qFormat/>
    <w:rsid w:val="00462333"/>
    <w:pPr>
      <w:ind w:left="720"/>
      <w:contextualSpacing/>
    </w:pPr>
  </w:style>
  <w:style w:type="character" w:styleId="IntenseEmphasis">
    <w:name w:val="Intense Emphasis"/>
    <w:basedOn w:val="DefaultParagraphFont"/>
    <w:uiPriority w:val="21"/>
    <w:qFormat/>
    <w:rsid w:val="00462333"/>
    <w:rPr>
      <w:i/>
      <w:iCs/>
      <w:color w:val="0F4761" w:themeColor="accent1" w:themeShade="BF"/>
    </w:rPr>
  </w:style>
  <w:style w:type="paragraph" w:styleId="IntenseQuote">
    <w:name w:val="Intense Quote"/>
    <w:basedOn w:val="Normal"/>
    <w:next w:val="Normal"/>
    <w:link w:val="IntenseQuoteChar"/>
    <w:uiPriority w:val="30"/>
    <w:qFormat/>
    <w:rsid w:val="004623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2333"/>
    <w:rPr>
      <w:i/>
      <w:iCs/>
      <w:color w:val="0F4761" w:themeColor="accent1" w:themeShade="BF"/>
    </w:rPr>
  </w:style>
  <w:style w:type="character" w:styleId="IntenseReference">
    <w:name w:val="Intense Reference"/>
    <w:basedOn w:val="DefaultParagraphFont"/>
    <w:uiPriority w:val="32"/>
    <w:qFormat/>
    <w:rsid w:val="00462333"/>
    <w:rPr>
      <w:b/>
      <w:bCs/>
      <w:smallCaps/>
      <w:color w:val="0F4761" w:themeColor="accent1" w:themeShade="BF"/>
      <w:spacing w:val="5"/>
    </w:rPr>
  </w:style>
  <w:style w:type="paragraph" w:styleId="NormalWeb">
    <w:name w:val="Normal (Web)"/>
    <w:basedOn w:val="Normal"/>
    <w:uiPriority w:val="99"/>
    <w:semiHidden/>
    <w:unhideWhenUsed/>
    <w:rsid w:val="005F072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https://encrypted-tbn0.gstatic.com/images?q=tbn:ANd9GcRaGvqQhqWdx31K9q6qqMnIbqDdhg264ZYe_w&amp;s"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7</Pages>
  <Words>1612</Words>
  <Characters>9192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Sylvia Gao</dc:creator>
  <cp:keywords/>
  <dc:description/>
  <cp:lastModifiedBy>Sylvia Gao</cp:lastModifiedBy>
  <cp:revision>1</cp:revision>
  <dcterms:created xsi:type="dcterms:W3CDTF">2026-01-16T23:09:00Z</dcterms:created>
  <dcterms:modified xsi:type="dcterms:W3CDTF">2026-01-17T08:48:00Z</dcterms:modified>
</cp:coreProperties>
</file>