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ind w:firstLine="880"/>
        <w:rPr>
          <w:sz w:val="44"/>
          <w:szCs w:val="44"/>
        </w:rPr>
      </w:pPr>
    </w:p>
    <w:p>
      <w:pPr>
        <w:widowControl/>
        <w:autoSpaceDE/>
        <w:autoSpaceDN/>
        <w:spacing w:line="240" w:lineRule="auto"/>
        <w:ind w:firstLine="0" w:firstLineChars="0"/>
        <w:jc w:val="center"/>
        <w:rPr>
          <w:sz w:val="44"/>
          <w:szCs w:val="44"/>
        </w:rPr>
      </w:pPr>
      <w:bookmarkStart w:id="0" w:name="_Toc529700756"/>
      <w:bookmarkStart w:id="1" w:name="_Toc26393"/>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104" name="直接连接符 104"/>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USE4fTAAAABgEAAA8AAAAAAAAAAQAgAAAAIgAAAGRycy9kb3ducmV2LnhtbFBLAQIUABQA&#10;AAAIAIdO4kDzyee49QEAAMADAAAOAAAAAAAAAAEAIAAAACIBAABkcnMvZTJvRG9jLnhtbFBLBQYA&#10;AAAABgAGAFkBAACJBQAAAAA=&#10;">
                <v:fill on="f" focussize="0,0"/>
                <v:stroke weight="4.5pt" color="#FF0000" linestyle="thinThick" joinstyle="round"/>
                <v:imagedata o:title=""/>
                <o:lock v:ext="edit" aspectratio="f"/>
              </v:line>
            </w:pict>
          </mc:Fallback>
        </mc:AlternateContent>
      </w:r>
    </w:p>
    <w:p>
      <w:pPr>
        <w:pStyle w:val="55"/>
        <w:spacing w:before="312" w:after="312"/>
        <w:ind w:firstLine="643"/>
      </w:pPr>
      <w:bookmarkStart w:id="2" w:name="_GoBack"/>
      <w:r>
        <w:rPr>
          <w:rFonts w:hint="eastAsia"/>
        </w:rPr>
        <w:t>机电</w:t>
      </w:r>
      <w:r>
        <w:t>工程学院本科教学运行管理制度</w:t>
      </w:r>
      <w:bookmarkEnd w:id="2"/>
      <w:bookmarkEnd w:id="0"/>
      <w:bookmarkEnd w:id="1"/>
    </w:p>
    <w:p>
      <w:pPr>
        <w:ind w:firstLine="480"/>
      </w:pPr>
      <w:r>
        <w:t>为了规范教学管理、保证正常教学秩序、不断提高教学质量和效益，根据学校相关制度和文件，特制订院级本科教学运行管理制度。</w:t>
      </w:r>
    </w:p>
    <w:p>
      <w:pPr>
        <w:ind w:firstLine="482"/>
      </w:pPr>
      <w:r>
        <w:rPr>
          <w:b/>
          <w:bCs/>
        </w:rPr>
        <w:t>一、培养计划的制订或修订</w:t>
      </w:r>
    </w:p>
    <w:p>
      <w:pPr>
        <w:ind w:firstLine="480"/>
      </w:pPr>
      <w:r>
        <w:t>1．培养计划的制订或修订由专业负责人负责，包括广泛征询本专业教授和相关企业专家的意见与建议、征求毕业生及用人单位的意见、起草培养计划等。培养计划经学院教学指导委员会论证通过后，由教学副院长审批并报学校教务处执行。</w:t>
      </w:r>
    </w:p>
    <w:p>
      <w:pPr>
        <w:ind w:firstLine="480"/>
      </w:pPr>
      <w:r>
        <w:t>2．培养计划中课程体系的建立以及课程内容的确定应遵循知识的衔接和教学规律，在保障专业</w:t>
      </w:r>
      <w:r>
        <w:rPr>
          <w:rFonts w:hint="eastAsia"/>
        </w:rPr>
        <w:t>毕业要求</w:t>
      </w:r>
      <w:r>
        <w:t>达成的基础上，充分考虑工程教育认证要求和专业国家质量标准要求。教学计划一经审定，不得随意更改，使用周期一般应为四年。</w:t>
      </w:r>
    </w:p>
    <w:p>
      <w:pPr>
        <w:ind w:firstLine="480"/>
      </w:pPr>
      <w:r>
        <w:t>3．培养计划的修订周期原则上不低于一年，修订后的计划仅适用于下一年度招收的新生；如有特殊原因确需临时修订计划，且需在当年执行的，须由专业负责人提出申请，教学副院长审批后报教务处执行。</w:t>
      </w:r>
    </w:p>
    <w:p>
      <w:pPr>
        <w:ind w:firstLine="482"/>
      </w:pPr>
      <w:r>
        <w:rPr>
          <w:b/>
          <w:bCs/>
        </w:rPr>
        <w:t>二、教学计划的执行与教学任务的落实</w:t>
      </w:r>
    </w:p>
    <w:p>
      <w:pPr>
        <w:ind w:firstLine="480"/>
      </w:pPr>
      <w:r>
        <w:t>1．教学计划的执行应严格遵照专业培养计划，不得随意增减学时数和调整课程的学期安排。</w:t>
      </w:r>
    </w:p>
    <w:p>
      <w:pPr>
        <w:ind w:firstLine="480"/>
      </w:pPr>
      <w:r>
        <w:t>2. 专业负责人负责每年教学计划的核对、教学进程的安排、捏班和安排任课教师，执行过程以有利于学生学习成效的达成、有利于提高教学质量和教学效益为主要原则。</w:t>
      </w:r>
    </w:p>
    <w:p>
      <w:pPr>
        <w:ind w:firstLine="480"/>
      </w:pPr>
      <w:r>
        <w:t>3．如有特殊原因确需临时调整或变更教学计划（包括增减课程、调整学时学分、更改课程名称等），需由任课教师提出申请，报专业负责人审核，审核通过后由专业负责人填写《北京化工大学教学计划执行调整申请表》，报教学副院长签字审批，最终报教务处批准执行。</w:t>
      </w:r>
    </w:p>
    <w:p>
      <w:pPr>
        <w:ind w:firstLine="480"/>
      </w:pPr>
      <w:r>
        <w:t>4．教学任务的落实由专业负责人进行，任课教师对排课的合理要求应在教学任务落实表中注明。</w:t>
      </w:r>
    </w:p>
    <w:p>
      <w:pPr>
        <w:ind w:firstLine="480"/>
      </w:pPr>
      <w:r>
        <w:t>5. 取得教师资格证的教师才能安排上课，开新课的教师须经过学院组织的试讲才能安排上课。</w:t>
      </w:r>
    </w:p>
    <w:p>
      <w:pPr>
        <w:ind w:firstLine="480"/>
      </w:pPr>
      <w:r>
        <w:t>6．每位教师每天的授课时数不得超过4学时；同一个教师给同一个班级讲授不同课程时，不应安排在同一天。</w:t>
      </w:r>
    </w:p>
    <w:p>
      <w:pPr>
        <w:ind w:firstLine="480"/>
      </w:pPr>
      <w:r>
        <w:t>7．除实习、实验、研讨及设计类课程外，同一门课程连排课时</w:t>
      </w:r>
      <w:r>
        <w:rPr>
          <w:rFonts w:hint="eastAsia"/>
        </w:rPr>
        <w:t>尽量</w:t>
      </w:r>
      <w:r>
        <w:t>不得超过3学时。</w:t>
      </w:r>
    </w:p>
    <w:p>
      <w:pPr>
        <w:ind w:firstLine="480"/>
      </w:pPr>
      <w:r>
        <w:t>8．专业选修课原则上需达15人以上才能开课。</w:t>
      </w:r>
    </w:p>
    <w:p>
      <w:pPr>
        <w:ind w:firstLine="482"/>
      </w:pPr>
      <w:r>
        <w:rPr>
          <w:b/>
          <w:bCs/>
        </w:rPr>
        <w:t>三、教师调停课制度</w:t>
      </w:r>
    </w:p>
    <w:p>
      <w:pPr>
        <w:ind w:firstLine="480"/>
      </w:pPr>
      <w:r>
        <w:t>1．凡因公出差、因病、因事不能按课表上课的任课教师，须提前2天在教务管理系统上提交调停课申请，写明停课或调课原因。由教学秘书和教学副院长逐级审核通过后上报至教务处。调动后的课程安排由教师本人或教务干事通知上课学生。</w:t>
      </w:r>
    </w:p>
    <w:p>
      <w:pPr>
        <w:ind w:firstLine="480"/>
      </w:pPr>
      <w:r>
        <w:t>2．每门课程一学期内调停课次数不得超过</w:t>
      </w:r>
      <w:r>
        <w:rPr>
          <w:rFonts w:hint="eastAsia"/>
        </w:rPr>
        <w:t>2</w:t>
      </w:r>
      <w:r>
        <w:t>次，特殊情况应向教学秘书提交书面申请，由教学副院长审核。</w:t>
      </w:r>
    </w:p>
    <w:p>
      <w:pPr>
        <w:ind w:firstLine="480"/>
      </w:pPr>
      <w:r>
        <w:t>3．原则上，任课教师不能因多媒体教室设备出现故障而调停课。</w:t>
      </w:r>
    </w:p>
    <w:p>
      <w:pPr>
        <w:ind w:firstLine="480"/>
      </w:pPr>
      <w:r>
        <w:t>4．对于私自调停课和私自找人代替上课的教师，一旦发现，</w:t>
      </w:r>
      <w:r>
        <w:rPr>
          <w:color w:val="FF0000"/>
        </w:rPr>
        <w:t>则按《</w:t>
      </w:r>
      <w:r>
        <w:rPr>
          <w:rFonts w:hint="eastAsia"/>
          <w:color w:val="FF0000"/>
        </w:rPr>
        <w:t>北京化工大学</w:t>
      </w:r>
      <w:r>
        <w:rPr>
          <w:color w:val="FF0000"/>
        </w:rPr>
        <w:t>教学事故认定和处理办法》</w:t>
      </w:r>
      <w:r>
        <w:rPr>
          <w:rFonts w:hint="eastAsia"/>
          <w:color w:val="FF0000"/>
        </w:rPr>
        <w:t>（北化大校</w:t>
      </w:r>
      <w:r>
        <w:rPr>
          <w:color w:val="FF0000"/>
        </w:rPr>
        <w:t>发</w:t>
      </w:r>
      <w:r>
        <w:rPr>
          <w:rFonts w:hint="eastAsia"/>
          <w:color w:val="FF0000"/>
        </w:rPr>
        <w:t>[</w:t>
      </w:r>
      <w:r>
        <w:rPr>
          <w:color w:val="FF0000"/>
        </w:rPr>
        <w:t>2021</w:t>
      </w:r>
      <w:r>
        <w:rPr>
          <w:rFonts w:hint="eastAsia"/>
          <w:color w:val="FF0000"/>
        </w:rPr>
        <w:t>]</w:t>
      </w:r>
      <w:r>
        <w:rPr>
          <w:color w:val="FF0000"/>
        </w:rPr>
        <w:t>45</w:t>
      </w:r>
      <w:r>
        <w:rPr>
          <w:rFonts w:hint="eastAsia"/>
          <w:color w:val="FF0000"/>
        </w:rPr>
        <w:t>）</w:t>
      </w:r>
      <w:r>
        <w:rPr>
          <w:color w:val="FF0000"/>
        </w:rPr>
        <w:t>进行</w:t>
      </w:r>
      <w:r>
        <w:t>相应处理。</w:t>
      </w:r>
    </w:p>
    <w:p>
      <w:pPr>
        <w:ind w:firstLine="482"/>
      </w:pPr>
      <w:r>
        <w:rPr>
          <w:b/>
          <w:bCs/>
        </w:rPr>
        <w:t>四、选修课管理</w:t>
      </w:r>
    </w:p>
    <w:p>
      <w:pPr>
        <w:ind w:firstLine="480"/>
      </w:pPr>
      <w:r>
        <w:t>1．根据学校的排课安排，学生在规定的时间内进行网上选课。</w:t>
      </w:r>
    </w:p>
    <w:p>
      <w:pPr>
        <w:ind w:firstLine="480"/>
      </w:pPr>
      <w:r>
        <w:t>2．选修课选课名单一经确定，网上选课系统关闭后，不得随意更改。</w:t>
      </w:r>
    </w:p>
    <w:p>
      <w:pPr>
        <w:ind w:firstLine="480"/>
      </w:pPr>
      <w:r>
        <w:t>3．参加选修课的考试或考查，以网上选课名单为准， 未进行网上选课的学生，无法登录其选修课成绩。</w:t>
      </w:r>
    </w:p>
    <w:p>
      <w:pPr>
        <w:ind w:firstLine="482"/>
      </w:pPr>
      <w:r>
        <w:rPr>
          <w:b/>
          <w:bCs/>
        </w:rPr>
        <w:t>五、教材选用与管理</w:t>
      </w:r>
    </w:p>
    <w:p>
      <w:pPr>
        <w:ind w:firstLine="482"/>
      </w:pPr>
      <w:r>
        <w:rPr>
          <w:b/>
          <w:bCs/>
        </w:rPr>
        <w:t>1</w:t>
      </w:r>
      <w:r>
        <w:t>．</w:t>
      </w:r>
      <w:r>
        <w:rPr>
          <w:b/>
          <w:bCs/>
        </w:rPr>
        <w:t>教材选用基本原则</w:t>
      </w:r>
    </w:p>
    <w:p>
      <w:pPr>
        <w:ind w:firstLine="480"/>
      </w:pPr>
      <w:r>
        <w:t>（1）为保证教学质量，对本科生课程所选用教材，必须坚持择优选用原则，确保高质量、有特色教材进课堂，杜绝教材陈旧现象，及时更新教材。</w:t>
      </w:r>
    </w:p>
    <w:p>
      <w:pPr>
        <w:ind w:firstLine="480"/>
      </w:pPr>
      <w:r>
        <w:t>（2）本科生课程均应优先选用国家级规划重点教材，获省、部级以上优秀奖教材，教育部推出的精品课程和面向21世纪教材，经各专业教学指导委员会推荐、由高校知名学科带头人主编或组织编写的联合书目所列教材；全国统编教材等。</w:t>
      </w:r>
    </w:p>
    <w:p>
      <w:pPr>
        <w:ind w:firstLine="480"/>
      </w:pPr>
      <w:r>
        <w:t>（3）选用我校教师主编、参编、协编、合编的，非上述（2）条所列的正式出版教材，必须在下一学期教学任务下发前向学院提出申请，由学院教学指导委员会认可后，方可用于教学。</w:t>
      </w:r>
    </w:p>
    <w:p>
      <w:pPr>
        <w:ind w:firstLine="480"/>
      </w:pPr>
      <w:r>
        <w:t>（4）对于上述所列各类教材均不满足教学要求的情况，应选用质量高、适用性强、较为成熟的教材。没有适用的正式出版的教材时，可以申请自编讲义。各专业要负责自编教材使用的连续性，最少不能低于两届。校内自编教材、讲义要以专业培养计划和课程教学大纲为依据，注重质量和特色。</w:t>
      </w:r>
    </w:p>
    <w:p>
      <w:pPr>
        <w:ind w:firstLine="480"/>
      </w:pPr>
      <w:r>
        <w:t>（5）根据各专业课程建设需要，积极在本科教育的学科特色课中推进双语教学，并慎重、科学地引进或选用国外优秀原版教材或教学参考书。</w:t>
      </w:r>
    </w:p>
    <w:p>
      <w:pPr>
        <w:ind w:firstLine="480"/>
      </w:pPr>
      <w:r>
        <w:t>（6）全面实施多媒体教学，鼓励并逐步推行网上教学。积极引进先进、适用的多媒体课件，大力提倡教师开发、制作有自主知识版权的多媒体课件。</w:t>
      </w:r>
    </w:p>
    <w:p>
      <w:pPr>
        <w:ind w:firstLine="482"/>
      </w:pPr>
      <w:r>
        <w:rPr>
          <w:b/>
          <w:bCs/>
        </w:rPr>
        <w:t>2</w:t>
      </w:r>
      <w:r>
        <w:t>．</w:t>
      </w:r>
      <w:r>
        <w:rPr>
          <w:b/>
          <w:bCs/>
        </w:rPr>
        <w:t>教材选用的审批</w:t>
      </w:r>
    </w:p>
    <w:p>
      <w:pPr>
        <w:ind w:firstLine="480"/>
      </w:pPr>
      <w:r>
        <w:t>（1）各专业对所开设课程教材的选用，由任课教师根据本课程教学大纲要求，择优选好一种教材（同时选出相关参考书），经课程负责人审定同意后，提交主管院长审批使用。</w:t>
      </w:r>
    </w:p>
    <w:p>
      <w:pPr>
        <w:ind w:firstLine="480"/>
      </w:pPr>
      <w:r>
        <w:t>（2）教材一经选用，在培养计划和课程设置无重大变化情况下，不允许因变更主讲教师等原因而更换教材。</w:t>
      </w:r>
    </w:p>
    <w:p>
      <w:pPr>
        <w:ind w:firstLine="480"/>
      </w:pPr>
      <w:r>
        <w:t>（3）采用同一教学大纲授课的课程，一般选用同一版本教材。如因教学改革等原因，需选用不同版本教材在不同班级试用者，由学院教学指导委员会审批。课程结束后，由主讲教师写出不同版本教材使用总结及评价意见，交学院备案。</w:t>
      </w:r>
    </w:p>
    <w:p>
      <w:pPr>
        <w:ind w:firstLine="480"/>
      </w:pPr>
      <w:r>
        <w:t>（4）校内自编教材编写计划按学校要求制定和上报。由主编教师提出申请，经院教学指导委员会审议通过，教学副院长审批签字后，报学院备案。</w:t>
      </w:r>
    </w:p>
    <w:p>
      <w:pPr>
        <w:ind w:firstLine="482"/>
      </w:pPr>
      <w:r>
        <w:rPr>
          <w:b/>
          <w:bCs/>
        </w:rPr>
        <w:t>3</w:t>
      </w:r>
      <w:r>
        <w:t>．</w:t>
      </w:r>
      <w:r>
        <w:rPr>
          <w:b/>
          <w:bCs/>
        </w:rPr>
        <w:t>教材的订购与操作程序</w:t>
      </w:r>
    </w:p>
    <w:p>
      <w:pPr>
        <w:ind w:firstLine="480"/>
      </w:pPr>
      <w:r>
        <w:t>（1）学生用书。教材（含实验教材和习题集等一切教学材料）的选定由各专业负责。每学期学院接到学校教材征订目录后，及时通知各专业，由各专业组织任课教师按照教材选用原则提出教材版本及相关信息，完成《学生用书教材定单》并按时报送学院办公室，由学院报送教材中心。</w:t>
      </w:r>
    </w:p>
    <w:p>
      <w:pPr>
        <w:ind w:firstLine="480"/>
      </w:pPr>
      <w:r>
        <w:t>（2）教师用书。每学期学院接到学校教材征订目录后，及时通知各专业，凡需领用教材者，在规定时间内上报学院教务办公室，经教学副院长签章后，由学院统一上报教材科。教师在第二学期开学后可领取教材。</w:t>
      </w:r>
    </w:p>
    <w:p>
      <w:pPr>
        <w:ind w:firstLine="482"/>
      </w:pPr>
      <w:r>
        <w:rPr>
          <w:b/>
          <w:bCs/>
        </w:rPr>
        <w:t>六、时效</w:t>
      </w:r>
    </w:p>
    <w:p>
      <w:pPr>
        <w:ind w:firstLine="480"/>
      </w:pPr>
      <w:r>
        <w:t>本条例自发布之日起执行，由学院负责解释。</w:t>
      </w:r>
    </w:p>
    <w:p>
      <w:pPr>
        <w:ind w:firstLine="480"/>
        <w:jc w:val="right"/>
      </w:pPr>
      <w:r>
        <w:rPr>
          <w:rFonts w:hint="eastAsia"/>
        </w:rPr>
        <w:t xml:space="preserve">                                                机电工程学院</w:t>
      </w:r>
    </w:p>
    <w:p>
      <w:pPr>
        <w:ind w:firstLine="480"/>
        <w:jc w:val="right"/>
      </w:pPr>
      <w:r>
        <w:rPr>
          <w:rFonts w:hint="eastAsia"/>
        </w:rPr>
        <w:t xml:space="preserve">                                                    2017</w:t>
      </w:r>
      <w:r>
        <w:t>.</w:t>
      </w:r>
      <w:r>
        <w:rPr>
          <w:rFonts w:hint="eastAsia"/>
        </w:rPr>
        <w:t>2</w:t>
      </w:r>
      <w:r>
        <w:t>.</w:t>
      </w:r>
      <w:r>
        <w:rPr>
          <w:rFonts w:hint="eastAsia"/>
        </w:rPr>
        <w:t>20</w:t>
      </w:r>
    </w:p>
    <w:p>
      <w:pPr>
        <w:autoSpaceDE/>
        <w:autoSpaceDN/>
        <w:snapToGrid w:val="0"/>
        <w:spacing w:line="400" w:lineRule="exact"/>
        <w:ind w:firstLine="480"/>
        <w:jc w:val="right"/>
        <w:rPr>
          <w:rFonts w:ascii="仿宋" w:hAnsi="仿宋" w:eastAsia="仿宋" w:cs="Times New Roman"/>
          <w:kern w:val="2"/>
          <w:szCs w:val="24"/>
        </w:rPr>
      </w:pPr>
    </w:p>
    <w:p>
      <w:pPr>
        <w:ind w:firstLine="480"/>
        <w:rPr>
          <w:rFonts w:hint="eastAsia" w:ascii="等线" w:hAnsi="等线" w:eastAsia="等线"/>
          <w:sz w:val="21"/>
          <w:szCs w:val="21"/>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0FC96D17"/>
    <w:rsid w:val="31833389"/>
    <w:rsid w:val="333724DC"/>
    <w:rsid w:val="585730F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2023-12-08T15:01:26Z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