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ind w:firstLine="484"/>
        <w:jc w:val="center"/>
        <w:rPr>
          <w:color w:val="FF0000"/>
          <w:sz w:val="56"/>
          <w:szCs w:val="56"/>
        </w:rPr>
      </w:pPr>
      <w:r>
        <w:rPr>
          <w:rFonts w:hint="eastAsia"/>
          <w:color w:val="FF0000"/>
          <w:sz w:val="56"/>
          <w:szCs w:val="56"/>
        </w:rPr>
        <w:t>北京化工大学</w:t>
      </w:r>
    </w:p>
    <w:p>
      <w:pPr>
        <w:pStyle w:val="59"/>
        <w:ind w:firstLine="644"/>
        <w:jc w:val="center"/>
        <w:rPr>
          <w:rFonts w:ascii="黑体" w:eastAsia="黑体" w:cs="黑体"/>
          <w:color w:val="FF0000"/>
          <w:sz w:val="32"/>
          <w:szCs w:val="32"/>
        </w:rPr>
      </w:pPr>
      <w:r>
        <w:rPr>
          <w:rFonts w:hint="eastAsia" w:ascii="黑体" w:eastAsia="黑体" w:cs="黑体"/>
          <w:color w:val="FF0000"/>
          <w:sz w:val="32"/>
          <w:szCs w:val="32"/>
        </w:rPr>
        <w:t>机电工程学院</w:t>
      </w:r>
    </w:p>
    <w:p>
      <w:pPr>
        <w:pStyle w:val="59"/>
        <w:ind w:firstLine="604"/>
        <w:jc w:val="center"/>
        <w:rPr>
          <w:rFonts w:ascii="黑体" w:eastAsia="黑体" w:cs="黑体"/>
          <w:sz w:val="30"/>
          <w:szCs w:val="30"/>
        </w:rPr>
      </w:pPr>
      <w:r>
        <w:rPr>
          <w:rFonts w:hint="eastAsia" w:ascii="黑体" w:eastAsia="黑体" w:cs="黑体"/>
          <w:sz w:val="30"/>
          <w:szCs w:val="30"/>
        </w:rPr>
        <w:t>关于毕业要求达成情况的评价实施办法（修订）</w:t>
      </w:r>
    </w:p>
    <w:p>
      <w:pPr>
        <w:pStyle w:val="59"/>
        <w:ind w:firstLine="464"/>
        <w:rPr>
          <w:rFonts w:ascii="仿宋" w:eastAsia="仿宋" w:cs="仿宋"/>
          <w:sz w:val="23"/>
          <w:szCs w:val="23"/>
        </w:rPr>
      </w:pPr>
      <w:r>
        <w:rPr>
          <w:rFonts w:hint="eastAsia" w:ascii="仿宋" w:eastAsia="仿宋" w:cs="仿宋"/>
          <w:sz w:val="23"/>
          <w:szCs w:val="23"/>
        </w:rPr>
        <w:t>毕业要求是设置和修订课程体系的基本依据。各专业需及时掌握学生毕业时各方面知识的掌握程度以及能力和素质所达到的程度，以便针对短板进行教育教学改革和优化课程体系。为了进一步规范毕业要求达成情况评价，结合工作实践，对</w:t>
      </w:r>
      <w:r>
        <w:rPr>
          <w:rFonts w:ascii="仿宋" w:eastAsia="仿宋" w:cs="仿宋"/>
          <w:sz w:val="23"/>
          <w:szCs w:val="23"/>
        </w:rPr>
        <w:t>“</w:t>
      </w:r>
      <w:r>
        <w:rPr>
          <w:rFonts w:hint="eastAsia" w:ascii="仿宋" w:eastAsia="仿宋" w:cs="仿宋"/>
          <w:sz w:val="23"/>
          <w:szCs w:val="23"/>
        </w:rPr>
        <w:t>关于毕业要求达成情况的评价实施办法</w:t>
      </w:r>
      <w:r>
        <w:rPr>
          <w:rFonts w:ascii="仿宋" w:eastAsia="仿宋" w:cs="仿宋"/>
          <w:sz w:val="23"/>
          <w:szCs w:val="23"/>
        </w:rPr>
        <w:t>”</w:t>
      </w:r>
      <w:r>
        <w:rPr>
          <w:rFonts w:hint="eastAsia" w:ascii="仿宋" w:eastAsia="仿宋" w:cs="仿宋"/>
          <w:sz w:val="23"/>
          <w:szCs w:val="23"/>
        </w:rPr>
        <w:t>（</w:t>
      </w:r>
      <w:r>
        <w:rPr>
          <w:rFonts w:ascii="仿宋" w:eastAsia="仿宋" w:cs="仿宋"/>
          <w:sz w:val="23"/>
          <w:szCs w:val="23"/>
        </w:rPr>
        <w:t>2018</w:t>
      </w:r>
      <w:r>
        <w:rPr>
          <w:rFonts w:hint="eastAsia" w:ascii="仿宋" w:eastAsia="仿宋" w:cs="仿宋"/>
          <w:sz w:val="23"/>
          <w:szCs w:val="23"/>
        </w:rPr>
        <w:t>年试行）进行修订如下：</w:t>
      </w:r>
      <w:r>
        <w:rPr>
          <w:rFonts w:ascii="仿宋" w:eastAsia="仿宋" w:cs="仿宋"/>
          <w:sz w:val="23"/>
          <w:szCs w:val="23"/>
        </w:rPr>
        <w:t xml:space="preserve"> </w:t>
      </w:r>
    </w:p>
    <w:p>
      <w:pPr>
        <w:pStyle w:val="59"/>
        <w:ind w:firstLine="464"/>
        <w:rPr>
          <w:rFonts w:ascii="仿宋" w:eastAsia="仿宋" w:cs="仿宋"/>
          <w:sz w:val="23"/>
          <w:szCs w:val="23"/>
        </w:rPr>
      </w:pPr>
      <w:r>
        <w:rPr>
          <w:rFonts w:hint="eastAsia" w:ascii="仿宋" w:eastAsia="仿宋" w:cs="仿宋"/>
          <w:sz w:val="23"/>
          <w:szCs w:val="23"/>
        </w:rPr>
        <w:t>第一条</w:t>
      </w:r>
      <w:r>
        <w:rPr>
          <w:rFonts w:ascii="仿宋" w:eastAsia="仿宋" w:cs="仿宋"/>
          <w:sz w:val="23"/>
          <w:szCs w:val="23"/>
        </w:rPr>
        <w:t xml:space="preserve"> </w:t>
      </w:r>
      <w:r>
        <w:rPr>
          <w:rFonts w:hint="eastAsia" w:ascii="仿宋" w:eastAsia="仿宋" w:cs="仿宋"/>
          <w:sz w:val="23"/>
          <w:szCs w:val="23"/>
        </w:rPr>
        <w:t>评价方法</w:t>
      </w:r>
      <w:r>
        <w:rPr>
          <w:rFonts w:ascii="仿宋" w:eastAsia="仿宋" w:cs="仿宋"/>
          <w:sz w:val="23"/>
          <w:szCs w:val="23"/>
        </w:rPr>
        <w:t xml:space="preserve"> </w:t>
      </w:r>
    </w:p>
    <w:p>
      <w:pPr>
        <w:pStyle w:val="59"/>
        <w:ind w:firstLine="464"/>
        <w:rPr>
          <w:rFonts w:ascii="仿宋" w:eastAsia="仿宋" w:cs="仿宋"/>
          <w:sz w:val="23"/>
          <w:szCs w:val="23"/>
        </w:rPr>
      </w:pPr>
      <w:r>
        <w:rPr>
          <w:rFonts w:hint="eastAsia" w:ascii="仿宋" w:eastAsia="仿宋" w:cs="仿宋"/>
          <w:sz w:val="23"/>
          <w:szCs w:val="23"/>
        </w:rPr>
        <w:t>为了从教师与学生两方面了解学生的学习成效，各专业毕业要求达成情况评价采用直接法和间接法进行评价。直接法是通过各门课程目标达成情况分析作为评价数据支撑；间接法是通过应届毕业生调查问卷获得数据支撑。</w:t>
      </w:r>
    </w:p>
    <w:p>
      <w:pPr>
        <w:pStyle w:val="59"/>
        <w:ind w:firstLine="464"/>
        <w:rPr>
          <w:rFonts w:ascii="仿宋" w:eastAsia="仿宋" w:cs="仿宋"/>
          <w:sz w:val="23"/>
          <w:szCs w:val="23"/>
        </w:rPr>
      </w:pPr>
      <w:r>
        <w:rPr>
          <w:rFonts w:hint="eastAsia" w:ascii="仿宋" w:eastAsia="仿宋" w:cs="仿宋"/>
          <w:sz w:val="23"/>
          <w:szCs w:val="23"/>
        </w:rPr>
        <w:t>第二条评价周期及对象</w:t>
      </w:r>
    </w:p>
    <w:p>
      <w:pPr>
        <w:pStyle w:val="59"/>
        <w:ind w:firstLine="464"/>
        <w:rPr>
          <w:rFonts w:ascii="仿宋" w:eastAsia="仿宋" w:cs="仿宋"/>
          <w:sz w:val="23"/>
          <w:szCs w:val="23"/>
        </w:rPr>
      </w:pPr>
      <w:r>
        <w:rPr>
          <w:rFonts w:hint="eastAsia" w:ascii="仿宋" w:eastAsia="仿宋" w:cs="仿宋"/>
          <w:sz w:val="23"/>
          <w:szCs w:val="23"/>
        </w:rPr>
        <w:t>评价周期为每年开展</w:t>
      </w:r>
      <w:r>
        <w:rPr>
          <w:rFonts w:ascii="仿宋" w:eastAsia="仿宋" w:cs="仿宋"/>
          <w:sz w:val="23"/>
          <w:szCs w:val="23"/>
        </w:rPr>
        <w:t>1</w:t>
      </w:r>
      <w:r>
        <w:rPr>
          <w:rFonts w:hint="eastAsia" w:ascii="仿宋" w:eastAsia="仿宋" w:cs="仿宋"/>
          <w:sz w:val="23"/>
          <w:szCs w:val="23"/>
        </w:rPr>
        <w:t>次，评价范围为每届取得毕业资格的全体学生。</w:t>
      </w:r>
    </w:p>
    <w:p>
      <w:pPr>
        <w:pStyle w:val="59"/>
        <w:ind w:firstLine="464"/>
        <w:rPr>
          <w:rFonts w:ascii="仿宋" w:eastAsia="仿宋" w:cs="仿宋"/>
          <w:sz w:val="23"/>
          <w:szCs w:val="23"/>
        </w:rPr>
      </w:pPr>
      <w:r>
        <w:rPr>
          <w:rFonts w:hint="eastAsia" w:ascii="仿宋" w:eastAsia="仿宋" w:cs="仿宋"/>
          <w:sz w:val="23"/>
          <w:szCs w:val="23"/>
        </w:rPr>
        <w:t>第三条评价责任人及机构</w:t>
      </w:r>
      <w:r>
        <w:rPr>
          <w:rFonts w:ascii="仿宋" w:eastAsia="仿宋" w:cs="仿宋"/>
          <w:sz w:val="23"/>
          <w:szCs w:val="23"/>
        </w:rPr>
        <w:t xml:space="preserve"> </w:t>
      </w:r>
    </w:p>
    <w:p>
      <w:pPr>
        <w:pStyle w:val="59"/>
        <w:ind w:firstLine="465"/>
        <w:rPr>
          <w:rFonts w:ascii="仿宋" w:eastAsia="仿宋" w:cs="仿宋"/>
          <w:sz w:val="23"/>
          <w:szCs w:val="23"/>
        </w:rPr>
      </w:pPr>
      <w:r>
        <w:rPr>
          <w:rFonts w:hint="eastAsia" w:ascii="仿宋" w:eastAsia="仿宋" w:cs="仿宋"/>
          <w:sz w:val="23"/>
          <w:szCs w:val="23"/>
        </w:rPr>
        <w:t>各专业毕业要求达成情况评价由专业负责人召集专业建设委员会组织实施。其中，课程目标达成情况分析由课程负责人和任课教师按照</w:t>
      </w:r>
      <w:r>
        <w:rPr>
          <w:rFonts w:ascii="仿宋" w:eastAsia="仿宋" w:cs="仿宋"/>
          <w:sz w:val="23"/>
          <w:szCs w:val="23"/>
        </w:rPr>
        <w:t>“</w:t>
      </w:r>
      <w:r>
        <w:rPr>
          <w:rFonts w:hint="eastAsia" w:ascii="仿宋" w:eastAsia="仿宋" w:cs="仿宋"/>
          <w:sz w:val="23"/>
          <w:szCs w:val="23"/>
        </w:rPr>
        <w:t>北京化工大学机电工程学院课程目标达成情况评价实施办法（试行）</w:t>
      </w:r>
      <w:r>
        <w:rPr>
          <w:rFonts w:ascii="仿宋" w:eastAsia="仿宋" w:cs="仿宋"/>
          <w:sz w:val="23"/>
          <w:szCs w:val="23"/>
        </w:rPr>
        <w:t>”</w:t>
      </w:r>
      <w:r>
        <w:rPr>
          <w:rFonts w:hint="eastAsia" w:ascii="仿宋" w:eastAsia="仿宋" w:cs="仿宋"/>
          <w:sz w:val="23"/>
          <w:szCs w:val="23"/>
        </w:rPr>
        <w:t>具体落实，应届毕业生调查问卷由主管本科生学生工作的副书记具体落实。专业负责人汇总和分析本专业基于直接法和间接法评价结果，并撰写每届学生的毕业要求达成情况分析报告，找出存在的问题，并提出持续改进的措施，提交学院教学指导委员会审核通过。</w:t>
      </w:r>
    </w:p>
    <w:p>
      <w:pPr>
        <w:pStyle w:val="59"/>
        <w:ind w:firstLine="464"/>
        <w:rPr>
          <w:rFonts w:ascii="仿宋" w:eastAsia="仿宋" w:cs="仿宋"/>
          <w:sz w:val="23"/>
          <w:szCs w:val="23"/>
        </w:rPr>
      </w:pPr>
      <w:r>
        <w:rPr>
          <w:rFonts w:hint="eastAsia" w:ascii="仿宋" w:eastAsia="仿宋" w:cs="仿宋"/>
          <w:sz w:val="23"/>
          <w:szCs w:val="23"/>
        </w:rPr>
        <w:t>毕业要求达成情况评价合格标准由学院教学指导委员会和专业建设委员会根据学校相关要求、专业定位及办学水平等共同研讨商定。</w:t>
      </w:r>
    </w:p>
    <w:p>
      <w:pPr>
        <w:pStyle w:val="59"/>
        <w:ind w:firstLine="464"/>
        <w:rPr>
          <w:rFonts w:ascii="仿宋" w:eastAsia="仿宋" w:cs="仿宋"/>
          <w:sz w:val="23"/>
          <w:szCs w:val="23"/>
        </w:rPr>
      </w:pPr>
      <w:r>
        <w:rPr>
          <w:rFonts w:hint="eastAsia" w:ascii="仿宋" w:eastAsia="仿宋" w:cs="仿宋"/>
          <w:sz w:val="23"/>
          <w:szCs w:val="23"/>
        </w:rPr>
        <w:t>第四条评价标准</w:t>
      </w:r>
    </w:p>
    <w:p>
      <w:pPr>
        <w:pStyle w:val="59"/>
        <w:ind w:firstLine="464"/>
        <w:rPr>
          <w:rFonts w:ascii="仿宋" w:hAnsi="Times New Roman" w:eastAsia="仿宋" w:cs="仿宋"/>
          <w:sz w:val="23"/>
          <w:szCs w:val="23"/>
        </w:rPr>
      </w:pPr>
      <w:r>
        <w:rPr>
          <w:rFonts w:hint="eastAsia" w:ascii="仿宋" w:eastAsia="仿宋" w:cs="仿宋"/>
          <w:sz w:val="23"/>
          <w:szCs w:val="23"/>
        </w:rPr>
        <w:t>评价结果的达成标准：根据学校关于普通本科学生取得学位的规定学生在修读课程时，学分绩点达到</w:t>
      </w:r>
      <w:r>
        <w:rPr>
          <w:rFonts w:ascii="仿宋" w:eastAsia="仿宋" w:cs="仿宋"/>
          <w:sz w:val="23"/>
          <w:szCs w:val="23"/>
        </w:rPr>
        <w:t>2.0</w:t>
      </w:r>
      <w:r>
        <w:rPr>
          <w:rFonts w:hint="eastAsia" w:ascii="仿宋" w:eastAsia="仿宋" w:cs="仿宋"/>
          <w:sz w:val="23"/>
          <w:szCs w:val="23"/>
        </w:rPr>
        <w:t>（</w:t>
      </w:r>
      <w:r>
        <w:rPr>
          <w:rFonts w:ascii="仿宋" w:eastAsia="仿宋" w:cs="仿宋"/>
          <w:sz w:val="23"/>
          <w:szCs w:val="23"/>
        </w:rPr>
        <w:t>68</w:t>
      </w:r>
      <w:r>
        <w:rPr>
          <w:rFonts w:ascii="Times New Roman" w:hAnsi="Times New Roman" w:eastAsia="仿宋" w:cs="Times New Roman"/>
          <w:sz w:val="23"/>
          <w:szCs w:val="23"/>
        </w:rPr>
        <w:t>~</w:t>
      </w:r>
      <w:r>
        <w:rPr>
          <w:rFonts w:ascii="仿宋" w:hAnsi="Times New Roman" w:eastAsia="仿宋" w:cs="仿宋"/>
          <w:sz w:val="23"/>
          <w:szCs w:val="23"/>
        </w:rPr>
        <w:t>71</w:t>
      </w:r>
      <w:r>
        <w:rPr>
          <w:rFonts w:hint="eastAsia" w:ascii="仿宋" w:hAnsi="Times New Roman" w:eastAsia="仿宋" w:cs="仿宋"/>
          <w:sz w:val="23"/>
          <w:szCs w:val="23"/>
        </w:rPr>
        <w:t>分）以上。由学院教学指导委员会、教研室、专业负责人共同研讨，毕业要求的达成评价合格标准设定为</w:t>
      </w:r>
      <w:r>
        <w:rPr>
          <w:rFonts w:ascii="仿宋" w:hAnsi="Times New Roman" w:eastAsia="仿宋" w:cs="仿宋"/>
          <w:sz w:val="23"/>
          <w:szCs w:val="23"/>
        </w:rPr>
        <w:t>0.68</w:t>
      </w:r>
      <w:r>
        <w:rPr>
          <w:rFonts w:hint="eastAsia" w:ascii="仿宋" w:hAnsi="Times New Roman" w:eastAsia="仿宋" w:cs="仿宋"/>
          <w:sz w:val="23"/>
          <w:szCs w:val="23"/>
        </w:rPr>
        <w:t>，即毕业要求达成度评价值大于等于</w:t>
      </w:r>
      <w:r>
        <w:rPr>
          <w:rFonts w:ascii="仿宋" w:hAnsi="Times New Roman" w:eastAsia="仿宋" w:cs="仿宋"/>
          <w:sz w:val="23"/>
          <w:szCs w:val="23"/>
        </w:rPr>
        <w:t>0.68</w:t>
      </w:r>
      <w:r>
        <w:rPr>
          <w:rFonts w:hint="eastAsia" w:ascii="仿宋" w:hAnsi="Times New Roman" w:eastAsia="仿宋" w:cs="仿宋"/>
          <w:sz w:val="23"/>
          <w:szCs w:val="23"/>
        </w:rPr>
        <w:t>为达成，否则为未达成。</w:t>
      </w:r>
    </w:p>
    <w:p>
      <w:pPr>
        <w:pStyle w:val="59"/>
        <w:ind w:firstLine="464"/>
        <w:rPr>
          <w:rFonts w:ascii="仿宋" w:hAnsi="Times New Roman" w:eastAsia="仿宋" w:cs="仿宋"/>
          <w:sz w:val="23"/>
          <w:szCs w:val="23"/>
        </w:rPr>
      </w:pPr>
      <w:r>
        <w:rPr>
          <w:rFonts w:hint="eastAsia" w:ascii="仿宋" w:hAnsi="Times New Roman" w:eastAsia="仿宋" w:cs="仿宋"/>
          <w:sz w:val="23"/>
          <w:szCs w:val="23"/>
        </w:rPr>
        <w:t>毕业要求问卷调查间接评价标准：基于应届毕业生的问卷调查，即非常满意、基本满意、一般满意、基本不满意、非常不满意，每个等级对应的分数分别为</w:t>
      </w:r>
      <w:r>
        <w:rPr>
          <w:rFonts w:ascii="仿宋" w:hAnsi="Times New Roman" w:eastAsia="仿宋" w:cs="仿宋"/>
          <w:sz w:val="23"/>
          <w:szCs w:val="23"/>
        </w:rPr>
        <w:t>5</w:t>
      </w:r>
      <w:r>
        <w:rPr>
          <w:rFonts w:hint="eastAsia" w:ascii="仿宋" w:hAnsi="Times New Roman" w:eastAsia="仿宋" w:cs="仿宋"/>
          <w:sz w:val="23"/>
          <w:szCs w:val="23"/>
        </w:rPr>
        <w:t>、</w:t>
      </w:r>
      <w:r>
        <w:rPr>
          <w:rFonts w:ascii="仿宋" w:hAnsi="Times New Roman" w:eastAsia="仿宋" w:cs="仿宋"/>
          <w:sz w:val="23"/>
          <w:szCs w:val="23"/>
        </w:rPr>
        <w:t>4</w:t>
      </w:r>
      <w:r>
        <w:rPr>
          <w:rFonts w:hint="eastAsia" w:ascii="仿宋" w:hAnsi="Times New Roman" w:eastAsia="仿宋" w:cs="仿宋"/>
          <w:sz w:val="23"/>
          <w:szCs w:val="23"/>
        </w:rPr>
        <w:t>、</w:t>
      </w:r>
      <w:r>
        <w:rPr>
          <w:rFonts w:ascii="仿宋" w:hAnsi="Times New Roman" w:eastAsia="仿宋" w:cs="仿宋"/>
          <w:sz w:val="23"/>
          <w:szCs w:val="23"/>
        </w:rPr>
        <w:t>3</w:t>
      </w:r>
      <w:r>
        <w:rPr>
          <w:rFonts w:hint="eastAsia" w:ascii="仿宋" w:hAnsi="Times New Roman" w:eastAsia="仿宋" w:cs="仿宋"/>
          <w:sz w:val="23"/>
          <w:szCs w:val="23"/>
        </w:rPr>
        <w:t>、</w:t>
      </w:r>
      <w:r>
        <w:rPr>
          <w:rFonts w:ascii="仿宋" w:hAnsi="Times New Roman" w:eastAsia="仿宋" w:cs="仿宋"/>
          <w:sz w:val="23"/>
          <w:szCs w:val="23"/>
        </w:rPr>
        <w:t>2</w:t>
      </w:r>
      <w:r>
        <w:rPr>
          <w:rFonts w:hint="eastAsia" w:ascii="仿宋" w:hAnsi="Times New Roman" w:eastAsia="仿宋" w:cs="仿宋"/>
          <w:sz w:val="23"/>
          <w:szCs w:val="23"/>
        </w:rPr>
        <w:t>、</w:t>
      </w:r>
      <w:r>
        <w:rPr>
          <w:rFonts w:ascii="仿宋" w:hAnsi="Times New Roman" w:eastAsia="仿宋" w:cs="仿宋"/>
          <w:sz w:val="23"/>
          <w:szCs w:val="23"/>
        </w:rPr>
        <w:t>1</w:t>
      </w:r>
      <w:r>
        <w:rPr>
          <w:rFonts w:hint="eastAsia" w:ascii="仿宋" w:hAnsi="Times New Roman" w:eastAsia="仿宋" w:cs="仿宋"/>
          <w:sz w:val="23"/>
          <w:szCs w:val="23"/>
        </w:rPr>
        <w:t>。根据毕业要求指标点评价值大于等于</w:t>
      </w:r>
      <w:r>
        <w:rPr>
          <w:rFonts w:ascii="仿宋" w:hAnsi="Times New Roman" w:eastAsia="仿宋" w:cs="仿宋"/>
          <w:sz w:val="23"/>
          <w:szCs w:val="23"/>
        </w:rPr>
        <w:t>0.68</w:t>
      </w:r>
      <w:r>
        <w:rPr>
          <w:rFonts w:hint="eastAsia" w:ascii="仿宋" w:hAnsi="Times New Roman" w:eastAsia="仿宋" w:cs="仿宋"/>
          <w:sz w:val="23"/>
          <w:szCs w:val="23"/>
        </w:rPr>
        <w:t>即为达成，否则为未达成。</w:t>
      </w:r>
    </w:p>
    <w:p>
      <w:pPr>
        <w:pStyle w:val="59"/>
        <w:ind w:firstLine="464"/>
        <w:rPr>
          <w:rFonts w:ascii="仿宋" w:eastAsia="仿宋" w:cs="仿宋"/>
          <w:sz w:val="23"/>
          <w:szCs w:val="23"/>
        </w:rPr>
      </w:pPr>
      <w:r>
        <w:rPr>
          <w:rFonts w:hint="eastAsia" w:ascii="仿宋" w:hAnsi="Times New Roman" w:eastAsia="仿宋" w:cs="仿宋"/>
          <w:sz w:val="23"/>
          <w:szCs w:val="23"/>
        </w:rPr>
        <w:t>第五条</w:t>
      </w:r>
      <w:r>
        <w:rPr>
          <w:rFonts w:ascii="仿宋" w:hAnsi="Times New Roman" w:eastAsia="仿宋" w:cs="仿宋"/>
          <w:sz w:val="23"/>
          <w:szCs w:val="23"/>
        </w:rPr>
        <w:t xml:space="preserve"> </w:t>
      </w:r>
      <w:r>
        <w:rPr>
          <w:rFonts w:hint="eastAsia" w:ascii="仿宋" w:hAnsi="Times New Roman" w:eastAsia="仿宋" w:cs="仿宋"/>
          <w:sz w:val="23"/>
          <w:szCs w:val="23"/>
        </w:rPr>
        <w:t>评价结果反馈与持续改进</w:t>
      </w:r>
      <w:r>
        <w:rPr>
          <w:rFonts w:hint="eastAsia" w:ascii="仿宋" w:eastAsia="仿宋" w:cs="仿宋"/>
          <w:sz w:val="23"/>
          <w:szCs w:val="23"/>
        </w:rPr>
        <w:t>每年评价工作结束后，各专业负责人组织召开毕业要求达成情况通报会，反馈评价结果并进行数据通报，对课堂教学、实践教学、教学方法、教师队伍、教学资源、教学研究和改革提出持续改进要求，落实持续改进任务。</w:t>
      </w:r>
    </w:p>
    <w:p>
      <w:pPr>
        <w:adjustRightInd w:val="0"/>
        <w:spacing w:line="240" w:lineRule="auto"/>
        <w:ind w:firstLine="0" w:firstLineChars="0"/>
        <w:rPr>
          <w:rFonts w:ascii="仿宋" w:eastAsia="仿宋" w:cs="仿宋" w:hAnsiTheme="minorHAnsi"/>
          <w:color w:val="000000"/>
          <w:sz w:val="23"/>
          <w:szCs w:val="23"/>
        </w:rPr>
      </w:pPr>
    </w:p>
    <w:p>
      <w:pPr>
        <w:adjustRightInd w:val="0"/>
        <w:spacing w:line="240" w:lineRule="auto"/>
        <w:ind w:firstLine="0" w:firstLineChars="0"/>
        <w:jc w:val="right"/>
        <w:rPr>
          <w:rFonts w:ascii="仿宋" w:eastAsia="仿宋" w:cs="仿宋" w:hAnsiTheme="minorHAnsi"/>
          <w:color w:val="000000"/>
          <w:sz w:val="23"/>
          <w:szCs w:val="23"/>
        </w:rPr>
      </w:pPr>
      <w:r>
        <w:rPr>
          <w:rFonts w:hint="eastAsia" w:ascii="仿宋" w:eastAsia="仿宋" w:cs="仿宋" w:hAnsiTheme="minorHAnsi"/>
          <w:color w:val="000000"/>
          <w:sz w:val="23"/>
          <w:szCs w:val="23"/>
        </w:rPr>
        <w:t>机电工程学院</w:t>
      </w:r>
      <w:r>
        <w:rPr>
          <w:rFonts w:ascii="仿宋" w:eastAsia="仿宋" w:cs="仿宋" w:hAnsiTheme="minorHAnsi"/>
          <w:color w:val="000000"/>
          <w:sz w:val="23"/>
          <w:szCs w:val="23"/>
        </w:rPr>
        <w:t xml:space="preserve"> </w:t>
      </w:r>
    </w:p>
    <w:p>
      <w:pPr>
        <w:adjustRightInd w:val="0"/>
        <w:spacing w:line="240" w:lineRule="auto"/>
        <w:ind w:firstLine="0" w:firstLineChars="0"/>
        <w:jc w:val="right"/>
        <w:rPr>
          <w:rFonts w:ascii="仿宋" w:eastAsia="仿宋" w:cs="仿宋" w:hAnsiTheme="minorHAnsi"/>
          <w:color w:val="000000"/>
          <w:sz w:val="23"/>
          <w:szCs w:val="23"/>
        </w:rPr>
      </w:pPr>
      <w:r>
        <w:rPr>
          <w:rFonts w:ascii="仿宋" w:eastAsia="仿宋" w:cs="仿宋" w:hAnsiTheme="minorHAnsi"/>
          <w:color w:val="000000"/>
          <w:sz w:val="23"/>
          <w:szCs w:val="23"/>
        </w:rPr>
        <w:t xml:space="preserve">2021-5-20 </w:t>
      </w:r>
    </w:p>
    <w:p>
      <w:pPr>
        <w:adjustRightInd w:val="0"/>
        <w:spacing w:line="240" w:lineRule="auto"/>
        <w:ind w:firstLine="0" w:firstLineChars="0"/>
        <w:rPr>
          <w:rFonts w:ascii="仿宋" w:eastAsia="仿宋" w:cs="仿宋" w:hAnsiTheme="minorHAnsi"/>
          <w:color w:val="000000"/>
          <w:sz w:val="23"/>
          <w:szCs w:val="23"/>
        </w:rPr>
      </w:pPr>
      <w:r>
        <w:rPr>
          <w:rFonts w:hint="eastAsia" w:ascii="仿宋" w:eastAsia="仿宋" w:cs="仿宋" w:hAnsiTheme="minorHAnsi"/>
          <w:color w:val="000000"/>
          <w:sz w:val="23"/>
          <w:szCs w:val="23"/>
        </w:rPr>
        <w:t>附件</w:t>
      </w:r>
      <w:r>
        <w:rPr>
          <w:rFonts w:ascii="仿宋" w:eastAsia="仿宋" w:cs="仿宋" w:hAnsiTheme="minorHAnsi"/>
          <w:color w:val="000000"/>
          <w:sz w:val="23"/>
          <w:szCs w:val="23"/>
        </w:rPr>
        <w:t>1xxx</w:t>
      </w:r>
      <w:r>
        <w:rPr>
          <w:rFonts w:hint="eastAsia" w:ascii="仿宋" w:eastAsia="仿宋" w:cs="仿宋" w:hAnsiTheme="minorHAnsi"/>
          <w:color w:val="000000"/>
          <w:sz w:val="23"/>
          <w:szCs w:val="23"/>
        </w:rPr>
        <w:t>届</w:t>
      </w:r>
      <w:r>
        <w:rPr>
          <w:rFonts w:ascii="仿宋" w:eastAsia="仿宋" w:cs="仿宋" w:hAnsiTheme="minorHAnsi"/>
          <w:color w:val="000000"/>
          <w:sz w:val="23"/>
          <w:szCs w:val="23"/>
        </w:rPr>
        <w:t>xxx</w:t>
      </w:r>
      <w:r>
        <w:rPr>
          <w:rFonts w:hint="eastAsia" w:ascii="仿宋" w:eastAsia="仿宋" w:cs="仿宋" w:hAnsiTheme="minorHAnsi"/>
          <w:color w:val="000000"/>
          <w:sz w:val="23"/>
          <w:szCs w:val="23"/>
        </w:rPr>
        <w:t>专业毕业生毕业要求指标点达成情况评价表（直接法）</w:t>
      </w:r>
    </w:p>
    <w:p>
      <w:pPr>
        <w:ind w:right="920" w:firstLine="0" w:firstLineChars="0"/>
        <w:rPr>
          <w:rFonts w:ascii="仿宋" w:eastAsia="仿宋" w:cs="仿宋" w:hAnsiTheme="minorHAnsi"/>
          <w:color w:val="000000"/>
          <w:sz w:val="23"/>
          <w:szCs w:val="23"/>
        </w:rPr>
      </w:pPr>
      <w:r>
        <w:rPr>
          <w:rFonts w:hint="eastAsia" w:ascii="仿宋" w:eastAsia="仿宋" w:cs="仿宋" w:hAnsiTheme="minorHAnsi"/>
          <w:color w:val="000000"/>
          <w:sz w:val="23"/>
          <w:szCs w:val="23"/>
        </w:rPr>
        <w:t>附件</w:t>
      </w:r>
      <w:r>
        <w:rPr>
          <w:rFonts w:ascii="仿宋" w:eastAsia="仿宋" w:cs="仿宋" w:hAnsiTheme="minorHAnsi"/>
          <w:color w:val="000000"/>
          <w:sz w:val="23"/>
          <w:szCs w:val="23"/>
        </w:rPr>
        <w:t>2xxx</w:t>
      </w:r>
      <w:r>
        <w:rPr>
          <w:rFonts w:hint="eastAsia" w:ascii="仿宋" w:eastAsia="仿宋" w:cs="仿宋" w:hAnsiTheme="minorHAnsi"/>
          <w:color w:val="000000"/>
          <w:sz w:val="23"/>
          <w:szCs w:val="23"/>
        </w:rPr>
        <w:t>届</w:t>
      </w:r>
      <w:r>
        <w:rPr>
          <w:rFonts w:ascii="仿宋" w:eastAsia="仿宋" w:cs="仿宋" w:hAnsiTheme="minorHAnsi"/>
          <w:color w:val="000000"/>
          <w:sz w:val="23"/>
          <w:szCs w:val="23"/>
        </w:rPr>
        <w:t>xxx</w:t>
      </w:r>
      <w:r>
        <w:rPr>
          <w:rFonts w:hint="eastAsia" w:ascii="仿宋" w:eastAsia="仿宋" w:cs="仿宋" w:hAnsiTheme="minorHAnsi"/>
          <w:color w:val="000000"/>
          <w:sz w:val="23"/>
          <w:szCs w:val="23"/>
        </w:rPr>
        <w:t>专业毕业生毕业要求达成情况评价结果统计</w:t>
      </w:r>
    </w:p>
    <w:p>
      <w:pPr>
        <w:ind w:right="920" w:firstLine="0" w:firstLineChars="0"/>
        <w:rPr>
          <w:rFonts w:ascii="仿宋" w:eastAsia="仿宋" w:cs="仿宋" w:hAnsiTheme="minorHAnsi"/>
          <w:color w:val="000000"/>
          <w:sz w:val="23"/>
          <w:szCs w:val="23"/>
        </w:rPr>
      </w:pPr>
    </w:p>
    <w:p>
      <w:pPr>
        <w:ind w:right="920" w:firstLine="0" w:firstLineChars="0"/>
        <w:rPr>
          <w:rFonts w:ascii="仿宋" w:eastAsia="仿宋" w:cs="仿宋" w:hAnsiTheme="minorHAnsi"/>
          <w:color w:val="000000"/>
          <w:sz w:val="23"/>
          <w:szCs w:val="23"/>
        </w:rPr>
      </w:pPr>
    </w:p>
    <w:p>
      <w:pPr>
        <w:ind w:right="920" w:firstLine="0" w:firstLineChars="0"/>
        <w:rPr>
          <w:rFonts w:ascii="仿宋" w:eastAsia="仿宋" w:cs="仿宋" w:hAnsiTheme="minorHAnsi"/>
          <w:color w:val="000000"/>
          <w:sz w:val="23"/>
          <w:szCs w:val="23"/>
        </w:rPr>
      </w:pPr>
    </w:p>
    <w:p>
      <w:pPr>
        <w:spacing w:line="240" w:lineRule="auto"/>
        <w:ind w:right="919" w:firstLine="0" w:firstLineChars="0"/>
        <w:rPr>
          <w:rFonts w:hint="eastAsia" w:ascii="等线" w:hAnsi="等线" w:eastAsia="等线"/>
          <w:sz w:val="21"/>
          <w:szCs w:val="21"/>
        </w:rPr>
      </w:pPr>
      <w:r>
        <w:rPr>
          <w:rFonts w:ascii="仿宋" w:eastAsia="仿宋" w:cs="仿宋" w:hAnsiTheme="minorHAnsi"/>
          <w:color w:val="000000"/>
          <w:sz w:val="23"/>
          <w:szCs w:val="23"/>
        </w:rPr>
        <w:object>
          <v:shape id="_x0000_i1025" o:spt="75" type="#_x0000_t75" style="height:45pt;width:64.5pt;" o:ole="t" filled="f" o:preferrelative="t" stroked="f" coordsize="21600,21600">
            <v:path/>
            <v:fill on="f" focussize="0,0"/>
            <v:stroke on="f" joinstyle="miter"/>
            <v:imagedata r:id="rId9" o:title=""/>
            <o:lock v:ext="edit" aspectratio="t"/>
            <w10:wrap type="none"/>
            <w10:anchorlock/>
          </v:shape>
          <o:OLEObject Type="Embed" ProgID="AcroExch.Document.11" ShapeID="_x0000_i1025" DrawAspect="Icon" ObjectID="_1468075725" r:id="rId8">
            <o:LockedField>false</o:LockedField>
          </o:OLEObject>
        </w:object>
      </w:r>
      <w:bookmarkStart w:id="0" w:name="_GoBack"/>
      <w:bookmarkEnd w:id="0"/>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9783349"/>
    <w:rsid w:val="0C086C75"/>
    <w:rsid w:val="333724DC"/>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2023-12-08T15:56:29Z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