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88" name="直接连接符 88"/>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N3q2VX0AQAAvg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55"/>
        <w:spacing w:before="312" w:after="0" w:afterLines="0"/>
        <w:ind w:firstLine="643"/>
      </w:pPr>
      <w:bookmarkStart w:id="0" w:name="_Toc17157"/>
      <w:r>
        <w:rPr>
          <w:rFonts w:hint="eastAsia"/>
        </w:rPr>
        <w:t>机电</w:t>
      </w:r>
      <w:r>
        <w:t>工程学院</w:t>
      </w:r>
      <w:r>
        <w:rPr>
          <w:rFonts w:hint="eastAsia"/>
        </w:rPr>
        <w:t>关于本科教学质量评价</w:t>
      </w:r>
      <w:bookmarkEnd w:id="0"/>
    </w:p>
    <w:p>
      <w:pPr>
        <w:pStyle w:val="55"/>
        <w:spacing w:before="0" w:beforeLines="0" w:after="312"/>
        <w:ind w:firstLine="643"/>
      </w:pPr>
      <w:bookmarkStart w:id="1" w:name="_Toc19006"/>
      <w:r>
        <w:rPr>
          <w:rFonts w:hint="eastAsia"/>
        </w:rPr>
        <w:t>与持续改进实施办法</w:t>
      </w:r>
      <w:bookmarkEnd w:id="1"/>
    </w:p>
    <w:p>
      <w:pPr>
        <w:ind w:firstLine="482"/>
      </w:pPr>
      <w:r>
        <w:rPr>
          <w:b/>
        </w:rPr>
        <w:t>第一条</w:t>
      </w:r>
      <w:r>
        <w:t xml:space="preserve"> </w:t>
      </w:r>
      <w:r>
        <w:rPr>
          <w:rFonts w:hint="eastAsia"/>
        </w:rPr>
        <w:t>为</w:t>
      </w:r>
      <w:r>
        <w:t>进一步贯彻落实教育部</w:t>
      </w:r>
      <w:r>
        <w:rPr>
          <w:rFonts w:hint="eastAsia"/>
        </w:rPr>
        <w:t>《关于进一步加强高等学校本科教学工作的若干意见》、《关于进一步深化本科教学改革全面提高教学质量的若干意见》、《关于全面提高高等教育质量的若干意见》等文件精神，</w:t>
      </w:r>
      <w:r>
        <w:t>进一步完善我校本科教学质量评价工作体系，规范评价与反馈工作程序，形成运行、评价、反馈、改进的质量管理闭环，</w:t>
      </w:r>
      <w:r>
        <w:rPr>
          <w:rFonts w:hint="eastAsia"/>
        </w:rPr>
        <w:t>提高本科教学水平和人才培养质量，结合学校、学院和各专业的实际，制定本规定。</w:t>
      </w:r>
    </w:p>
    <w:p>
      <w:pPr>
        <w:ind w:firstLine="482"/>
      </w:pPr>
      <w:r>
        <w:rPr>
          <w:b/>
        </w:rPr>
        <w:t>第二条</w:t>
      </w:r>
      <w:r>
        <w:t xml:space="preserve"> 学</w:t>
      </w:r>
      <w:r>
        <w:rPr>
          <w:rFonts w:hint="eastAsia"/>
        </w:rPr>
        <w:t>院</w:t>
      </w:r>
      <w:r>
        <w:t>本科教学质量评价工作遵循全程性原则</w:t>
      </w:r>
      <w:r>
        <w:rPr>
          <w:rFonts w:hint="eastAsia"/>
        </w:rPr>
        <w:t>、目标导向原则和</w:t>
      </w:r>
      <w:r>
        <w:t>多样性原则。</w:t>
      </w:r>
    </w:p>
    <w:p>
      <w:pPr>
        <w:ind w:firstLine="480"/>
      </w:pPr>
      <w:r>
        <w:rPr>
          <w:rFonts w:asciiTheme="minorEastAsia" w:hAnsiTheme="minorEastAsia" w:eastAsiaTheme="minorEastAsia"/>
          <w:b/>
          <w:bCs/>
        </w:rPr>
        <w:t>全程性原则：</w:t>
      </w:r>
      <w:r>
        <w:t>对课程的评价应贯穿课程教学全过程，既要包含期初评价、期中评价、期末评价等重要的过程节点评价，又要做好随机实时评价；对教师的评价应覆盖教学生涯全过程，既要重视对青年教师的评价，又要重视对教授、副教授的评价；对学生的评价应延伸质量展现全过程， 既要做好在校期间的整体评价，又要关注毕业五年左右时间的培养目标达成评价。</w:t>
      </w:r>
    </w:p>
    <w:p>
      <w:pPr>
        <w:ind w:firstLine="480"/>
      </w:pPr>
      <w:r>
        <w:rPr>
          <w:rFonts w:hint="eastAsia" w:asciiTheme="minorEastAsia" w:hAnsiTheme="minorEastAsia" w:eastAsiaTheme="minorEastAsia"/>
          <w:b/>
          <w:bCs/>
        </w:rPr>
        <w:t>目标导向原则：</w:t>
      </w:r>
      <w:r>
        <w:rPr>
          <w:rFonts w:hint="eastAsia"/>
        </w:rPr>
        <w:t>课程目标达成情况的评价要清楚地聚焦在学生在完成学习过程后所能达成的最终学习成果。教师在教学活动中制定具有挑战性的执行标准，以鼓励学生深度学习，促进更成功的学习。以最终课程目标（最终学习成果或顶峰成果）为起点，反向进行课程设计，开展教学活动，并注重在教学活动过程中考核和评价。</w:t>
      </w:r>
    </w:p>
    <w:p>
      <w:pPr>
        <w:ind w:firstLine="480"/>
      </w:pPr>
      <w:r>
        <w:rPr>
          <w:rFonts w:asciiTheme="minorEastAsia" w:hAnsiTheme="minorEastAsia" w:eastAsiaTheme="minorEastAsia"/>
          <w:b/>
          <w:bCs/>
        </w:rPr>
        <w:t>多样性原则：</w:t>
      </w:r>
      <w:r>
        <w:t>充分发挥不同评价主体在评价工作中的优势和特色，创建一个以学生评价为主渠道，其他校内评价与</w:t>
      </w:r>
      <w:r>
        <w:rPr>
          <w:rFonts w:hint="eastAsia"/>
        </w:rPr>
        <w:t>毕业生</w:t>
      </w:r>
      <w:r>
        <w:t>评价有效集成的质量评价体系。</w:t>
      </w:r>
    </w:p>
    <w:p>
      <w:pPr>
        <w:ind w:firstLine="482"/>
      </w:pPr>
      <w:r>
        <w:rPr>
          <w:b/>
        </w:rPr>
        <w:t>第三条</w:t>
      </w:r>
      <w:r>
        <w:t xml:space="preserve"> </w:t>
      </w:r>
      <w:r>
        <w:rPr>
          <w:rFonts w:hint="eastAsia"/>
        </w:rPr>
        <w:t>学院</w:t>
      </w:r>
      <w:r>
        <w:t>本科教学持续改进工作遵循针对性原则和发展性原则。</w:t>
      </w:r>
    </w:p>
    <w:p>
      <w:pPr>
        <w:ind w:firstLine="480"/>
      </w:pPr>
      <w:r>
        <w:rPr>
          <w:rFonts w:asciiTheme="minorEastAsia" w:hAnsiTheme="minorEastAsia" w:eastAsiaTheme="minorEastAsia"/>
          <w:b/>
          <w:bCs/>
        </w:rPr>
        <w:t>针对性原则：</w:t>
      </w:r>
      <w:r>
        <w:rPr>
          <w:rFonts w:hint="eastAsia"/>
        </w:rPr>
        <w:t>以学生为中心，</w:t>
      </w:r>
      <w:r>
        <w:t>凡是在质量监控与评价过程中出现的明显问题，必须有针对性地提出改进目标与方案，并在之后的教学过程中予以重点监控评价，形成闭环。</w:t>
      </w:r>
      <w:r>
        <w:rPr>
          <w:rFonts w:hint="eastAsia"/>
        </w:rPr>
        <w:t>每学期考试结束后，课程负责人都要对课程进行质量评价，并根据课程目标达成情况和课程质量评价中出现的问题，提出改进措施。</w:t>
      </w:r>
    </w:p>
    <w:p>
      <w:pPr>
        <w:ind w:firstLine="480"/>
      </w:pPr>
      <w:r>
        <w:rPr>
          <w:rFonts w:asciiTheme="minorEastAsia" w:hAnsiTheme="minorEastAsia" w:eastAsiaTheme="minorEastAsia"/>
          <w:b/>
          <w:bCs/>
        </w:rPr>
        <w:t>发展性原则：</w:t>
      </w:r>
      <w:r>
        <w:t>持续改进工作应以教师教学能力的发展、教学水平的提高、教学质量的提升为导向，根本目标是实现师生共同发展。</w:t>
      </w:r>
    </w:p>
    <w:p>
      <w:pPr>
        <w:ind w:firstLine="482"/>
      </w:pPr>
      <w:r>
        <w:rPr>
          <w:b/>
        </w:rPr>
        <w:t>第</w:t>
      </w:r>
      <w:r>
        <w:rPr>
          <w:rFonts w:hint="eastAsia"/>
          <w:b/>
        </w:rPr>
        <w:t>四</w:t>
      </w:r>
      <w:r>
        <w:rPr>
          <w:b/>
        </w:rPr>
        <w:t>条</w:t>
      </w:r>
      <w:r>
        <w:t xml:space="preserve"> 学</w:t>
      </w:r>
      <w:r>
        <w:rPr>
          <w:rFonts w:hint="eastAsia"/>
        </w:rPr>
        <w:t>院</w:t>
      </w:r>
      <w:r>
        <w:t>本科教学质量评价与持续改进工作在</w:t>
      </w:r>
      <w:r>
        <w:rPr>
          <w:rFonts w:hint="eastAsia"/>
        </w:rPr>
        <w:t>教学副院长为组长，各系主任为副组长，专业建设委员会</w:t>
      </w:r>
      <w:r>
        <w:t>负责组织与实施</w:t>
      </w:r>
      <w:r>
        <w:rPr>
          <w:rFonts w:hint="eastAsia"/>
        </w:rPr>
        <w:t>，</w:t>
      </w:r>
      <w:r>
        <w:t>负责本</w:t>
      </w:r>
      <w:r>
        <w:rPr>
          <w:rFonts w:hint="eastAsia"/>
        </w:rPr>
        <w:t>专业</w:t>
      </w:r>
      <w:r>
        <w:t>的教学质量评价和持续改进工作。</w:t>
      </w:r>
    </w:p>
    <w:p>
      <w:pPr>
        <w:ind w:firstLine="482"/>
      </w:pPr>
      <w:r>
        <w:rPr>
          <w:b/>
        </w:rPr>
        <w:t>第</w:t>
      </w:r>
      <w:r>
        <w:rPr>
          <w:rFonts w:hint="eastAsia"/>
          <w:b/>
        </w:rPr>
        <w:t>五</w:t>
      </w:r>
      <w:r>
        <w:rPr>
          <w:b/>
        </w:rPr>
        <w:t>条</w:t>
      </w:r>
      <w:r>
        <w:t xml:space="preserve"> 学</w:t>
      </w:r>
      <w:r>
        <w:rPr>
          <w:rFonts w:hint="eastAsia"/>
        </w:rPr>
        <w:t>院</w:t>
      </w:r>
      <w:r>
        <w:t>建立由学生评教制、教学督导制、同行教师与干部听课评议制、教学信息动态汇集制和</w:t>
      </w:r>
      <w:r>
        <w:rPr>
          <w:rFonts w:hint="eastAsia"/>
        </w:rPr>
        <w:t>毕业生</w:t>
      </w:r>
      <w:r>
        <w:t>评价反馈制构成的 “五制并举” 本科教学质量监控与评价体系。</w:t>
      </w:r>
    </w:p>
    <w:p>
      <w:pPr>
        <w:ind w:firstLine="482"/>
      </w:pPr>
      <w:r>
        <w:rPr>
          <w:b/>
        </w:rPr>
        <w:t>第</w:t>
      </w:r>
      <w:r>
        <w:rPr>
          <w:rFonts w:hint="eastAsia"/>
          <w:b/>
        </w:rPr>
        <w:t>六</w:t>
      </w:r>
      <w:r>
        <w:rPr>
          <w:b/>
        </w:rPr>
        <w:t>条</w:t>
      </w:r>
      <w:r>
        <w:rPr>
          <w:rFonts w:hint="eastAsia"/>
        </w:rPr>
        <w:t xml:space="preserve"> </w:t>
      </w:r>
      <w:r>
        <w:t>学期末</w:t>
      </w:r>
      <w:r>
        <w:rPr>
          <w:rFonts w:hint="eastAsia"/>
        </w:rPr>
        <w:t>专业建设委员会</w:t>
      </w:r>
      <w:r>
        <w:t>组织以考试为主要对象的</w:t>
      </w:r>
      <w:r>
        <w:rPr>
          <w:rFonts w:hint="eastAsia"/>
        </w:rPr>
        <w:t>课程目标达成</w:t>
      </w:r>
      <w:r>
        <w:t>性评价，</w:t>
      </w:r>
      <w:r>
        <w:rPr>
          <w:rFonts w:hint="eastAsia"/>
        </w:rPr>
        <w:t>重点</w:t>
      </w:r>
      <w:r>
        <w:t>根据教学大纲，依据平时表现和考试成绩，进行课程目标的达成性评价。最终结合考试成绩分布状况</w:t>
      </w:r>
      <w:r>
        <w:rPr>
          <w:rFonts w:hint="eastAsia"/>
        </w:rPr>
        <w:t>和课程目标的达成度</w:t>
      </w:r>
      <w:r>
        <w:t>完成</w:t>
      </w:r>
      <w:r>
        <w:rPr>
          <w:rFonts w:hint="eastAsia"/>
        </w:rPr>
        <w:t>课程</w:t>
      </w:r>
      <w:r>
        <w:t>质量综合评价</w:t>
      </w:r>
      <w:r>
        <w:rPr>
          <w:rFonts w:hint="eastAsia"/>
        </w:rPr>
        <w:t>，各任课教师根据课程目标的达成情况，提出改进措施并</w:t>
      </w:r>
      <w:r>
        <w:t>在后续教学过程中改进。</w:t>
      </w:r>
      <w:r>
        <w:rPr>
          <w:rFonts w:hint="eastAsia"/>
        </w:rPr>
        <w:t>同时将</w:t>
      </w:r>
      <w:r>
        <w:t>改进计划</w:t>
      </w:r>
      <w:r>
        <w:rPr>
          <w:rFonts w:hint="eastAsia"/>
        </w:rPr>
        <w:t>报告给专业建设委员会，由</w:t>
      </w:r>
      <w:r>
        <w:t>专业建设委员会综合各课程持续改进的意见，进行教学管理</w:t>
      </w:r>
      <w:r>
        <w:rPr>
          <w:rFonts w:hint="eastAsia"/>
        </w:rPr>
        <w:t>及毕业要求</w:t>
      </w:r>
      <w:r>
        <w:t>的持续改进。</w:t>
      </w:r>
    </w:p>
    <w:p>
      <w:pPr>
        <w:ind w:firstLine="482"/>
      </w:pPr>
      <w:r>
        <w:rPr>
          <w:b/>
        </w:rPr>
        <w:t>第</w:t>
      </w:r>
      <w:r>
        <w:rPr>
          <w:rFonts w:hint="eastAsia"/>
          <w:b/>
        </w:rPr>
        <w:t>七</w:t>
      </w:r>
      <w:r>
        <w:rPr>
          <w:b/>
        </w:rPr>
        <w:t>条</w:t>
      </w:r>
      <w:r>
        <w:t xml:space="preserve"> 教学信息员、教学督导员、干部与同行教师应按照相关工作规程实施点上与面上相结合，定向与随机相结合的质量监控与评价工作，并通过网络等多种途径向教务处及学院反馈。</w:t>
      </w:r>
    </w:p>
    <w:p>
      <w:pPr>
        <w:ind w:firstLine="482"/>
      </w:pPr>
      <w:r>
        <w:rPr>
          <w:b/>
        </w:rPr>
        <w:t>第</w:t>
      </w:r>
      <w:r>
        <w:rPr>
          <w:rFonts w:hint="eastAsia"/>
          <w:b/>
        </w:rPr>
        <w:t>八</w:t>
      </w:r>
      <w:r>
        <w:rPr>
          <w:b/>
        </w:rPr>
        <w:t>条</w:t>
      </w:r>
      <w:r>
        <w:t xml:space="preserve"> </w:t>
      </w:r>
      <w:r>
        <w:rPr>
          <w:rFonts w:hint="eastAsia"/>
        </w:rPr>
        <w:t>学院</w:t>
      </w:r>
      <w:r>
        <w:t>鼓励</w:t>
      </w:r>
      <w:r>
        <w:rPr>
          <w:rFonts w:hint="eastAsia"/>
        </w:rPr>
        <w:t>专业</w:t>
      </w:r>
      <w:r>
        <w:t>和教师根据专业特色、所授课程性质与特点，配合教学改革实践自主设置评价指标，自行实施质量评价，促进个性发展。</w:t>
      </w:r>
    </w:p>
    <w:p>
      <w:pPr>
        <w:ind w:firstLine="482"/>
      </w:pPr>
      <w:r>
        <w:rPr>
          <w:b/>
        </w:rPr>
        <w:t>第</w:t>
      </w:r>
      <w:r>
        <w:rPr>
          <w:rFonts w:hint="eastAsia"/>
          <w:b/>
        </w:rPr>
        <w:t>九</w:t>
      </w:r>
      <w:r>
        <w:rPr>
          <w:b/>
        </w:rPr>
        <w:t>条</w:t>
      </w:r>
      <w:r>
        <w:tab/>
      </w:r>
      <w:r>
        <w:t>对于教学评价中反映出的教师教学质量问题，</w:t>
      </w:r>
      <w:r>
        <w:rPr>
          <w:rFonts w:hint="eastAsia"/>
        </w:rPr>
        <w:t>学院和</w:t>
      </w:r>
      <w:r>
        <w:t>相关系应和教师本人共同制定改进方案，在院、系两个层面实施教学能力提升计划。对较为严重的教学质量问题，可暂停其本科教学工作，由学院</w:t>
      </w:r>
      <w:r>
        <w:rPr>
          <w:rFonts w:hint="eastAsia"/>
        </w:rPr>
        <w:t>和专业</w:t>
      </w:r>
      <w:r>
        <w:t>共同制定限期整改方案。</w:t>
      </w:r>
    </w:p>
    <w:p>
      <w:pPr>
        <w:ind w:firstLine="482"/>
      </w:pPr>
      <w:r>
        <w:rPr>
          <w:b/>
        </w:rPr>
        <w:t>第</w:t>
      </w:r>
      <w:r>
        <w:rPr>
          <w:rFonts w:hint="eastAsia"/>
          <w:b/>
        </w:rPr>
        <w:t>十</w:t>
      </w:r>
      <w:r>
        <w:rPr>
          <w:b/>
        </w:rPr>
        <w:t>条</w:t>
      </w:r>
      <w:r>
        <w:t xml:space="preserve"> 对于教学评价中反映出的学生学风问题，及时将相关信息反馈给学工处和相关学院，由</w:t>
      </w:r>
      <w:r>
        <w:rPr>
          <w:rFonts w:hint="eastAsia"/>
        </w:rPr>
        <w:t>辅导员</w:t>
      </w:r>
      <w:r>
        <w:t>和相关</w:t>
      </w:r>
      <w:r>
        <w:rPr>
          <w:rFonts w:hint="eastAsia"/>
        </w:rPr>
        <w:t>专业</w:t>
      </w:r>
      <w:r>
        <w:t>负责实施学风改进提升计划。</w:t>
      </w:r>
    </w:p>
    <w:p>
      <w:pPr>
        <w:widowControl/>
        <w:autoSpaceDE/>
        <w:autoSpaceDN/>
        <w:spacing w:line="240" w:lineRule="auto"/>
        <w:ind w:firstLine="482"/>
      </w:pPr>
      <w:r>
        <w:rPr>
          <w:b/>
        </w:rPr>
        <w:t>第十</w:t>
      </w:r>
      <w:r>
        <w:rPr>
          <w:rFonts w:hint="eastAsia"/>
          <w:b/>
        </w:rPr>
        <w:t>一</w:t>
      </w:r>
      <w:r>
        <w:rPr>
          <w:b/>
        </w:rPr>
        <w:t>条</w:t>
      </w:r>
      <w:r>
        <w:tab/>
      </w:r>
      <w:r>
        <w:t>本办法自发布之日起施行。</w:t>
      </w:r>
    </w:p>
    <w:p>
      <w:pPr>
        <w:ind w:firstLine="480"/>
        <w:rPr>
          <w:kern w:val="2"/>
        </w:rPr>
      </w:pPr>
    </w:p>
    <w:p>
      <w:pPr>
        <w:ind w:firstLine="480"/>
        <w:jc w:val="right"/>
        <w:rPr>
          <w:kern w:val="2"/>
        </w:rPr>
      </w:pPr>
      <w:r>
        <w:rPr>
          <w:rFonts w:hint="eastAsia"/>
          <w:kern w:val="2"/>
        </w:rPr>
        <w:t>机电工程学院</w:t>
      </w:r>
    </w:p>
    <w:p>
      <w:pPr>
        <w:ind w:firstLine="480"/>
        <w:jc w:val="right"/>
        <w:rPr>
          <w:rFonts w:hint="eastAsia" w:ascii="等线" w:hAnsi="等线" w:eastAsia="等线"/>
          <w:sz w:val="21"/>
          <w:szCs w:val="21"/>
        </w:rPr>
      </w:pPr>
      <w:r>
        <w:rPr>
          <w:rFonts w:hint="eastAsia"/>
          <w:kern w:val="2"/>
        </w:rPr>
        <w:t>2018</w:t>
      </w:r>
      <w:r>
        <w:rPr>
          <w:kern w:val="2"/>
        </w:rPr>
        <w:t>.</w:t>
      </w:r>
      <w:r>
        <w:rPr>
          <w:rFonts w:hint="eastAsia"/>
          <w:kern w:val="2"/>
        </w:rPr>
        <w:t>11</w:t>
      </w:r>
      <w:r>
        <w:rPr>
          <w:kern w:val="2"/>
        </w:rPr>
        <w:t>.</w:t>
      </w:r>
      <w:r>
        <w:rPr>
          <w:rFonts w:hint="eastAsia"/>
          <w:kern w:val="2"/>
        </w:rPr>
        <w:t>30</w:t>
      </w:r>
      <w:bookmarkStart w:id="2" w:name="_GoBack"/>
      <w:bookmarkEnd w:id="2"/>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333724DC"/>
    <w:rsid w:val="39BF510D"/>
    <w:rsid w:val="44C2305C"/>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2023-12-08T15:50:16Z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