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525661624"/>
      <w:bookmarkStart w:id="1" w:name="_Toc21885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F2Yi1X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</w:pPr>
      <w:r>
        <w:rPr>
          <w:rFonts w:hint="eastAsia"/>
        </w:rPr>
        <w:t>机电</w:t>
      </w:r>
      <w:r>
        <w:t>工程学院新入职教师从事本科课程教学的准入制度</w:t>
      </w:r>
      <w:bookmarkEnd w:id="0"/>
      <w:bookmarkEnd w:id="1"/>
    </w:p>
    <w:p>
      <w:pPr>
        <w:ind w:firstLine="480"/>
      </w:pPr>
      <w:r>
        <w:t>为了保证本科教育教学质量，现对新入职教师实行本科课程教学准入制度。</w:t>
      </w:r>
    </w:p>
    <w:p>
      <w:pPr>
        <w:ind w:firstLine="482"/>
        <w:rPr>
          <w:b/>
          <w:bCs/>
          <w:kern w:val="2"/>
          <w:sz w:val="32"/>
          <w:szCs w:val="32"/>
        </w:rPr>
      </w:pPr>
      <w:r>
        <w:rPr>
          <w:b/>
          <w:bCs/>
          <w:kern w:val="2"/>
        </w:rPr>
        <w:t xml:space="preserve">第一条 </w:t>
      </w:r>
      <w:r>
        <w:rPr>
          <w:bCs/>
          <w:kern w:val="2"/>
        </w:rPr>
        <w:t>本制度适用的新入职教师范围</w:t>
      </w:r>
    </w:p>
    <w:p>
      <w:pPr>
        <w:ind w:firstLine="480"/>
      </w:pPr>
      <w:r>
        <w:t>（1）拟聘为</w:t>
      </w:r>
      <w:r>
        <w:rPr>
          <w:color w:val="000000"/>
        </w:rPr>
        <w:t>专任教师、未取得高校教师资格证的新进教师</w:t>
      </w:r>
      <w:r>
        <w:t>；</w:t>
      </w:r>
    </w:p>
    <w:p>
      <w:pPr>
        <w:ind w:firstLine="480"/>
      </w:pPr>
      <w:r>
        <w:t>（2）未取得</w:t>
      </w:r>
      <w:r>
        <w:rPr>
          <w:color w:val="000000"/>
        </w:rPr>
        <w:t>高校教师资格证</w:t>
      </w:r>
      <w:r>
        <w:t xml:space="preserve">或未独立承担过本科课程教学的新调入教师； </w:t>
      </w:r>
    </w:p>
    <w:p>
      <w:pPr>
        <w:ind w:firstLine="480"/>
      </w:pPr>
      <w:r>
        <w:t>（3）新引进到教学科研岗位、未独立开展过本科课程教学的各类人才。</w:t>
      </w:r>
    </w:p>
    <w:p>
      <w:pPr>
        <w:ind w:firstLine="482"/>
      </w:pPr>
      <w:r>
        <w:rPr>
          <w:b/>
          <w:bCs/>
        </w:rPr>
        <w:t>第二条</w:t>
      </w:r>
      <w:r>
        <w:t> 新入职教师需参加由“高校教师教学发展中心”和“北京化工大学教师发展中心”组织的各类培训，教育教学基本素质和能力测试合格，方能进行助课。</w:t>
      </w:r>
    </w:p>
    <w:p>
      <w:pPr>
        <w:ind w:firstLine="482"/>
      </w:pPr>
      <w:r>
        <w:rPr>
          <w:b/>
          <w:bCs/>
        </w:rPr>
        <w:t xml:space="preserve">第三条 </w:t>
      </w:r>
      <w:r>
        <w:t>为促进新进教师提高教育教学技能，创新教学理念和方法，提升职业道德素质，更好地发挥教学“传、帮、带”的作用，结合学院实际情况，所有新入职教师须在两年内提出助课申请，且完成一轮由学院指定的专业核心课程的助课工作。</w:t>
      </w:r>
    </w:p>
    <w:p>
      <w:pPr>
        <w:ind w:firstLine="480"/>
      </w:pPr>
      <w:r>
        <w:t>助课工作主要包括：</w:t>
      </w:r>
    </w:p>
    <w:p>
      <w:pPr>
        <w:ind w:firstLine="480"/>
      </w:pPr>
      <w:r>
        <w:t>（1）熟悉教学大纲、教学日历和教案的编制，教材选取，授课过程等各个教学环节；</w:t>
      </w:r>
    </w:p>
    <w:p>
      <w:pPr>
        <w:ind w:firstLine="480"/>
      </w:pPr>
      <w:r>
        <w:t>（2）随堂听课不少于助课课程总学时的60%（由主讲教师对新入职教师助课情况进行考勤，并作为能否进行随堂试讲的主要依据）；</w:t>
      </w:r>
    </w:p>
    <w:p>
      <w:pPr>
        <w:ind w:firstLine="480"/>
      </w:pPr>
      <w:r>
        <w:t>（3）协助主讲教师进行课程辅导、答疑、批改作业、指导实验等工作；</w:t>
      </w:r>
    </w:p>
    <w:p>
      <w:pPr>
        <w:ind w:firstLine="480"/>
      </w:pPr>
      <w:r>
        <w:t>（4）协助组织课程考试，参加助课课程的试卷试做及试卷评阅等工作。</w:t>
      </w:r>
    </w:p>
    <w:p>
      <w:pPr>
        <w:ind w:firstLine="480"/>
      </w:pPr>
      <w:r>
        <w:rPr>
          <w:shd w:val="clear" w:color="auto" w:fill="FFFFFF"/>
        </w:rPr>
        <w:t>在条件具备时，新入职教师可在主讲教师亲临课堂指导下讲授部分实验课及习题课，逐步提高教学能力和教学水平。</w:t>
      </w:r>
    </w:p>
    <w:p>
      <w:pPr>
        <w:ind w:firstLine="482"/>
      </w:pPr>
      <w:r>
        <w:rPr>
          <w:b/>
          <w:bCs/>
        </w:rPr>
        <w:t>第四条</w:t>
      </w:r>
      <w:r>
        <w:t> 助课结束后，主讲教师对助课教师的表现给出客观公平的评价，同时学院组织助课教师进行试讲，由学院教学指导委员会成员和相关核心课程团队教师组成专家组，对试讲效果进行评价，最终给出助课是否合格的结论。</w:t>
      </w:r>
    </w:p>
    <w:p>
      <w:pPr>
        <w:ind w:firstLine="482"/>
      </w:pPr>
      <w:r>
        <w:rPr>
          <w:b/>
          <w:bCs/>
        </w:rPr>
        <w:t xml:space="preserve">第五条 </w:t>
      </w:r>
      <w:r>
        <w:rPr>
          <w:bCs/>
        </w:rPr>
        <w:t>新入职教师</w:t>
      </w:r>
      <w:r>
        <w:t>助课合格</w:t>
      </w:r>
      <w:r>
        <w:rPr>
          <w:rFonts w:hint="eastAsia"/>
        </w:rPr>
        <w:t>，</w:t>
      </w:r>
      <w:r>
        <w:t>且</w:t>
      </w:r>
      <w:r>
        <w:rPr>
          <w:bCs/>
        </w:rPr>
        <w:t>获得</w:t>
      </w:r>
      <w:r>
        <w:t>高等学校教师资格证后，方可承担本科课程的课堂教学任务。</w:t>
      </w:r>
    </w:p>
    <w:p>
      <w:pPr>
        <w:ind w:firstLine="482"/>
        <w:rPr>
          <w:bCs/>
        </w:rPr>
      </w:pPr>
      <w:r>
        <w:rPr>
          <w:b/>
          <w:bCs/>
          <w:highlight w:val="yellow"/>
        </w:rPr>
        <w:t>第六条</w:t>
      </w:r>
      <w:r>
        <w:rPr>
          <w:bCs/>
          <w:highlight w:val="yellow"/>
        </w:rPr>
        <w:t xml:space="preserve"> 新入职教师首次独立承担本科课堂教学任务，学院和教务处将安排不少于3位专家现场听课，并组织学生进行教学效果评价。课程结束后，学院根据专家听课意见和学生评教意见，给出授课考察是否合格的结论。</w:t>
      </w:r>
    </w:p>
    <w:p>
      <w:pPr>
        <w:ind w:firstLine="482"/>
        <w:rPr>
          <w:bCs/>
        </w:rPr>
      </w:pPr>
      <w:r>
        <w:rPr>
          <w:rFonts w:hint="eastAsia"/>
          <w:b/>
          <w:bCs/>
        </w:rPr>
        <w:t>第</w:t>
      </w:r>
      <w:r>
        <w:rPr>
          <w:b/>
          <w:bCs/>
        </w:rPr>
        <w:t>七条</w:t>
      </w:r>
      <w:r>
        <w:rPr>
          <w:rFonts w:hint="eastAsia"/>
          <w:b/>
          <w:bCs/>
        </w:rPr>
        <w:t xml:space="preserve"> </w:t>
      </w:r>
      <w:r>
        <w:rPr>
          <w:bCs/>
        </w:rPr>
        <w:t>新入职教师</w:t>
      </w:r>
      <w:r>
        <w:rPr>
          <w:rFonts w:hint="eastAsia"/>
          <w:bCs/>
        </w:rPr>
        <w:t>是否在</w:t>
      </w:r>
      <w:r>
        <w:rPr>
          <w:bCs/>
        </w:rPr>
        <w:t>规定时间内完成助课工作</w:t>
      </w:r>
      <w:r>
        <w:rPr>
          <w:rFonts w:hint="eastAsia"/>
          <w:bCs/>
        </w:rPr>
        <w:t>将作为“</w:t>
      </w:r>
      <w:r>
        <w:rPr>
          <w:rFonts w:hint="eastAsia"/>
        </w:rPr>
        <w:t>首聘期考核是否</w:t>
      </w:r>
      <w:r>
        <w:t>合格的重要依</w:t>
      </w:r>
      <w:r>
        <w:rPr>
          <w:bCs/>
        </w:rPr>
        <w:t>据</w:t>
      </w:r>
      <w:r>
        <w:rPr>
          <w:rFonts w:hint="eastAsia"/>
          <w:bCs/>
        </w:rPr>
        <w:t>”。</w:t>
      </w:r>
    </w:p>
    <w:p>
      <w:pPr>
        <w:ind w:firstLine="480"/>
        <w:rPr>
          <w:bCs/>
        </w:rPr>
      </w:pPr>
      <w:r>
        <w:rPr>
          <w:bCs/>
        </w:rPr>
        <w:t>本规定自2019年春季学期起施行，最终解释权归学院。</w:t>
      </w:r>
    </w:p>
    <w:p>
      <w:pPr>
        <w:ind w:firstLine="480"/>
        <w:rPr>
          <w:bCs/>
        </w:rPr>
      </w:pPr>
    </w:p>
    <w:p>
      <w:pPr>
        <w:ind w:firstLine="480"/>
        <w:rPr>
          <w:bCs/>
        </w:rPr>
      </w:pPr>
    </w:p>
    <w:p>
      <w:pPr>
        <w:ind w:firstLine="480"/>
        <w:jc w:val="right"/>
        <w:rPr>
          <w:bCs/>
        </w:rPr>
      </w:pPr>
      <w:r>
        <w:rPr>
          <w:rFonts w:hint="eastAsia"/>
          <w:bCs/>
        </w:rPr>
        <w:t xml:space="preserve"> 机电工程学院</w:t>
      </w:r>
    </w:p>
    <w:p>
      <w:pPr>
        <w:ind w:firstLine="480"/>
        <w:jc w:val="right"/>
        <w:rPr>
          <w:rFonts w:hint="eastAsia" w:ascii="等线" w:hAnsi="等线" w:eastAsia="等线"/>
          <w:sz w:val="21"/>
          <w:szCs w:val="21"/>
        </w:rPr>
      </w:pPr>
      <w:r>
        <w:rPr>
          <w:rFonts w:hint="eastAsia"/>
          <w:bCs/>
        </w:rPr>
        <w:t>2018</w:t>
      </w:r>
      <w:r>
        <w:rPr>
          <w:bCs/>
        </w:rPr>
        <w:t>.</w:t>
      </w:r>
      <w:r>
        <w:rPr>
          <w:rFonts w:hint="eastAsia"/>
          <w:bCs/>
        </w:rPr>
        <w:t>11</w:t>
      </w:r>
      <w:r>
        <w:rPr>
          <w:bCs/>
        </w:rPr>
        <w:t>.</w:t>
      </w:r>
      <w:r>
        <w:rPr>
          <w:rFonts w:hint="eastAsia"/>
          <w:bCs/>
        </w:rPr>
        <w:t>30</w:t>
      </w:r>
      <w:bookmarkStart w:id="2" w:name="_GoBack"/>
      <w:bookmarkEnd w:id="2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333724DC"/>
    <w:rsid w:val="417034DA"/>
    <w:rsid w:val="585730FF"/>
    <w:rsid w:val="5E58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2023-12-08T15:51:06Z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