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5000" w:type="pct"/>
        <w:tblCellSpacing w:w="0" w:type="dxa"/>
        <w:tblInd w:w="0" w:type="dxa"/>
        <w:shd w:val="clear" w:color="auto" w:fill="FFFFFF"/>
        <w:tblLayout w:type="autofit"/>
        <w:tblCellMar>
          <w:top w:w="0" w:type="dxa"/>
          <w:left w:w="0" w:type="dxa"/>
          <w:bottom w:w="0" w:type="dxa"/>
          <w:right w:w="0" w:type="dxa"/>
        </w:tblCellMar>
      </w:tblPr>
      <w:tblGrid>
        <w:gridCol w:w="8306"/>
      </w:tblGrid>
      <w:tr>
        <w:tblPrEx>
          <w:shd w:val="clear" w:color="auto" w:fill="FFFFFF"/>
          <w:tblCellMar>
            <w:top w:w="0" w:type="dxa"/>
            <w:left w:w="0" w:type="dxa"/>
            <w:bottom w:w="0" w:type="dxa"/>
            <w:right w:w="0" w:type="dxa"/>
          </w:tblCellMar>
        </w:tblPrEx>
        <w:trPr>
          <w:tblCellSpacing w:w="0" w:type="dxa"/>
        </w:trPr>
        <w:tc>
          <w:tcPr>
            <w:tcW w:w="0" w:type="auto"/>
            <w:shd w:val="clear" w:color="auto" w:fill="FFFFFF"/>
            <w:vAlign w:val="center"/>
          </w:tcPr>
          <w:p>
            <w:pPr>
              <w:autoSpaceDE/>
              <w:autoSpaceDN/>
              <w:spacing w:line="240" w:lineRule="auto"/>
              <w:ind w:firstLine="0" w:firstLineChars="0"/>
              <w:jc w:val="center"/>
              <w:rPr>
                <w:rFonts w:ascii="等线" w:hAnsi="等线" w:eastAsia="华文行楷" w:cs="Times New Roman"/>
                <w:b/>
                <w:color w:val="FF0000"/>
                <w:spacing w:val="80"/>
                <w:kern w:val="2"/>
                <w:sz w:val="56"/>
                <w:szCs w:val="32"/>
              </w:rPr>
            </w:pPr>
            <w:r>
              <w:rPr>
                <w:rFonts w:ascii="等线" w:hAnsi="等线" w:eastAsia="华文行楷" w:cs="Times New Roman"/>
                <w:b/>
                <w:color w:val="FF0000"/>
                <w:spacing w:val="80"/>
                <w:kern w:val="2"/>
                <w:sz w:val="56"/>
                <w:szCs w:val="32"/>
              </w:rPr>
              <w:t>北京化工大学</w:t>
            </w:r>
          </w:p>
          <w:p>
            <w:pPr>
              <w:autoSpaceDE/>
              <w:autoSpaceDN/>
              <w:spacing w:line="240" w:lineRule="auto"/>
              <w:ind w:firstLine="0" w:firstLineChars="0"/>
              <w:jc w:val="center"/>
              <w:rPr>
                <w:rFonts w:ascii="等线" w:hAnsi="等线" w:eastAsia="黑体" w:cs="Times New Roman"/>
                <w:b/>
                <w:color w:val="FF0000"/>
                <w:kern w:val="2"/>
                <w:sz w:val="32"/>
                <w:szCs w:val="36"/>
              </w:rPr>
            </w:pPr>
            <w:r>
              <w:rPr>
                <w:rFonts w:hint="eastAsia" w:ascii="等线" w:hAnsi="等线" w:eastAsia="黑体" w:cs="Times New Roman"/>
                <w:b/>
                <w:color w:val="FF0000"/>
                <w:kern w:val="2"/>
                <w:sz w:val="32"/>
                <w:szCs w:val="36"/>
              </w:rPr>
              <w:t>机电</w:t>
            </w:r>
            <w:r>
              <w:rPr>
                <w:rFonts w:ascii="等线" w:hAnsi="等线" w:eastAsia="黑体" w:cs="Times New Roman"/>
                <w:b/>
                <w:color w:val="FF0000"/>
                <w:kern w:val="2"/>
                <w:sz w:val="32"/>
                <w:szCs w:val="36"/>
              </w:rPr>
              <w:t xml:space="preserve"> 工 程 学 院</w:t>
            </w:r>
          </w:p>
          <w:p>
            <w:pPr>
              <w:autoSpaceDE/>
              <w:autoSpaceDN/>
              <w:spacing w:line="240" w:lineRule="auto"/>
              <w:ind w:left="1027" w:leftChars="428" w:right="962" w:rightChars="401" w:firstLine="0" w:firstLineChars="0"/>
              <w:jc w:val="both"/>
              <w:rPr>
                <w:rFonts w:ascii="等线" w:hAnsi="等线" w:eastAsia="等线" w:cs="Times New Roman"/>
                <w:color w:val="FF0000"/>
                <w:kern w:val="2"/>
                <w:sz w:val="21"/>
              </w:rPr>
            </w:pPr>
            <w:r>
              <w:rPr>
                <w:rFonts w:ascii="等线" w:hAnsi="等线" w:eastAsia="楷体_GB2312" w:cs="Times New Roman"/>
                <w:kern w:val="2"/>
                <w:sz w:val="30"/>
                <w:szCs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19050</wp:posOffset>
                      </wp:positionV>
                      <wp:extent cx="5652135" cy="0"/>
                      <wp:effectExtent l="0" t="19050" r="43815" b="3810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left:0pt;margin-top:1.5pt;height:0pt;width:445.05pt;z-index:251660288;mso-width-relative:page;mso-height-relative:page;" filled="f" stroked="t" coordsize="21600,21600" o:gfxdata="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3oHSdIAAAAEAQAADwAAAAAAAAABACAAAAAiAAAAZHJzL2Rvd25yZXYueG1sUEsBAhQAFAAAAAgA&#10;h07iQKiVpMryAQAAvAMAAA4AAAAAAAAAAQAgAAAAIQEAAGRycy9lMm9Eb2MueG1sUEsFBgAAAAAG&#10;AAYAWQEAAIUFAAAAAA==&#10;">
                      <v:fill on="f" focussize="0,0"/>
                      <v:stroke weight="4.5pt" color="#FF0000" linestyle="thinThick" joinstyle="round"/>
                      <v:imagedata o:title=""/>
                      <o:lock v:ext="edit" aspectratio="f"/>
                    </v:line>
                  </w:pict>
                </mc:Fallback>
              </mc:AlternateContent>
            </w:r>
          </w:p>
          <w:p>
            <w:pPr>
              <w:widowControl/>
              <w:autoSpaceDE/>
              <w:autoSpaceDN/>
              <w:spacing w:line="240" w:lineRule="auto"/>
              <w:ind w:firstLine="0" w:firstLineChars="0"/>
              <w:jc w:val="center"/>
              <w:rPr>
                <w:b/>
                <w:bCs/>
                <w:szCs w:val="24"/>
              </w:rPr>
            </w:pPr>
            <w:r>
              <w:rPr>
                <w:rFonts w:hint="eastAsia"/>
                <w:b/>
                <w:bCs/>
                <w:szCs w:val="24"/>
              </w:rPr>
              <w:t>关于培养方案制定和修订的规定</w:t>
            </w:r>
          </w:p>
        </w:tc>
      </w:tr>
    </w:tbl>
    <w:p>
      <w:pPr>
        <w:widowControl/>
        <w:shd w:val="clear" w:color="auto" w:fill="FFFFFF"/>
        <w:autoSpaceDE/>
        <w:autoSpaceDN/>
        <w:spacing w:line="360" w:lineRule="auto"/>
        <w:ind w:firstLine="480"/>
        <w:jc w:val="both"/>
        <w:rPr>
          <w:rFonts w:cs="Times New Roman"/>
          <w:szCs w:val="24"/>
        </w:rPr>
      </w:pPr>
    </w:p>
    <w:p>
      <w:pPr>
        <w:widowControl/>
        <w:shd w:val="clear" w:color="auto" w:fill="FFFFFF"/>
        <w:autoSpaceDE/>
        <w:autoSpaceDN/>
        <w:spacing w:line="360" w:lineRule="auto"/>
        <w:ind w:firstLine="480"/>
        <w:jc w:val="both"/>
        <w:rPr>
          <w:rFonts w:cs="Times New Roman"/>
          <w:szCs w:val="24"/>
        </w:rPr>
      </w:pPr>
      <w:r>
        <w:rPr>
          <w:rFonts w:hint="eastAsia" w:cs="Times New Roman"/>
          <w:szCs w:val="24"/>
        </w:rPr>
        <w:t>培养方案是专业实施人才培养的纲领性文件，体现人才培养目标与规格，是落实专业定位，组织开展教育教学活动的基本依据。为进一步加强和规范培养方案修订工作，提高人才培养质量，根据学校关于人才培养方案修订的相关要求，结合机电工程学院工作实际，特制定机电工程学院关于专业培养方案修订的管理规定。</w:t>
      </w:r>
    </w:p>
    <w:p>
      <w:pPr>
        <w:widowControl/>
        <w:shd w:val="clear" w:color="auto" w:fill="FFFFFF"/>
        <w:autoSpaceDE/>
        <w:autoSpaceDN/>
        <w:spacing w:line="360" w:lineRule="auto"/>
        <w:ind w:firstLine="482"/>
        <w:jc w:val="both"/>
        <w:rPr>
          <w:sz w:val="18"/>
          <w:szCs w:val="18"/>
        </w:rPr>
      </w:pPr>
      <w:r>
        <w:rPr>
          <w:rFonts w:hint="eastAsia"/>
          <w:b/>
          <w:bCs/>
          <w:szCs w:val="24"/>
        </w:rPr>
        <w:t>一</w:t>
      </w:r>
      <w:r>
        <w:rPr>
          <w:rFonts w:ascii="Times New Roman" w:hAnsi="Times New Roman" w:cs="Times New Roman"/>
          <w:b/>
          <w:bCs/>
          <w:szCs w:val="24"/>
        </w:rPr>
        <w:t xml:space="preserve">. </w:t>
      </w:r>
      <w:r>
        <w:rPr>
          <w:rFonts w:hint="eastAsia" w:cs="Times New Roman"/>
          <w:b/>
          <w:bCs/>
          <w:szCs w:val="24"/>
        </w:rPr>
        <w:t>培养方案修订小组</w:t>
      </w:r>
    </w:p>
    <w:p>
      <w:pPr>
        <w:widowControl/>
        <w:shd w:val="clear" w:color="auto" w:fill="FFFFFF"/>
        <w:autoSpaceDE/>
        <w:autoSpaceDN/>
        <w:spacing w:line="360" w:lineRule="auto"/>
        <w:ind w:firstLine="482"/>
        <w:jc w:val="both"/>
        <w:rPr>
          <w:b/>
          <w:bCs/>
          <w:sz w:val="18"/>
          <w:szCs w:val="18"/>
        </w:rPr>
      </w:pPr>
      <w:r>
        <w:rPr>
          <w:rFonts w:ascii="Times New Roman" w:hAnsi="Times New Roman" w:cs="Times New Roman"/>
          <w:b/>
          <w:bCs/>
          <w:szCs w:val="24"/>
        </w:rPr>
        <w:t xml:space="preserve">1. </w:t>
      </w:r>
      <w:r>
        <w:rPr>
          <w:rFonts w:hint="eastAsia" w:cs="Times New Roman"/>
          <w:b/>
          <w:bCs/>
          <w:szCs w:val="24"/>
        </w:rPr>
        <w:t>领导小组</w:t>
      </w:r>
    </w:p>
    <w:p>
      <w:pPr>
        <w:widowControl/>
        <w:shd w:val="clear" w:color="auto" w:fill="FFFFFF"/>
        <w:autoSpaceDE/>
        <w:autoSpaceDN/>
        <w:spacing w:line="360" w:lineRule="auto"/>
        <w:ind w:firstLine="480"/>
        <w:jc w:val="both"/>
        <w:rPr>
          <w:sz w:val="18"/>
          <w:szCs w:val="18"/>
        </w:rPr>
      </w:pPr>
      <w:r>
        <w:rPr>
          <w:rFonts w:hint="eastAsia" w:cs="Times New Roman"/>
          <w:szCs w:val="24"/>
        </w:rPr>
        <w:t>培养方案修订由学院院长总负责，学院党委书记对培养方案对培养方案修订过程中的思想政治进行负责，具体工作由教学副院长负责执行。</w:t>
      </w:r>
    </w:p>
    <w:p>
      <w:pPr>
        <w:widowControl/>
        <w:shd w:val="clear" w:color="auto" w:fill="FFFFFF"/>
        <w:autoSpaceDE/>
        <w:autoSpaceDN/>
        <w:spacing w:line="360" w:lineRule="auto"/>
        <w:ind w:firstLine="482"/>
        <w:jc w:val="both"/>
        <w:rPr>
          <w:sz w:val="18"/>
          <w:szCs w:val="18"/>
        </w:rPr>
      </w:pPr>
      <w:r>
        <w:rPr>
          <w:rFonts w:ascii="Times New Roman" w:hAnsi="Times New Roman" w:cs="Times New Roman"/>
          <w:b/>
          <w:bCs/>
          <w:szCs w:val="24"/>
        </w:rPr>
        <w:t xml:space="preserve">2. </w:t>
      </w:r>
      <w:r>
        <w:rPr>
          <w:rFonts w:hint="eastAsia" w:cs="Times New Roman"/>
          <w:b/>
          <w:bCs/>
          <w:szCs w:val="24"/>
        </w:rPr>
        <w:t>工作小组及成员</w:t>
      </w:r>
    </w:p>
    <w:p>
      <w:pPr>
        <w:widowControl/>
        <w:shd w:val="clear" w:color="auto" w:fill="FFFFFF"/>
        <w:autoSpaceDE/>
        <w:autoSpaceDN/>
        <w:spacing w:line="360" w:lineRule="auto"/>
        <w:ind w:firstLine="480"/>
        <w:jc w:val="both"/>
        <w:rPr>
          <w:sz w:val="18"/>
          <w:szCs w:val="18"/>
        </w:rPr>
      </w:pPr>
      <w:r>
        <w:rPr>
          <w:rFonts w:hint="eastAsia" w:cs="Times New Roman"/>
          <w:szCs w:val="24"/>
        </w:rPr>
        <w:t>专业负责人组织专业建设委员会组成工作小组，负责专业培养方案的修订工作。</w:t>
      </w:r>
    </w:p>
    <w:p>
      <w:pPr>
        <w:widowControl/>
        <w:shd w:val="clear" w:color="auto" w:fill="FFFFFF"/>
        <w:autoSpaceDE/>
        <w:autoSpaceDN/>
        <w:spacing w:line="360" w:lineRule="auto"/>
        <w:ind w:firstLine="482"/>
        <w:jc w:val="both"/>
        <w:rPr>
          <w:sz w:val="18"/>
          <w:szCs w:val="18"/>
        </w:rPr>
      </w:pPr>
      <w:r>
        <w:rPr>
          <w:rFonts w:ascii="Times New Roman" w:hAnsi="Times New Roman" w:cs="Times New Roman"/>
          <w:b/>
          <w:bCs/>
          <w:szCs w:val="24"/>
        </w:rPr>
        <w:t>3. </w:t>
      </w:r>
      <w:r>
        <w:rPr>
          <w:rFonts w:hint="eastAsia" w:cs="Times New Roman"/>
          <w:b/>
          <w:bCs/>
          <w:szCs w:val="24"/>
        </w:rPr>
        <w:t>审核小组</w:t>
      </w:r>
    </w:p>
    <w:p>
      <w:pPr>
        <w:widowControl/>
        <w:shd w:val="clear" w:color="auto" w:fill="FFFFFF"/>
        <w:autoSpaceDE/>
        <w:autoSpaceDN/>
        <w:spacing w:line="360" w:lineRule="auto"/>
        <w:ind w:firstLine="480"/>
        <w:jc w:val="both"/>
        <w:rPr>
          <w:sz w:val="18"/>
          <w:szCs w:val="18"/>
        </w:rPr>
      </w:pPr>
      <w:r>
        <w:rPr>
          <w:rFonts w:hint="eastAsia" w:cs="Times New Roman"/>
          <w:szCs w:val="24"/>
        </w:rPr>
        <w:t>由教学指导委员会负责人和学院党委书记担任审核小组组长，组员由教学指导委员其他组员组成。教学指导委员会负责审核培养方案的内容，学院党委书记负责审核培养方案的思想政治方向。</w:t>
      </w:r>
    </w:p>
    <w:p>
      <w:pPr>
        <w:widowControl/>
        <w:shd w:val="clear" w:color="auto" w:fill="FFFFFF"/>
        <w:autoSpaceDE/>
        <w:autoSpaceDN/>
        <w:spacing w:line="360" w:lineRule="auto"/>
        <w:ind w:firstLine="482"/>
        <w:jc w:val="both"/>
        <w:rPr>
          <w:sz w:val="18"/>
          <w:szCs w:val="18"/>
        </w:rPr>
      </w:pPr>
      <w:r>
        <w:rPr>
          <w:rFonts w:hint="eastAsia"/>
          <w:b/>
          <w:bCs/>
          <w:szCs w:val="24"/>
        </w:rPr>
        <w:t>二、</w:t>
      </w:r>
      <w:r>
        <w:rPr>
          <w:rFonts w:hint="eastAsia" w:cs="Times New Roman"/>
          <w:b/>
          <w:bCs/>
          <w:szCs w:val="24"/>
        </w:rPr>
        <w:t>修订周期</w:t>
      </w:r>
    </w:p>
    <w:p>
      <w:pPr>
        <w:widowControl/>
        <w:shd w:val="clear" w:color="auto" w:fill="FFFFFF"/>
        <w:autoSpaceDE/>
        <w:autoSpaceDN/>
        <w:spacing w:line="360" w:lineRule="auto"/>
        <w:ind w:firstLine="480"/>
        <w:jc w:val="both"/>
        <w:rPr>
          <w:sz w:val="18"/>
          <w:szCs w:val="18"/>
        </w:rPr>
      </w:pPr>
      <w:r>
        <w:rPr>
          <w:rFonts w:hint="eastAsia" w:cs="Times New Roman"/>
          <w:szCs w:val="24"/>
        </w:rPr>
        <w:t>根据每年的内部评价和外部评价结果，培养方案修订小组召开会议，总结培养方案的合理性和达成度。每四年（或根据学校安排开展）汇总进行修订一次，中间根据实际情况需要可以进行微调。</w:t>
      </w:r>
    </w:p>
    <w:p>
      <w:pPr>
        <w:widowControl/>
        <w:shd w:val="clear" w:color="auto" w:fill="FFFFFF"/>
        <w:autoSpaceDE/>
        <w:autoSpaceDN/>
        <w:spacing w:line="360" w:lineRule="auto"/>
        <w:ind w:firstLine="482"/>
        <w:jc w:val="both"/>
        <w:rPr>
          <w:sz w:val="18"/>
          <w:szCs w:val="18"/>
        </w:rPr>
      </w:pPr>
      <w:r>
        <w:rPr>
          <w:rFonts w:hint="eastAsia"/>
          <w:b/>
          <w:bCs/>
          <w:szCs w:val="24"/>
        </w:rPr>
        <w:t>三、</w:t>
      </w:r>
      <w:r>
        <w:rPr>
          <w:rFonts w:hint="eastAsia" w:cs="Times New Roman"/>
          <w:b/>
          <w:bCs/>
          <w:szCs w:val="24"/>
        </w:rPr>
        <w:t>工作程序</w:t>
      </w:r>
    </w:p>
    <w:p>
      <w:pPr>
        <w:widowControl/>
        <w:shd w:val="clear" w:color="auto" w:fill="FFFFFF"/>
        <w:autoSpaceDE/>
        <w:autoSpaceDN/>
        <w:spacing w:line="360" w:lineRule="auto"/>
        <w:ind w:firstLine="480"/>
        <w:jc w:val="both"/>
        <w:rPr>
          <w:sz w:val="18"/>
          <w:szCs w:val="18"/>
        </w:rPr>
      </w:pPr>
      <w:r>
        <w:rPr>
          <w:rFonts w:ascii="Times New Roman" w:hAnsi="Times New Roman" w:cs="Times New Roman"/>
          <w:szCs w:val="24"/>
        </w:rPr>
        <w:t xml:space="preserve">1. </w:t>
      </w:r>
      <w:r>
        <w:rPr>
          <w:rFonts w:hint="eastAsia" w:cs="Times New Roman"/>
          <w:szCs w:val="24"/>
        </w:rPr>
        <w:t>专业培养方案修订小组组织实施培养方案的内部评价和外部评价，总结分析评价结果。具体的评价内容和流程见《机电工程学院培养目标评价实施办法和流程》（附件</w:t>
      </w:r>
      <w:r>
        <w:rPr>
          <w:rFonts w:ascii="Times New Roman" w:hAnsi="Times New Roman" w:cs="Times New Roman"/>
          <w:szCs w:val="24"/>
        </w:rPr>
        <w:t>1</w:t>
      </w:r>
      <w:r>
        <w:rPr>
          <w:rFonts w:hint="eastAsia" w:cs="Times New Roman"/>
          <w:szCs w:val="24"/>
        </w:rPr>
        <w:t>）和《</w:t>
      </w:r>
      <w:r>
        <w:rPr>
          <w:rFonts w:cs="Times New Roman"/>
          <w:szCs w:val="24"/>
        </w:rPr>
        <w:t>关于毕业要求达成情况的评价实施办法（修订</w:t>
      </w:r>
      <w:r>
        <w:rPr>
          <w:rFonts w:hint="eastAsia" w:cs="Times New Roman"/>
          <w:szCs w:val="24"/>
        </w:rPr>
        <w:t>）》；</w:t>
      </w:r>
    </w:p>
    <w:p>
      <w:pPr>
        <w:widowControl/>
        <w:shd w:val="clear" w:color="auto" w:fill="FFFFFF"/>
        <w:autoSpaceDE/>
        <w:autoSpaceDN/>
        <w:spacing w:line="360" w:lineRule="auto"/>
        <w:ind w:firstLine="480"/>
        <w:jc w:val="both"/>
        <w:rPr>
          <w:sz w:val="18"/>
          <w:szCs w:val="18"/>
        </w:rPr>
      </w:pPr>
      <w:r>
        <w:rPr>
          <w:rFonts w:ascii="Times New Roman" w:hAnsi="Times New Roman" w:cs="Times New Roman"/>
          <w:szCs w:val="24"/>
        </w:rPr>
        <w:t xml:space="preserve">2. </w:t>
      </w:r>
      <w:r>
        <w:rPr>
          <w:rFonts w:hint="eastAsia" w:cs="Times New Roman"/>
          <w:szCs w:val="24"/>
        </w:rPr>
        <w:t>在评价结果和工程教育专业认证培养目标要求的基础上修订专业的培养目标</w:t>
      </w:r>
      <w:r>
        <w:rPr>
          <w:rFonts w:hint="eastAsia" w:ascii="Times New Roman" w:hAnsi="Times New Roman" w:cs="Times New Roman"/>
          <w:szCs w:val="24"/>
        </w:rPr>
        <w:t>；</w:t>
      </w:r>
    </w:p>
    <w:p>
      <w:pPr>
        <w:widowControl/>
        <w:shd w:val="clear" w:color="auto" w:fill="FFFFFF"/>
        <w:autoSpaceDE/>
        <w:autoSpaceDN/>
        <w:spacing w:line="360" w:lineRule="auto"/>
        <w:ind w:firstLine="480"/>
        <w:jc w:val="both"/>
        <w:rPr>
          <w:sz w:val="18"/>
          <w:szCs w:val="18"/>
        </w:rPr>
      </w:pPr>
      <w:r>
        <w:rPr>
          <w:rFonts w:ascii="Times New Roman" w:hAnsi="Times New Roman" w:cs="Times New Roman"/>
          <w:szCs w:val="24"/>
        </w:rPr>
        <w:t xml:space="preserve">3. </w:t>
      </w:r>
      <w:r>
        <w:rPr>
          <w:rFonts w:hint="eastAsia" w:cs="Times New Roman"/>
          <w:szCs w:val="24"/>
        </w:rPr>
        <w:t>在评价结果、培养目标和工程教育专业认证的毕业要求基础上修订本专业的毕业要求，包括分解的毕业要求指标点，并绘制培养目标</w:t>
      </w:r>
      <w:r>
        <w:rPr>
          <w:rFonts w:ascii="Times New Roman" w:hAnsi="Times New Roman" w:cs="Times New Roman"/>
          <w:szCs w:val="24"/>
        </w:rPr>
        <w:t>-</w:t>
      </w:r>
      <w:r>
        <w:rPr>
          <w:rFonts w:hint="eastAsia" w:cs="Times New Roman"/>
          <w:szCs w:val="24"/>
        </w:rPr>
        <w:t>毕业要求指标点矩阵表</w:t>
      </w:r>
      <w:r>
        <w:rPr>
          <w:rFonts w:hint="eastAsia" w:ascii="Times New Roman" w:hAnsi="Times New Roman" w:cs="Times New Roman"/>
          <w:szCs w:val="24"/>
        </w:rPr>
        <w:t>；</w:t>
      </w:r>
    </w:p>
    <w:p>
      <w:pPr>
        <w:widowControl/>
        <w:shd w:val="clear" w:color="auto" w:fill="FFFFFF"/>
        <w:autoSpaceDE/>
        <w:autoSpaceDN/>
        <w:spacing w:line="360" w:lineRule="auto"/>
        <w:ind w:firstLine="480"/>
        <w:jc w:val="both"/>
        <w:rPr>
          <w:sz w:val="18"/>
          <w:szCs w:val="18"/>
        </w:rPr>
      </w:pPr>
      <w:r>
        <w:rPr>
          <w:rFonts w:ascii="Times New Roman" w:hAnsi="Times New Roman" w:cs="Times New Roman"/>
          <w:szCs w:val="24"/>
        </w:rPr>
        <w:t xml:space="preserve">4. </w:t>
      </w:r>
      <w:r>
        <w:rPr>
          <w:rFonts w:hint="eastAsia" w:cs="Times New Roman"/>
          <w:szCs w:val="24"/>
        </w:rPr>
        <w:t>专业培养方案修订小组在和全系老师反复讨论的基础上，确定、完善课程体系及各门课程所支撑的毕业要求指标点矩阵。课程体系制（修）定详见</w:t>
      </w:r>
      <w:r>
        <w:rPr>
          <w:rFonts w:hint="eastAsia" w:ascii="等线" w:hAnsi="等线" w:eastAsia="等线" w:cs="Times New Roman"/>
          <w:kern w:val="2"/>
        </w:rPr>
        <w:t>《</w:t>
      </w:r>
      <w:r>
        <w:rPr>
          <w:rFonts w:hint="eastAsia" w:cs="Times New Roman"/>
          <w:szCs w:val="24"/>
        </w:rPr>
        <w:t>机电工程学院专业课程体系制（修）订及评价实施细则</w:t>
      </w:r>
      <w:r>
        <w:rPr>
          <w:rFonts w:hint="eastAsia" w:ascii="等线" w:hAnsi="等线" w:eastAsia="等线" w:cs="Times New Roman"/>
          <w:kern w:val="2"/>
        </w:rPr>
        <w:t>》</w:t>
      </w:r>
      <w:r>
        <w:rPr>
          <w:rFonts w:hint="eastAsia" w:cs="Times New Roman"/>
          <w:szCs w:val="24"/>
        </w:rPr>
        <w:t>（附件</w:t>
      </w:r>
      <w:r>
        <w:rPr>
          <w:rFonts w:ascii="Times New Roman" w:hAnsi="Times New Roman" w:cs="Times New Roman"/>
          <w:szCs w:val="24"/>
        </w:rPr>
        <w:t>2</w:t>
      </w:r>
      <w:r>
        <w:rPr>
          <w:rFonts w:hint="eastAsia" w:cs="Times New Roman"/>
          <w:szCs w:val="24"/>
        </w:rPr>
        <w:t>）。</w:t>
      </w:r>
    </w:p>
    <w:p>
      <w:pPr>
        <w:widowControl/>
        <w:shd w:val="clear" w:color="auto" w:fill="FFFFFF"/>
        <w:autoSpaceDE/>
        <w:autoSpaceDN/>
        <w:spacing w:line="360" w:lineRule="auto"/>
        <w:ind w:firstLine="480"/>
        <w:jc w:val="both"/>
        <w:rPr>
          <w:sz w:val="18"/>
          <w:szCs w:val="18"/>
        </w:rPr>
      </w:pPr>
      <w:r>
        <w:rPr>
          <w:rFonts w:ascii="Times New Roman" w:hAnsi="Times New Roman" w:cs="Times New Roman"/>
          <w:szCs w:val="24"/>
        </w:rPr>
        <w:t xml:space="preserve">5. </w:t>
      </w:r>
      <w:r>
        <w:rPr>
          <w:rFonts w:hint="eastAsia" w:cs="Times New Roman"/>
          <w:szCs w:val="24"/>
        </w:rPr>
        <w:t>根据各课程学分及对</w:t>
      </w:r>
      <w:r>
        <w:rPr>
          <w:rFonts w:hint="eastAsia" w:ascii="等线" w:hAnsi="等线" w:eastAsia="等线" w:cs="Times New Roman"/>
          <w:kern w:val="2"/>
        </w:rPr>
        <w:t>指标</w:t>
      </w:r>
      <w:r>
        <w:rPr>
          <w:rFonts w:hint="eastAsia" w:cs="Times New Roman"/>
          <w:szCs w:val="24"/>
        </w:rPr>
        <w:t>点支撑程度情况等基础上确定其支持毕业要求指标点的权重系数矩阵。</w:t>
      </w:r>
    </w:p>
    <w:p>
      <w:pPr>
        <w:widowControl/>
        <w:shd w:val="clear" w:color="auto" w:fill="FFFFFF"/>
        <w:autoSpaceDE/>
        <w:autoSpaceDN/>
        <w:spacing w:line="360" w:lineRule="auto"/>
        <w:ind w:firstLine="480"/>
        <w:jc w:val="both"/>
        <w:rPr>
          <w:sz w:val="18"/>
          <w:szCs w:val="18"/>
        </w:rPr>
      </w:pPr>
      <w:r>
        <w:rPr>
          <w:rFonts w:ascii="Times New Roman" w:hAnsi="Times New Roman" w:cs="Times New Roman"/>
          <w:szCs w:val="24"/>
          <w:highlight w:val="yellow"/>
        </w:rPr>
        <w:t xml:space="preserve">6. </w:t>
      </w:r>
      <w:r>
        <w:rPr>
          <w:rFonts w:hint="eastAsia" w:cs="Times New Roman"/>
          <w:szCs w:val="24"/>
          <w:highlight w:val="yellow"/>
        </w:rPr>
        <w:t>各专业培养方案修订后</w:t>
      </w:r>
      <w:r>
        <w:rPr>
          <w:rFonts w:hint="eastAsia" w:ascii="等线" w:hAnsi="等线" w:eastAsia="等线" w:cs="Times New Roman"/>
          <w:kern w:val="2"/>
          <w:highlight w:val="yellow"/>
        </w:rPr>
        <w:t>形成</w:t>
      </w:r>
      <w:r>
        <w:rPr>
          <w:rFonts w:hint="eastAsia" w:cs="Times New Roman"/>
          <w:szCs w:val="24"/>
          <w:highlight w:val="yellow"/>
        </w:rPr>
        <w:t>的新的培养方案需邀请校外专家不少于三名进行评审，其中至少一名是企业专家。</w:t>
      </w:r>
    </w:p>
    <w:p>
      <w:pPr>
        <w:widowControl/>
        <w:shd w:val="clear" w:color="auto" w:fill="FFFFFF"/>
        <w:autoSpaceDE/>
        <w:autoSpaceDN/>
        <w:spacing w:line="360" w:lineRule="auto"/>
        <w:ind w:firstLine="482"/>
        <w:jc w:val="both"/>
        <w:rPr>
          <w:sz w:val="18"/>
          <w:szCs w:val="18"/>
        </w:rPr>
      </w:pPr>
      <w:r>
        <w:rPr>
          <w:rFonts w:hint="eastAsia"/>
          <w:b/>
          <w:bCs/>
          <w:szCs w:val="24"/>
        </w:rPr>
        <w:t>四、</w:t>
      </w:r>
      <w:r>
        <w:rPr>
          <w:rFonts w:hint="eastAsia" w:cs="Times New Roman"/>
          <w:b/>
          <w:bCs/>
          <w:szCs w:val="24"/>
        </w:rPr>
        <w:t>审定执行</w:t>
      </w:r>
    </w:p>
    <w:p>
      <w:pPr>
        <w:widowControl/>
        <w:shd w:val="clear" w:color="auto" w:fill="FFFFFF"/>
        <w:autoSpaceDE/>
        <w:autoSpaceDN/>
        <w:spacing w:line="360" w:lineRule="auto"/>
        <w:ind w:firstLine="480"/>
        <w:jc w:val="both"/>
        <w:rPr>
          <w:sz w:val="18"/>
          <w:szCs w:val="18"/>
        </w:rPr>
      </w:pPr>
      <w:r>
        <w:rPr>
          <w:rFonts w:hint="eastAsia" w:cs="Times New Roman"/>
          <w:szCs w:val="24"/>
        </w:rPr>
        <w:t>新制定或修订的培养方案应详细说明制订或修订的依据、原因及内容，经学院教学指导委员会审核、学院党政联席会议审议通过后报学校教务处批准执行。</w:t>
      </w:r>
    </w:p>
    <w:p>
      <w:pPr>
        <w:widowControl/>
        <w:autoSpaceDE/>
        <w:autoSpaceDN/>
        <w:spacing w:before="150" w:after="150" w:line="270" w:lineRule="atLeast"/>
        <w:ind w:firstLine="480" w:firstLineChars="0"/>
        <w:rPr>
          <w:sz w:val="18"/>
          <w:szCs w:val="18"/>
        </w:rPr>
      </w:pPr>
    </w:p>
    <w:p>
      <w:pPr>
        <w:widowControl/>
        <w:autoSpaceDE/>
        <w:autoSpaceDN/>
        <w:spacing w:line="270" w:lineRule="atLeast"/>
        <w:ind w:firstLine="480" w:firstLineChars="0"/>
        <w:jc w:val="right"/>
        <w:rPr>
          <w:sz w:val="18"/>
          <w:szCs w:val="18"/>
        </w:rPr>
      </w:pPr>
      <w:r>
        <w:rPr>
          <w:rFonts w:hint="eastAsia"/>
          <w:szCs w:val="24"/>
        </w:rPr>
        <w:t>北京化工大学机电工程学院</w:t>
      </w:r>
    </w:p>
    <w:p>
      <w:pPr>
        <w:widowControl/>
        <w:autoSpaceDE/>
        <w:autoSpaceDN/>
        <w:spacing w:line="270" w:lineRule="atLeast"/>
        <w:ind w:right="480" w:firstLine="480" w:firstLineChars="0"/>
        <w:jc w:val="right"/>
        <w:rPr>
          <w:rFonts w:hint="eastAsia" w:ascii="等线" w:hAnsi="等线" w:eastAsia="等线"/>
          <w:sz w:val="21"/>
          <w:szCs w:val="21"/>
        </w:rPr>
      </w:pPr>
      <w:r>
        <w:rPr>
          <w:rFonts w:ascii="Times New Roman" w:hAnsi="Times New Roman" w:cs="Times New Roman"/>
          <w:szCs w:val="24"/>
        </w:rPr>
        <w:t>2021</w:t>
      </w:r>
      <w:r>
        <w:rPr>
          <w:rFonts w:hint="eastAsia"/>
          <w:szCs w:val="24"/>
        </w:rPr>
        <w:t>年</w:t>
      </w:r>
      <w:r>
        <w:rPr>
          <w:rFonts w:ascii="Times New Roman" w:hAnsi="Times New Roman" w:cs="Times New Roman"/>
          <w:szCs w:val="24"/>
        </w:rPr>
        <w:t>11</w:t>
      </w:r>
      <w:r>
        <w:rPr>
          <w:rFonts w:hint="eastAsia"/>
          <w:szCs w:val="24"/>
        </w:rPr>
        <w:t>月</w:t>
      </w:r>
      <w:r>
        <w:rPr>
          <w:szCs w:val="24"/>
        </w:rPr>
        <w:t>30</w:t>
      </w:r>
      <w:r>
        <w:rPr>
          <w:rFonts w:hint="eastAsia"/>
          <w:szCs w:val="24"/>
        </w:rPr>
        <w:t>日</w:t>
      </w:r>
      <w:bookmarkStart w:id="0" w:name="_GoBack"/>
      <w:bookmarkEnd w:id="0"/>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16157FF3"/>
    <w:rsid w:val="333724DC"/>
    <w:rsid w:val="585730FF"/>
    <w:rsid w:val="66C82B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2023-12-08T15:23:41Z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