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6tult57mut83" w:id="0"/>
      <w:bookmarkEnd w:id="0"/>
      <w:r w:rsidDel="00000000" w:rsidR="00000000" w:rsidRPr="00000000">
        <w:rPr>
          <w:rtl w:val="0"/>
        </w:rPr>
        <w:t xml:space="preserve">Zone 0 — Dual Standard: State Mandate vs. Insurance Standard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i w:val="1"/>
          <w:iCs w:val="1"/>
          <w:rtl w:val="0"/>
        </w:rPr>
        <w:t xml:space="preserve">Proposed update for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calfire-zone-rules.md</w:t>
      </w:r>
      <w:r w:rsidDel="00000000" w:rsidR="00000000" w:rsidRPr="00000000">
        <w:rPr>
          <w:i w:val="1"/>
          <w:iCs w:val="1"/>
          <w:rtl w:val="0"/>
        </w:rPr>
        <w:t xml:space="preserve"> (replaces/expands the existing Zone 0 section) and hazard-flag tagging in </w:t>
      </w:r>
      <w:r w:rsidDel="00000000" w:rsidR="00000000" w:rsidRPr="00000000">
        <w:rPr>
          <w:rFonts w:ascii="Roboto Mono" w:cs="Roboto Mono" w:eastAsia="Roboto Mono" w:hAnsi="Roboto Mono"/>
          <w:i w:val="1"/>
          <w:iCs w:val="1"/>
          <w:color w:val="188038"/>
          <w:rtl w:val="0"/>
        </w:rPr>
        <w:t xml:space="preserve">assessment-framework.md</w:t>
      </w:r>
      <w:r w:rsidDel="00000000" w:rsidR="00000000" w:rsidRPr="00000000">
        <w:rPr>
          <w:i w:val="1"/>
          <w:iCs w:val="1"/>
          <w:rtl w:val="0"/>
        </w:rPr>
        <w:t xml:space="preserve">. Current as of August 2026.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5bxkuduazyf3" w:id="1"/>
      <w:bookmarkEnd w:id="1"/>
      <w:r w:rsidDel="00000000" w:rsidR="00000000" w:rsidRPr="00000000">
        <w:rPr>
          <w:rtl w:val="0"/>
        </w:rPr>
        <w:t xml:space="preserve">Why two tracks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Zone 0 (the 0–5 ft area around a structure) is currently governed by two separate systems that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move on the same timeline and do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require exactly the same things: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A — State Mandate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Track B — Insurance 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Authority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CA Board of Forestry &amp; Fire Protection, under PRC § 4291 / AB 3074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IBHS (Wildfire Prepared Home™), enabled by CA's 10 CCR § 2644.9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Nature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Fire code / legal compliance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Voluntary certification tied to premium discount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Status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Draft — not yet enforceable statewide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Active and enforceable today</w:t>
            </w:r>
            <w:r w:rsidDel="00000000" w:rsidR="00000000" w:rsidRPr="00000000">
              <w:rPr>
                <w:rtl w:val="0"/>
              </w:rPr>
              <w:t xml:space="preserve"> for anyone seeking the designation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Stakes if ignored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Citations ($100–$500), lien risk (existing PRC 4291 Zone 1/2 only, via SB 63 inspections)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discount / no designation — but no penalty</w:t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The tool should report these as two separate outputs, not one merged "Zone 0 status."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/>
      </w:pPr>
      <w:bookmarkStart w:colFirst="0" w:colLast="0" w:name="_m4ogkomrjgql" w:id="2"/>
      <w:bookmarkEnd w:id="2"/>
      <w:r w:rsidDel="00000000" w:rsidR="00000000" w:rsidRPr="00000000">
        <w:rPr>
          <w:rtl w:val="0"/>
        </w:rPr>
        <w:t xml:space="preserve">Track A — State Regulatory Mandate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b w:val="1"/>
          <w:bCs w:val="1"/>
          <w:rtl w:val="0"/>
        </w:rPr>
        <w:t xml:space="preserve">Legal basis:</w:t>
      </w:r>
      <w:r w:rsidDel="00000000" w:rsidR="00000000" w:rsidRPr="00000000">
        <w:rPr>
          <w:rtl w:val="0"/>
        </w:rPr>
        <w:t xml:space="preserve"> PRC § 4291 has required defensible space (originally 30 ft, expanded to 100 ft in 2005) since the 1970s. AB 3074 (2020) directed the Board of Forestry to write a new 0–5 ft "ember-resistant zone" (Zone 0) standard. Timeline further shaped by SB 504 (2024), AB 1455 (2025), and Executive Order N-18-25, which set a December 31, 2025 adoption deadline.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b w:val="1"/>
          <w:bCs w:val="1"/>
          <w:rtl w:val="0"/>
        </w:rPr>
        <w:t xml:space="preserve">Current status:</w:t>
      </w:r>
      <w:r w:rsidDel="00000000" w:rsidR="00000000" w:rsidRPr="00000000">
        <w:rPr>
          <w:rtl w:val="0"/>
        </w:rPr>
        <w:t xml:space="preserve"> That deadline passed without final adoption. The Board's latest draft was released April 17, 2026 (public workshop April 23, 2026). </w:t>
      </w:r>
      <w:r w:rsidDel="00000000" w:rsidR="00000000" w:rsidRPr="00000000">
        <w:rPr>
          <w:b w:val="1"/>
          <w:bCs w:val="1"/>
          <w:rtl w:val="0"/>
        </w:rPr>
        <w:t xml:space="preserve">No statewide, enforceable Zone 0 regulation is in effect as of this writing.</w:t>
      </w:r>
      <w:r w:rsidDel="00000000" w:rsidR="00000000" w:rsidRPr="00000000">
        <w:rPr>
          <w:rtl w:val="0"/>
        </w:rPr>
        <w:t xml:space="preserve"> Existing PRC 4291 Zone 1 (5–30 ft) and Zone 2 (30–100 ft) requirements remain fully in effect and enforceable.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b w:val="1"/>
          <w:bCs w:val="1"/>
          <w:rtl w:val="0"/>
        </w:rPr>
        <w:t xml:space="preserve">Scope (as drafted):</w:t>
      </w:r>
      <w:r w:rsidDel="00000000" w:rsidR="00000000" w:rsidRPr="00000000">
        <w:rPr>
          <w:rtl w:val="0"/>
        </w:rPr>
        <w:t xml:space="preserve"> Applies to structures in Very High Fire Hazard Severity Zones (FHSZ), primarily within State Responsibility Areas (SRA); some Local Responsibility Area (LRA) parcels are outside the current draft's scope. Some jurisdictions have moved ahead of the state — notably the </w:t>
      </w:r>
      <w:r w:rsidDel="00000000" w:rsidR="00000000" w:rsidRPr="00000000">
        <w:rPr>
          <w:b w:val="1"/>
          <w:bCs w:val="1"/>
          <w:rtl w:val="0"/>
        </w:rPr>
        <w:t xml:space="preserve">City of San Diego</w:t>
      </w:r>
      <w:r w:rsidDel="00000000" w:rsidR="00000000" w:rsidRPr="00000000">
        <w:rPr>
          <w:rtl w:val="0"/>
        </w:rPr>
        <w:t xml:space="preserve">, which has an adopted local Zone 0 ordinance already in force, including specific fence/gate exceptions (e.g., existing vinyl fencing allowed under defined conditions).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Draft Zone 0 requirements (subject to change before final adoption):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Noncombustible ground surface within 5 ft of structure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combustible fencing attached to the structure (draft §1298.04(b)(8)–(9))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Removal of all dead vegetation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No combustible items attached to or stored against the structure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How the tool should represent this:</w:t>
      </w:r>
      <w:r w:rsidDel="00000000" w:rsidR="00000000" w:rsidRPr="00000000">
        <w:rPr>
          <w:rtl w:val="0"/>
        </w:rPr>
        <w:t xml:space="preserve"> Label Track A findings as </w:t>
      </w:r>
      <w:r w:rsidDel="00000000" w:rsidR="00000000" w:rsidRPr="00000000">
        <w:rPr>
          <w:b w:val="1"/>
          <w:bCs w:val="1"/>
          <w:rtl w:val="0"/>
        </w:rPr>
        <w:t xml:space="preserve">"Anticipated — pending state regulation"</w:t>
      </w:r>
      <w:r w:rsidDel="00000000" w:rsidR="00000000" w:rsidRPr="00000000">
        <w:rPr>
          <w:rtl w:val="0"/>
        </w:rPr>
        <w:t xml:space="preserve"> rather than "Required," except where a local ordinance (e.g., San Diego) makes it independently enforceable today. Include a jurisdiction check where possible.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rPr/>
      </w:pPr>
      <w:bookmarkStart w:colFirst="0" w:colLast="0" w:name="_v5czwypwz8b5" w:id="3"/>
      <w:bookmarkEnd w:id="3"/>
      <w:r w:rsidDel="00000000" w:rsidR="00000000" w:rsidRPr="00000000">
        <w:rPr>
          <w:rtl w:val="0"/>
        </w:rPr>
        <w:t xml:space="preserve">Track B — Insurance Standard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This track has two linked parts: the </w:t>
      </w:r>
      <w:r w:rsidDel="00000000" w:rsidR="00000000" w:rsidRPr="00000000">
        <w:rPr>
          <w:i w:val="1"/>
          <w:iCs w:val="1"/>
          <w:rtl w:val="0"/>
        </w:rPr>
        <w:t xml:space="preserve">state rule that forces insurers to offer discounts</w:t>
      </w:r>
      <w:r w:rsidDel="00000000" w:rsidR="00000000" w:rsidRPr="00000000">
        <w:rPr>
          <w:rtl w:val="0"/>
        </w:rPr>
        <w:t xml:space="preserve">, and the </w:t>
      </w:r>
      <w:r w:rsidDel="00000000" w:rsidR="00000000" w:rsidRPr="00000000">
        <w:rPr>
          <w:i w:val="1"/>
          <w:iCs w:val="1"/>
          <w:rtl w:val="0"/>
        </w:rPr>
        <w:t xml:space="preserve">private standard homeowners get certified against</w:t>
      </w:r>
      <w:r w:rsidDel="00000000" w:rsidR="00000000" w:rsidRPr="00000000">
        <w:rPr>
          <w:rtl w:val="0"/>
        </w:rPr>
        <w:t xml:space="preserve"> to claim one.</w:t>
      </w:r>
    </w:p>
    <w:p w:rsidR="00000000" w:rsidDel="00000000" w:rsidP="00000000" w:rsidRDefault="00000000" w:rsidRPr="00000000" w14:paraId="0000002E">
      <w:pPr>
        <w:pStyle w:val="Heading3"/>
        <w:rPr/>
      </w:pPr>
      <w:bookmarkStart w:colFirst="0" w:colLast="0" w:name="_z3j4zsvpr09m" w:id="4"/>
      <w:bookmarkEnd w:id="4"/>
      <w:r w:rsidDel="00000000" w:rsidR="00000000" w:rsidRPr="00000000">
        <w:rPr>
          <w:rtl w:val="0"/>
        </w:rPr>
        <w:t xml:space="preserve">B1 — 10 CCR § 2644.9, "Safer from Wildfires" (the actual insurance mandate)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Effective October 14, 2022, expanded by </w:t>
      </w:r>
      <w:r w:rsidDel="00000000" w:rsidR="00000000" w:rsidRPr="00000000">
        <w:rPr>
          <w:b w:val="1"/>
          <w:bCs w:val="1"/>
          <w:rtl w:val="0"/>
        </w:rPr>
        <w:t xml:space="preserve">AB 1 (Insurance and Wildfire Safety Act), effective January 1, 2026</w:t>
      </w:r>
      <w:r w:rsidDel="00000000" w:rsidR="00000000" w:rsidRPr="00000000">
        <w:rPr>
          <w:rtl w:val="0"/>
        </w:rPr>
        <w:t xml:space="preserve">. This regulation requires every admitted California insurer that prices wildfire risk to offer documented discounts across 12 defined mitigation measures — including Zone 0-type actions (noncombustible material within 5 ft, vegetation/debris removal). This is the actual legal lever: once a homeowner documents these actions, insurers are required to reflect it in pricing.</w:t>
      </w:r>
    </w:p>
    <w:p w:rsidR="00000000" w:rsidDel="00000000" w:rsidP="00000000" w:rsidRDefault="00000000" w:rsidRPr="00000000" w14:paraId="00000030">
      <w:pPr>
        <w:pStyle w:val="Heading3"/>
        <w:rPr/>
      </w:pPr>
      <w:bookmarkStart w:colFirst="0" w:colLast="0" w:name="_96o0kiwl3put" w:id="5"/>
      <w:bookmarkEnd w:id="5"/>
      <w:r w:rsidDel="00000000" w:rsidR="00000000" w:rsidRPr="00000000">
        <w:rPr>
          <w:rtl w:val="0"/>
        </w:rPr>
        <w:t xml:space="preserve">B2 — IBHS Wildfire Prepared Home™ (the certifiable standard)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Voluntary, insurer-backed designation program. Two tiers: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Essential</w:t>
      </w:r>
      <w:r w:rsidDel="00000000" w:rsidR="00000000" w:rsidRPr="00000000">
        <w:rPr>
          <w:rtl w:val="0"/>
        </w:rPr>
        <w:t xml:space="preserve"> (formerly "Base") — ember-focused protection</w:t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Enhanced</w:t>
      </w:r>
      <w:r w:rsidDel="00000000" w:rsidR="00000000" w:rsidRPr="00000000">
        <w:rPr>
          <w:rtl w:val="0"/>
        </w:rPr>
        <w:t xml:space="preserve"> (formerly "Plus") — adds radiant heat / direct flame protection, builds on Essential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b w:val="1"/>
          <w:bCs w:val="1"/>
          <w:rtl w:val="0"/>
        </w:rPr>
        <w:t xml:space="preserve">Zone 0 requirement (both tiers, no exceptions):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Zero combustible material within 5 ft of the structure — no mulch, pine needles, wood chips, vegetation, firewood, propane tanks, trash bins, or combustible furniture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Acceptable materials: gravel, rock, pavers, concrete, metal furniture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Essential tier also requires ember-resistant vents (mesh tested to ASTM E2886)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Key rule:</w:t>
      </w:r>
      <w:r w:rsidDel="00000000" w:rsidR="00000000" w:rsidRPr="00000000">
        <w:rPr>
          <w:rtl w:val="0"/>
        </w:rPr>
        <w:t xml:space="preserve"> designation requires </w:t>
      </w:r>
      <w:r w:rsidDel="00000000" w:rsidR="00000000" w:rsidRPr="00000000">
        <w:rPr>
          <w:i w:val="1"/>
          <w:iCs w:val="1"/>
          <w:rtl w:val="0"/>
        </w:rPr>
        <w:t xml:space="preserve">all</w:t>
      </w:r>
      <w:r w:rsidDel="00000000" w:rsidR="00000000" w:rsidRPr="00000000">
        <w:rPr>
          <w:rtl w:val="0"/>
        </w:rPr>
        <w:t xml:space="preserve"> required actions for the chosen tier — partial mitigation does not qualify.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Financial impact:</w:t>
      </w:r>
      <w:r w:rsidDel="00000000" w:rsidR="00000000" w:rsidRPr="00000000">
        <w:rPr>
          <w:rtl w:val="0"/>
        </w:rPr>
        <w:t xml:space="preserve"> Documented insurer discounts in the 5–35% range depending on carrier (e.g., USAA 10–20%, Farmers 5–15%, Mercury 10%, Cincinnati up to 20%), plus improved ability to exit the CA FAIR Plan. Designation requires annual maintenance/re-verification.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b w:val="1"/>
          <w:bCs w:val="1"/>
          <w:rtl w:val="0"/>
        </w:rPr>
        <w:t xml:space="preserve">How the tool should represent this:</w:t>
      </w:r>
      <w:r w:rsidDel="00000000" w:rsidR="00000000" w:rsidRPr="00000000">
        <w:rPr>
          <w:rtl w:val="0"/>
        </w:rPr>
        <w:t xml:space="preserve"> Label Track B findings as </w:t>
      </w:r>
      <w:r w:rsidDel="00000000" w:rsidR="00000000" w:rsidRPr="00000000">
        <w:rPr>
          <w:b w:val="1"/>
          <w:bCs w:val="1"/>
          <w:rtl w:val="0"/>
        </w:rPr>
        <w:t xml:space="preserve">"Actionable today — insurance discount eligible,"</w:t>
      </w:r>
      <w:r w:rsidDel="00000000" w:rsidR="00000000" w:rsidRPr="00000000">
        <w:rPr>
          <w:rtl w:val="0"/>
        </w:rPr>
        <w:t xml:space="preserve"> since this is enforceable and financially live right now, unlike Track A.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Style w:val="Heading2"/>
        <w:rPr/>
      </w:pPr>
      <w:bookmarkStart w:colFirst="0" w:colLast="0" w:name="_r6t3iy8uklq4" w:id="6"/>
      <w:bookmarkEnd w:id="6"/>
      <w:r w:rsidDel="00000000" w:rsidR="00000000" w:rsidRPr="00000000">
        <w:rPr>
          <w:rtl w:val="0"/>
        </w:rPr>
        <w:t xml:space="preserve">Where the two tracks diverge — flag explicitly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The IBHS standard is </w:t>
      </w:r>
      <w:r w:rsidDel="00000000" w:rsidR="00000000" w:rsidRPr="00000000">
        <w:rPr>
          <w:b w:val="1"/>
          <w:bCs w:val="1"/>
          <w:rtl w:val="0"/>
        </w:rPr>
        <w:t xml:space="preserve">stricter</w:t>
      </w:r>
      <w:r w:rsidDel="00000000" w:rsidR="00000000" w:rsidRPr="00000000">
        <w:rPr>
          <w:rtl w:val="0"/>
        </w:rPr>
        <w:t xml:space="preserve"> than the state's current draft in at least one meaningful way: the state draft allows an exception for well-irrigated, low-growing succulents in Zone 0 (per the existing plant-list logic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socal-plant-list.md</w:t>
      </w:r>
      <w:r w:rsidDel="00000000" w:rsidR="00000000" w:rsidRPr="00000000">
        <w:rPr>
          <w:rtl w:val="0"/>
        </w:rPr>
        <w:t xml:space="preserve">); IBHS allows </w:t>
      </w:r>
      <w:r w:rsidDel="00000000" w:rsidR="00000000" w:rsidRPr="00000000">
        <w:rPr>
          <w:b w:val="1"/>
          <w:bCs w:val="1"/>
          <w:rtl w:val="0"/>
        </w:rPr>
        <w:t xml:space="preserve">zero vegetation</w:t>
      </w:r>
      <w:r w:rsidDel="00000000" w:rsidR="00000000" w:rsidRPr="00000000">
        <w:rPr>
          <w:rtl w:val="0"/>
        </w:rPr>
        <w:t xml:space="preserve">, full stop. A homeowner optimizing for insurance discounts should not rely on the state draft's more lenient language — flag this divergence rather than presenting a single unified rule.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2"/>
        <w:rPr/>
      </w:pPr>
      <w:bookmarkStart w:colFirst="0" w:colLast="0" w:name="_pnkwaedbzvjr" w:id="7"/>
      <w:bookmarkEnd w:id="7"/>
      <w:r w:rsidDel="00000000" w:rsidR="00000000" w:rsidRPr="00000000">
        <w:rPr>
          <w:rtl w:val="0"/>
        </w:rPr>
        <w:t xml:space="preserve">Recommended change to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assessment-framework.md</w:t>
      </w:r>
      <w:r w:rsidDel="00000000" w:rsidR="00000000" w:rsidRPr="00000000">
        <w:rPr>
          <w:rtl w:val="0"/>
        </w:rPr>
        <w:t xml:space="preserve"> hazard flags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Add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standard</w:t>
      </w:r>
      <w:r w:rsidDel="00000000" w:rsidR="00000000" w:rsidRPr="00000000">
        <w:rPr>
          <w:rtl w:val="0"/>
        </w:rPr>
        <w:t xml:space="preserve"> field to every Zone 0 flag so recommendations can be filtered/labeled by which track they satisfy: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Flag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Condition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Standard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Z0-MULCH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Combustible mulch/bark within 5 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Z0-VEG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Any vegetation within 5 ft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IBHS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(state draft allows irrigated succulent exception — flag divergence)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Z0-FENCE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Combustible fence attached to structure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Z0-GUTTER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Debris in gutters/eaves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Combustible furniture/items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IBHS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(state draft silent on movable items as of current text)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Z0-SURFACE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noncombustible perimeter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BOTH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Z0-VENT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Non-ember-resistant vents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IBHS-only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(not part of PRC 4291/Zone 0 draft text; state addresses via Ch. 7A building code for new construction only)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Recommendation output for each flag should then carry two labels instead of one: </w:t>
      </w:r>
      <w:r w:rsidDel="00000000" w:rsidR="00000000" w:rsidRPr="00000000">
        <w:rPr>
          <w:b w:val="1"/>
          <w:bCs w:val="1"/>
          <w:rtl w:val="0"/>
        </w:rPr>
        <w:t xml:space="preserve">Regulatory status</w:t>
      </w:r>
      <w:r w:rsidDel="00000000" w:rsidR="00000000" w:rsidRPr="00000000">
        <w:rPr>
          <w:rtl w:val="0"/>
        </w:rPr>
        <w:t xml:space="preserve"> (Anticipated / Locally enforceable / N/A) and </w:t>
      </w:r>
      <w:r w:rsidDel="00000000" w:rsidR="00000000" w:rsidRPr="00000000">
        <w:rPr>
          <w:b w:val="1"/>
          <w:bCs w:val="1"/>
          <w:rtl w:val="0"/>
        </w:rPr>
        <w:t xml:space="preserve">Insurance status</w:t>
      </w:r>
      <w:r w:rsidDel="00000000" w:rsidR="00000000" w:rsidRPr="00000000">
        <w:rPr>
          <w:rtl w:val="0"/>
        </w:rPr>
        <w:t xml:space="preserve"> (Required for Essential / Required for Enhanced / Not required).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ppuh768dkljr" w:id="8"/>
      <w:bookmarkEnd w:id="8"/>
      <w:r w:rsidDel="00000000" w:rsidR="00000000" w:rsidRPr="00000000">
        <w:rPr>
          <w:rtl w:val="0"/>
        </w:rPr>
        <w:t xml:space="preserve">Sources</w:t>
      </w:r>
    </w:p>
    <w:p w:rsidR="00000000" w:rsidDel="00000000" w:rsidP="00000000" w:rsidRDefault="00000000" w:rsidRPr="00000000" w14:paraId="00000067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PRC § 4291 (FindLaw); AB 3074 (2020); SB 504 (2024); AB 1455 (2025); Executive Order N-18-25</w:t>
      </w:r>
    </w:p>
    <w:p w:rsidR="00000000" w:rsidDel="00000000" w:rsidP="00000000" w:rsidRDefault="00000000" w:rsidRPr="00000000" w14:paraId="0000006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CA Board of Forestry &amp; Fire Protection, Zone 0 draft rule, April 17, 2026 (bof.fire.ca.gov)</w:t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IBHS, Wildfire Prepared Home Technical Standard updates, June 2025 and June 2026 (ibhs.org, wildfireprepared.org)</w:t>
      </w:r>
    </w:p>
    <w:p w:rsidR="00000000" w:rsidDel="00000000" w:rsidP="00000000" w:rsidRDefault="00000000" w:rsidRPr="00000000" w14:paraId="0000006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10 CCR § 2644.9, "Safer from Wildfires" (insurance.ca.gov)</w:t>
      </w:r>
    </w:p>
    <w:p w:rsidR="00000000" w:rsidDel="00000000" w:rsidP="00000000" w:rsidRDefault="00000000" w:rsidRPr="00000000" w14:paraId="0000006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AB 1, Insurance and Wildfire Safety Act, effective Jan 1, 2026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