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9BF9F" w14:textId="3426DEC3" w:rsidR="00837046" w:rsidRPr="00837046" w:rsidRDefault="00837046" w:rsidP="00837046">
      <w:pPr>
        <w:pStyle w:val="Title"/>
        <w:spacing w:line="480" w:lineRule="auto"/>
      </w:pPr>
      <w:proofErr w:type="gramStart"/>
      <w:r>
        <w:t>Crime[</w:t>
      </w:r>
      <w:proofErr w:type="gramEnd"/>
      <w:r>
        <w:t>Dot]Education</w:t>
      </w:r>
    </w:p>
    <w:p w14:paraId="402BCE98" w14:textId="1B7F27B3" w:rsidR="005430EE" w:rsidRDefault="00CC450B" w:rsidP="00837046">
      <w:pPr>
        <w:pStyle w:val="Heading1"/>
      </w:pPr>
      <w:r>
        <w:t>Abstract</w:t>
      </w:r>
    </w:p>
    <w:p w14:paraId="7BFCE37F" w14:textId="3A530BA4" w:rsidR="005430EE" w:rsidRDefault="005430EE" w:rsidP="00837046">
      <w:pPr>
        <w:spacing w:line="480" w:lineRule="auto"/>
      </w:pPr>
      <w:r w:rsidRPr="005430EE">
        <w:t>Minnesota felony sentencing data can teach students how to reason responsibly with criminal-justice statistics, but only if every pattern is interpreted through the criminal-justice funnel, the dataset’s administrative origins, the unit of analysis, and the difference between description and explanation.</w:t>
      </w:r>
    </w:p>
    <w:p w14:paraId="1EF26AC5" w14:textId="77777777" w:rsidR="005430EE" w:rsidRDefault="005430EE" w:rsidP="00837046">
      <w:pPr>
        <w:spacing w:line="480" w:lineRule="auto"/>
      </w:pPr>
      <w:r>
        <w:br w:type="page"/>
      </w:r>
    </w:p>
    <w:p w14:paraId="1B704672" w14:textId="106AAA4A" w:rsidR="00B67E15" w:rsidRPr="00B67E15" w:rsidRDefault="00B67E15" w:rsidP="00837046">
      <w:pPr>
        <w:pStyle w:val="Heading1"/>
        <w:spacing w:line="480" w:lineRule="auto"/>
        <w:rPr>
          <w:b w:val="0"/>
          <w:bCs w:val="0"/>
        </w:rPr>
      </w:pPr>
      <w:r w:rsidRPr="00B67E15">
        <w:rPr>
          <w:b w:val="0"/>
          <w:bCs w:val="0"/>
        </w:rPr>
        <w:lastRenderedPageBreak/>
        <w:t>Designing a Curriculum for Responsible Analysi</w:t>
      </w:r>
      <w:r w:rsidR="00FA1876">
        <w:rPr>
          <w:b w:val="0"/>
          <w:bCs w:val="0"/>
        </w:rPr>
        <w:t>s</w:t>
      </w:r>
    </w:p>
    <w:p w14:paraId="310C4D31" w14:textId="681BD3AD" w:rsidR="00FA1876" w:rsidRPr="00FA1876" w:rsidRDefault="00FA1876" w:rsidP="00837046">
      <w:pPr>
        <w:pStyle w:val="Heading2"/>
        <w:spacing w:line="480" w:lineRule="auto"/>
      </w:pPr>
      <w:r w:rsidRPr="00FA1876">
        <w:t>Teaching What Sentencing Statistics Can Bear</w:t>
      </w:r>
    </w:p>
    <w:p w14:paraId="795CDD1A" w14:textId="1F3D8DC6" w:rsidR="00FA1876" w:rsidRPr="00FA1876" w:rsidRDefault="00FA1876" w:rsidP="00837046">
      <w:pPr>
        <w:pStyle w:val="Heading3"/>
        <w:spacing w:line="480" w:lineRule="auto"/>
      </w:pPr>
      <w:r w:rsidRPr="00FA1876">
        <w:t>Computational Access and Interpretive Difficulty</w:t>
      </w:r>
    </w:p>
    <w:p w14:paraId="5FB3BF53" w14:textId="77777777" w:rsidR="00A37E90" w:rsidRPr="00A37E90" w:rsidRDefault="00A37E90" w:rsidP="00837046">
      <w:pPr>
        <w:spacing w:line="480" w:lineRule="auto"/>
        <w:rPr>
          <w:rFonts w:eastAsiaTheme="majorEastAsia"/>
        </w:rPr>
      </w:pPr>
      <w:r w:rsidRPr="00A37E90">
        <w:rPr>
          <w:rFonts w:eastAsiaTheme="majorEastAsia"/>
        </w:rPr>
        <w:t>Computational access to public data has expanded rapidly, while educational capacity for responsible interpretation has struggled to keep pace (Finzer, 2013, pp. 1–2; GAISE College Report ASA Revision Committee, 2016, pp. 4–5; OECD, 2023, p. 10). Open-data policies have made large quantities of government information publicly available in machine-readable form, while contemporary tools allow students to filter records, calculate summaries, construct cross-tabulations, and compare groups with relatively little specialized training (Executive Office of the President, 2013, §1; GAISE College Report ASA Revision Committee, 2016, pp. 9, 11; Higgins et al., 2023, p. S52). This accessibility is valuable, but technical facility does not itself ensure conceptual understanding. In one study of 276 students, statistical software improved calculation performance relative to hand calculation but produced no significant improvement in students’ understanding of statistical definitions, context, or interpretation (Bitzan et al., 2025, p. 183). Obtaining a result, in other words, has become easier than determining what that result warrants us to conclude.</w:t>
      </w:r>
    </w:p>
    <w:p w14:paraId="233E9384" w14:textId="70D17BD6" w:rsidR="00FA1876" w:rsidRPr="00FA1876" w:rsidRDefault="00FA1876" w:rsidP="00837046">
      <w:pPr>
        <w:spacing w:line="480" w:lineRule="auto"/>
        <w:rPr>
          <w:rFonts w:eastAsiaTheme="majorEastAsia"/>
        </w:rPr>
      </w:pPr>
      <w:r w:rsidRPr="00FA1876">
        <w:rPr>
          <w:rFonts w:eastAsiaTheme="majorEastAsia"/>
        </w:rPr>
        <w:t xml:space="preserve">Criminal-justice data makes that asymmetry especially important. Official sentencing records are detailed, precise, and institutionally authoritative. Their precision can encourage the reader to assume that a correctly calculated statistic is also a correctly interpreted one. Yet an accurate number can describe the wrong population, count the wrong unit, conceal a consequential selection process, or be attached to a causal explanation that the data cannot support. Numerical </w:t>
      </w:r>
      <w:r w:rsidRPr="00FA1876">
        <w:rPr>
          <w:rFonts w:eastAsiaTheme="majorEastAsia"/>
        </w:rPr>
        <w:lastRenderedPageBreak/>
        <w:t>accuracy is therefore necessary but insufficient. As Best (2001) argues, statistics become meaningful only through the choices and definitions that produce them and the claims readers build around them.</w:t>
      </w:r>
    </w:p>
    <w:p w14:paraId="328C392E" w14:textId="38B20AD6" w:rsidR="00705367" w:rsidRPr="00771C2E" w:rsidRDefault="00FA1876" w:rsidP="00771C2E">
      <w:pPr>
        <w:spacing w:line="480" w:lineRule="auto"/>
        <w:rPr>
          <w:rFonts w:eastAsiaTheme="majorEastAsia"/>
        </w:rPr>
      </w:pPr>
      <w:r w:rsidRPr="00FA1876">
        <w:rPr>
          <w:rFonts w:eastAsiaTheme="majorEastAsia"/>
        </w:rPr>
        <w:t xml:space="preserve">Minnesota felony sentencing records illustrate this interpretive problem. The records permit extensive descriptive analysis of cases that reached felony sentencing, but they do not measure all crime, all people who committed offenses, or every decision made during criminal-case processing. They are administrative data: information generated in the operation and monitoring of an institution rather than collected according to a researcher’s study design (Connelly et al., 2016). </w:t>
      </w:r>
      <w:r w:rsidR="0079379F" w:rsidRPr="0079379F">
        <w:rPr>
          <w:rFonts w:eastAsiaTheme="majorEastAsia"/>
        </w:rPr>
        <w:t xml:space="preserve">Connelly and colleagues </w:t>
      </w:r>
      <w:r w:rsidR="0079379F">
        <w:rPr>
          <w:rFonts w:eastAsiaTheme="majorEastAsia"/>
        </w:rPr>
        <w:t xml:space="preserve">further </w:t>
      </w:r>
      <w:r w:rsidR="0079379F" w:rsidRPr="0079379F">
        <w:rPr>
          <w:rFonts w:eastAsiaTheme="majorEastAsia"/>
        </w:rPr>
        <w:t>e</w:t>
      </w:r>
      <w:r w:rsidR="0079379F">
        <w:rPr>
          <w:rFonts w:eastAsiaTheme="majorEastAsia"/>
        </w:rPr>
        <w:t>laborate</w:t>
      </w:r>
      <w:r w:rsidR="0079379F" w:rsidRPr="0079379F">
        <w:rPr>
          <w:rFonts w:eastAsiaTheme="majorEastAsia"/>
        </w:rPr>
        <w:t xml:space="preserve"> that administrative data often provide unusually large samples, broad population coverage, access to otherwise underrepresented groups, and the ability to reconstruct cohorts and examine change across long periods. Understanding how and why the administrative system produced the data is therefore necessary to determine what the records represent. Most directly, they observe that information not required for the operation of an administrative system may be recorded poorly or not collected at all (Connelly et al., 2016, pp. 5, 8–9).</w:t>
      </w:r>
      <w:r w:rsidR="00771C2E">
        <w:rPr>
          <w:rFonts w:eastAsiaTheme="majorEastAsia"/>
        </w:rPr>
        <w:t xml:space="preserve"> </w:t>
      </w:r>
      <w:r w:rsidR="00705367" w:rsidRPr="00705367">
        <w:t>Computational access, then, does not eliminate the need for interpretation. It makes interpretive education more urgent. The central challenge is not simply to help students produce sentencing statistics. It is to help them determine what those statistics can bear (Chance et al., 2007, pp. 2–3, 8).</w:t>
      </w:r>
    </w:p>
    <w:p w14:paraId="27F5A75C" w14:textId="337BE1A5" w:rsidR="00FA1876" w:rsidRPr="00FA1876" w:rsidRDefault="00FA1876" w:rsidP="00837046">
      <w:pPr>
        <w:pStyle w:val="Heading3"/>
        <w:spacing w:line="480" w:lineRule="auto"/>
      </w:pPr>
      <w:r w:rsidRPr="00FA1876">
        <w:t>The Educational Gap</w:t>
      </w:r>
    </w:p>
    <w:p w14:paraId="43E4B18E" w14:textId="77777777" w:rsidR="00705367" w:rsidRDefault="00705367" w:rsidP="00837046">
      <w:pPr>
        <w:spacing w:line="480" w:lineRule="auto"/>
        <w:rPr>
          <w:rFonts w:eastAsiaTheme="majorEastAsia"/>
        </w:rPr>
      </w:pPr>
      <w:r w:rsidRPr="00705367">
        <w:rPr>
          <w:rFonts w:eastAsiaTheme="majorEastAsia"/>
        </w:rPr>
        <w:t xml:space="preserve">Two familiar approaches leave a gap when used separately. General statistics instruction can teach students to calculate means, medians, percentages, standard deviations, and cross-tabulations. Yet procedural competence does not necessarily provide the contextual knowledge required to understand how an administrative record was produced or what population it </w:t>
      </w:r>
      <w:r w:rsidRPr="00705367">
        <w:rPr>
          <w:rFonts w:eastAsiaTheme="majorEastAsia"/>
        </w:rPr>
        <w:lastRenderedPageBreak/>
        <w:t xml:space="preserve">represents (Wild &amp; </w:t>
      </w:r>
      <w:proofErr w:type="spellStart"/>
      <w:r w:rsidRPr="00705367">
        <w:rPr>
          <w:rFonts w:eastAsiaTheme="majorEastAsia"/>
        </w:rPr>
        <w:t>Pfannkuch</w:t>
      </w:r>
      <w:proofErr w:type="spellEnd"/>
      <w:r w:rsidRPr="00705367">
        <w:rPr>
          <w:rFonts w:eastAsiaTheme="majorEastAsia"/>
        </w:rPr>
        <w:t>, 1999, pp. 225, 228, 231). It may not teach students where a sentencing record sits in the criminal-justice process or why an offense code records an institutional classification rather than an unmediated event (</w:t>
      </w:r>
      <w:proofErr w:type="spellStart"/>
      <w:r w:rsidRPr="00705367">
        <w:rPr>
          <w:rFonts w:eastAsiaTheme="majorEastAsia"/>
        </w:rPr>
        <w:t>Kitsuse</w:t>
      </w:r>
      <w:proofErr w:type="spellEnd"/>
      <w:r w:rsidRPr="00705367">
        <w:rPr>
          <w:rFonts w:eastAsiaTheme="majorEastAsia"/>
        </w:rPr>
        <w:t xml:space="preserve"> &amp; </w:t>
      </w:r>
      <w:proofErr w:type="spellStart"/>
      <w:r w:rsidRPr="00705367">
        <w:rPr>
          <w:rFonts w:eastAsiaTheme="majorEastAsia"/>
        </w:rPr>
        <w:t>Cicourel</w:t>
      </w:r>
      <w:proofErr w:type="spellEnd"/>
      <w:r w:rsidRPr="00705367">
        <w:rPr>
          <w:rFonts w:eastAsiaTheme="majorEastAsia"/>
        </w:rPr>
        <w:t>, 1963). Nor does statistical instruction alone explain why criminal-history score is both a legally relevant variable and a record shaped by earlier system contact (</w:t>
      </w:r>
      <w:proofErr w:type="spellStart"/>
      <w:r w:rsidRPr="00705367">
        <w:rPr>
          <w:rFonts w:eastAsiaTheme="majorEastAsia"/>
        </w:rPr>
        <w:t>Kurlychek</w:t>
      </w:r>
      <w:proofErr w:type="spellEnd"/>
      <w:r w:rsidRPr="00705367">
        <w:rPr>
          <w:rFonts w:eastAsiaTheme="majorEastAsia"/>
        </w:rPr>
        <w:t xml:space="preserve"> &amp; Johnson, 2019, pp. 299, 308).</w:t>
      </w:r>
    </w:p>
    <w:p w14:paraId="38021CB3" w14:textId="77777777" w:rsidR="0081660B" w:rsidRDefault="0081660B" w:rsidP="00837046">
      <w:pPr>
        <w:spacing w:line="480" w:lineRule="auto"/>
        <w:rPr>
          <w:rFonts w:eastAsiaTheme="majorEastAsia"/>
        </w:rPr>
      </w:pPr>
      <w:r w:rsidRPr="0081660B">
        <w:rPr>
          <w:rFonts w:eastAsiaTheme="majorEastAsia"/>
        </w:rPr>
        <w:t>Criminal-justice instruction can supply that institutional and legal context. It can explain how cases move through policing, prosecution, plea bargaining, conviction, sentencing, and correctional practices (</w:t>
      </w:r>
      <w:proofErr w:type="spellStart"/>
      <w:r w:rsidRPr="0081660B">
        <w:rPr>
          <w:rFonts w:eastAsiaTheme="majorEastAsia"/>
        </w:rPr>
        <w:t>Kurlychek</w:t>
      </w:r>
      <w:proofErr w:type="spellEnd"/>
      <w:r w:rsidRPr="0081660B">
        <w:rPr>
          <w:rFonts w:eastAsiaTheme="majorEastAsia"/>
        </w:rPr>
        <w:t xml:space="preserve"> &amp; Johnson, 2019). Yet criminal-justice curricula vary substantially, and substantive institutional instruction does not necessarily carry students through a complete statistical investigation (Southerland, 2002). Such an investigation requires students to define the analytical population, examine the denominator, evaluate whether a comparison remains stable under alternative specifications, and connect the resulting statistic to the system from which the data arose (Wild &amp; </w:t>
      </w:r>
      <w:proofErr w:type="spellStart"/>
      <w:r w:rsidRPr="0081660B">
        <w:rPr>
          <w:rFonts w:eastAsiaTheme="majorEastAsia"/>
        </w:rPr>
        <w:t>Pfannkuch</w:t>
      </w:r>
      <w:proofErr w:type="spellEnd"/>
      <w:r w:rsidRPr="0081660B">
        <w:rPr>
          <w:rFonts w:eastAsiaTheme="majorEastAsia"/>
        </w:rPr>
        <w:t>, 1999, pp. 225–231). It also requires a reproducible record of the data, decisions, and computational steps through which the result was produced (Sandve et al., 2013).</w:t>
      </w:r>
    </w:p>
    <w:p w14:paraId="6680CEDE" w14:textId="77777777" w:rsidR="00091A88" w:rsidRDefault="00091A88" w:rsidP="00837046">
      <w:pPr>
        <w:spacing w:line="480" w:lineRule="auto"/>
        <w:rPr>
          <w:rFonts w:eastAsiaTheme="majorEastAsia"/>
        </w:rPr>
      </w:pPr>
      <w:r w:rsidRPr="00091A88">
        <w:rPr>
          <w:rFonts w:eastAsiaTheme="majorEastAsia"/>
        </w:rPr>
        <w:t xml:space="preserve">Responsible sentencing-data analysis requires these forms of knowledge together. Students need statistical literacy to understand distributions and denominators; institutional knowledge to understand how the records were produced; legal knowledge to distinguish presumptive duration from pronounced or served time; and methodological restraint to separate a descriptive pattern from an explanation of its cause. Statistical literacy itself depends upon the integration of statistical knowledge with contextual knowledge and a critical capacity to evaluate the meaning and limits of statistical information (Gal, 2002, p. 4). A curriculum that supplies only one part of this </w:t>
      </w:r>
      <w:r w:rsidRPr="00091A88">
        <w:rPr>
          <w:rFonts w:eastAsiaTheme="majorEastAsia"/>
        </w:rPr>
        <w:lastRenderedPageBreak/>
        <w:t>combination risks producing either computation without context or context without reproducible empirical practice.</w:t>
      </w:r>
    </w:p>
    <w:p w14:paraId="72CA5234" w14:textId="06956B7E" w:rsidR="00FA1876" w:rsidRPr="00FA1876" w:rsidRDefault="00FA1876" w:rsidP="00837046">
      <w:pPr>
        <w:spacing w:line="480" w:lineRule="auto"/>
        <w:rPr>
          <w:rFonts w:eastAsiaTheme="majorEastAsia"/>
        </w:rPr>
      </w:pPr>
      <w:r w:rsidRPr="00FA1876">
        <w:rPr>
          <w:rFonts w:eastAsiaTheme="majorEastAsia"/>
        </w:rPr>
        <w:t xml:space="preserve">This project addresses that gap through the Minnesota Sentencing Explorer and an accompanying curriculum. The Explorer is an interactive environment for filtering, summarizing, comparing, and visualizing Minnesota felony sentencing records. Its curriculum places those operations within the institutional history and legal structure of Minnesota sentencing. Students do not encounter the software as a neutral answer </w:t>
      </w:r>
      <w:r w:rsidR="006A6D83" w:rsidRPr="00FA1876">
        <w:rPr>
          <w:rFonts w:eastAsiaTheme="majorEastAsia"/>
        </w:rPr>
        <w:t>machine</w:t>
      </w:r>
      <w:r w:rsidR="006A6D83">
        <w:rPr>
          <w:rFonts w:eastAsiaTheme="majorEastAsia"/>
        </w:rPr>
        <w:t>; they experience it as an interactive system.</w:t>
      </w:r>
    </w:p>
    <w:p w14:paraId="34BD101F" w14:textId="5FFC6F37" w:rsidR="00FA1876" w:rsidRPr="00FA1876" w:rsidRDefault="00FA1876" w:rsidP="00837046">
      <w:pPr>
        <w:pStyle w:val="Heading3"/>
        <w:spacing w:line="480" w:lineRule="auto"/>
      </w:pPr>
      <w:r w:rsidRPr="00FA1876">
        <w:t>The Project and Its Design Questions</w:t>
      </w:r>
    </w:p>
    <w:p w14:paraId="76BE07A8" w14:textId="0EA0C24D" w:rsidR="00FA1876" w:rsidRPr="00FA1876" w:rsidRDefault="00FA1876" w:rsidP="00837046">
      <w:pPr>
        <w:spacing w:line="480" w:lineRule="auto"/>
        <w:rPr>
          <w:rFonts w:eastAsiaTheme="majorEastAsia"/>
        </w:rPr>
      </w:pPr>
      <w:r w:rsidRPr="00FA1876">
        <w:rPr>
          <w:rFonts w:eastAsiaTheme="majorEastAsia"/>
        </w:rPr>
        <w:t>The Explorer works with approximately 294,000 Minnesota felony sentencing records covering 2001 through 2019 (Minnesota Sentencing Explorer, 2026). These records originate in the monitoring work of the Minnesota Sentencing Guidelines Commission, the institution created by the Minnesota Legislature in 1978 to develop and oversee presumptive felony-sentencing guidelines (Frase, 2005; Minnesota Sentencing Guidelines Commission, n.d.). The records offer substantial opportunities for descriptive inquiry across years, offense classifications, severity levels, criminal-history scores, geography, demographic categories, and presumptive sentence durations.</w:t>
      </w:r>
    </w:p>
    <w:p w14:paraId="61B30AF5" w14:textId="6589C4D8" w:rsidR="00FA1876" w:rsidRPr="00FA1876" w:rsidRDefault="00FA1876" w:rsidP="00837046">
      <w:pPr>
        <w:spacing w:line="480" w:lineRule="auto"/>
        <w:rPr>
          <w:rFonts w:eastAsiaTheme="majorEastAsia"/>
        </w:rPr>
      </w:pPr>
      <w:r w:rsidRPr="00FA1876">
        <w:rPr>
          <w:rFonts w:eastAsiaTheme="majorEastAsia"/>
        </w:rPr>
        <w:t xml:space="preserve">The Explorer pairs that analytical capacity with an ordered filter history. Each filter becomes a visible step in the construction of the current population. Students can revert to an earlier step or clear the history and return to the full dataset. A cross-tabulation can be understood as a compact display of multiple filtered populations rather than as an opaque statistical object. The interface thereby makes the path to a result available for </w:t>
      </w:r>
      <w:r w:rsidR="006A6D83">
        <w:rPr>
          <w:rFonts w:eastAsiaTheme="majorEastAsia"/>
        </w:rPr>
        <w:t xml:space="preserve">intuitive </w:t>
      </w:r>
      <w:r w:rsidRPr="00FA1876">
        <w:rPr>
          <w:rFonts w:eastAsiaTheme="majorEastAsia"/>
        </w:rPr>
        <w:t xml:space="preserve">inspection and repetition. </w:t>
      </w:r>
      <w:r w:rsidR="006A6D83">
        <w:rPr>
          <w:rFonts w:eastAsiaTheme="majorEastAsia"/>
        </w:rPr>
        <w:t>As regards student experience, in</w:t>
      </w:r>
      <w:r w:rsidRPr="00FA1876">
        <w:rPr>
          <w:rFonts w:eastAsiaTheme="majorEastAsia"/>
        </w:rPr>
        <w:t xml:space="preserve"> the project’s governing phrase, the filter history is the methods section.</w:t>
      </w:r>
    </w:p>
    <w:p w14:paraId="36A21F2B" w14:textId="7559D949" w:rsidR="00FA1876" w:rsidRPr="00FA1876" w:rsidRDefault="00FA1876" w:rsidP="00837046">
      <w:pPr>
        <w:spacing w:line="480" w:lineRule="auto"/>
        <w:rPr>
          <w:rFonts w:eastAsiaTheme="majorEastAsia"/>
        </w:rPr>
      </w:pPr>
      <w:r w:rsidRPr="00FA1876">
        <w:rPr>
          <w:rFonts w:eastAsiaTheme="majorEastAsia"/>
        </w:rPr>
        <w:t>Four design questions organize the project.</w:t>
      </w:r>
    </w:p>
    <w:p w14:paraId="0575D649" w14:textId="0B3D658F" w:rsidR="00FA1876" w:rsidRPr="00FA1876" w:rsidRDefault="00FA1876" w:rsidP="00837046">
      <w:pPr>
        <w:spacing w:line="480" w:lineRule="auto"/>
        <w:rPr>
          <w:rFonts w:eastAsiaTheme="majorEastAsia"/>
        </w:rPr>
      </w:pPr>
      <w:r w:rsidRPr="00FA1876">
        <w:rPr>
          <w:rFonts w:eastAsiaTheme="majorEastAsia"/>
        </w:rPr>
        <w:lastRenderedPageBreak/>
        <w:t xml:space="preserve">First, </w:t>
      </w:r>
      <w:r w:rsidRPr="00837046">
        <w:rPr>
          <w:rFonts w:eastAsiaTheme="majorEastAsia"/>
          <w:b/>
          <w:bCs/>
        </w:rPr>
        <w:t>how can an interface make the current population</w:t>
      </w:r>
      <w:r w:rsidR="006A6D83" w:rsidRPr="00837046">
        <w:rPr>
          <w:rFonts w:eastAsiaTheme="majorEastAsia"/>
          <w:b/>
          <w:bCs/>
        </w:rPr>
        <w:t xml:space="preserve"> </w:t>
      </w:r>
      <w:r w:rsidRPr="00837046">
        <w:rPr>
          <w:rFonts w:eastAsiaTheme="majorEastAsia"/>
          <w:b/>
          <w:bCs/>
        </w:rPr>
        <w:t>and the history that produced it</w:t>
      </w:r>
      <w:r w:rsidR="006A6D83" w:rsidRPr="00837046">
        <w:rPr>
          <w:rFonts w:eastAsiaTheme="majorEastAsia"/>
          <w:b/>
          <w:bCs/>
        </w:rPr>
        <w:t xml:space="preserve"> </w:t>
      </w:r>
      <w:r w:rsidRPr="00837046">
        <w:rPr>
          <w:rFonts w:eastAsiaTheme="majorEastAsia"/>
          <w:b/>
          <w:bCs/>
        </w:rPr>
        <w:t>visible?</w:t>
      </w:r>
      <w:r w:rsidRPr="00FA1876">
        <w:rPr>
          <w:rFonts w:eastAsiaTheme="majorEastAsia"/>
        </w:rPr>
        <w:t xml:space="preserve"> </w:t>
      </w:r>
      <w:r w:rsidRPr="006A6D83">
        <w:rPr>
          <w:rFonts w:eastAsiaTheme="majorEastAsia"/>
          <w:color w:val="EE0000"/>
        </w:rPr>
        <w:t xml:space="preserve">A statistic without its population is easily detached from its </w:t>
      </w:r>
      <w:proofErr w:type="gramStart"/>
      <w:r w:rsidRPr="006A6D83">
        <w:rPr>
          <w:rFonts w:eastAsiaTheme="majorEastAsia"/>
          <w:color w:val="EE0000"/>
        </w:rPr>
        <w:t>meaning</w:t>
      </w:r>
      <w:r w:rsidR="009F0FCD">
        <w:rPr>
          <w:rFonts w:eastAsiaTheme="majorEastAsia"/>
          <w:color w:val="EE0000"/>
        </w:rPr>
        <w:t>[</w:t>
      </w:r>
      <w:proofErr w:type="gramEnd"/>
      <w:r w:rsidR="009F0FCD">
        <w:rPr>
          <w:rFonts w:eastAsiaTheme="majorEastAsia"/>
          <w:color w:val="EE0000"/>
        </w:rPr>
        <w:t>1]</w:t>
      </w:r>
      <w:r w:rsidRPr="006A6D83">
        <w:rPr>
          <w:rFonts w:eastAsiaTheme="majorEastAsia"/>
          <w:color w:val="EE0000"/>
        </w:rPr>
        <w:t xml:space="preserve">. </w:t>
      </w:r>
      <w:r w:rsidRPr="00FA1876">
        <w:rPr>
          <w:rFonts w:eastAsiaTheme="majorEastAsia"/>
        </w:rPr>
        <w:t>The Explorer therefore treats the number of sentencing records in view, the filters applied, and their order as part of the result rather than as disposable setup.</w:t>
      </w:r>
      <w:r w:rsidR="006A6D83">
        <w:rPr>
          <w:rFonts w:eastAsiaTheme="majorEastAsia"/>
        </w:rPr>
        <w:t xml:space="preserve"> Furthermore, the filter section includes a specific tab that converts the coded values of Minnesota Offense Code into their human-readable codebook values.</w:t>
      </w:r>
    </w:p>
    <w:p w14:paraId="6630D44F" w14:textId="47D729F5" w:rsidR="00FA1876" w:rsidRPr="006A6D83" w:rsidRDefault="00FA1876" w:rsidP="00837046">
      <w:pPr>
        <w:spacing w:line="480" w:lineRule="auto"/>
        <w:rPr>
          <w:rFonts w:eastAsiaTheme="majorEastAsia"/>
          <w:color w:val="EE0000"/>
        </w:rPr>
      </w:pPr>
      <w:r w:rsidRPr="00FA1876">
        <w:rPr>
          <w:rFonts w:eastAsiaTheme="majorEastAsia"/>
        </w:rPr>
        <w:t xml:space="preserve">Second, </w:t>
      </w:r>
      <w:r w:rsidRPr="00837046">
        <w:rPr>
          <w:rFonts w:eastAsiaTheme="majorEastAsia"/>
          <w:b/>
          <w:bCs/>
        </w:rPr>
        <w:t xml:space="preserve">what legal, institutional, and statistical knowledge must students possess </w:t>
      </w:r>
      <w:proofErr w:type="gramStart"/>
      <w:r w:rsidR="006A6D83" w:rsidRPr="00837046">
        <w:rPr>
          <w:rFonts w:eastAsiaTheme="majorEastAsia"/>
          <w:b/>
          <w:bCs/>
        </w:rPr>
        <w:t>before a</w:t>
      </w:r>
      <w:proofErr w:type="gramEnd"/>
      <w:r w:rsidRPr="00837046">
        <w:rPr>
          <w:rFonts w:eastAsiaTheme="majorEastAsia"/>
          <w:b/>
          <w:bCs/>
        </w:rPr>
        <w:t xml:space="preserve"> </w:t>
      </w:r>
      <w:proofErr w:type="gramStart"/>
      <w:r w:rsidRPr="00837046">
        <w:rPr>
          <w:rFonts w:eastAsiaTheme="majorEastAsia"/>
          <w:b/>
          <w:bCs/>
        </w:rPr>
        <w:t>sentencing</w:t>
      </w:r>
      <w:proofErr w:type="gramEnd"/>
      <w:r w:rsidRPr="00837046">
        <w:rPr>
          <w:rFonts w:eastAsiaTheme="majorEastAsia"/>
          <w:b/>
          <w:bCs/>
        </w:rPr>
        <w:t xml:space="preserve"> </w:t>
      </w:r>
      <w:proofErr w:type="gramStart"/>
      <w:r w:rsidRPr="00837046">
        <w:rPr>
          <w:rFonts w:eastAsiaTheme="majorEastAsia"/>
          <w:b/>
          <w:bCs/>
        </w:rPr>
        <w:t>statistic becomes</w:t>
      </w:r>
      <w:proofErr w:type="gramEnd"/>
      <w:r w:rsidRPr="00837046">
        <w:rPr>
          <w:rFonts w:eastAsiaTheme="majorEastAsia"/>
          <w:b/>
          <w:bCs/>
        </w:rPr>
        <w:t xml:space="preserve"> interpretable?</w:t>
      </w:r>
      <w:r w:rsidRPr="00FA1876">
        <w:rPr>
          <w:rFonts w:eastAsiaTheme="majorEastAsia"/>
        </w:rPr>
        <w:t xml:space="preserve"> </w:t>
      </w:r>
      <w:r w:rsidRPr="006A6D83">
        <w:rPr>
          <w:rFonts w:eastAsiaTheme="majorEastAsia"/>
          <w:color w:val="EE0000"/>
        </w:rPr>
        <w:t>Students must understand administrative provenance, the criminal-justice funnel, Minnesota’s sentencing grids, offense classification, criminal-history scoring, presumptive disposition and duration, and basic descriptive statistics. No single body of knowledge is adequate alone.</w:t>
      </w:r>
    </w:p>
    <w:p w14:paraId="14A90610" w14:textId="614C2FBE" w:rsidR="00FA1876" w:rsidRPr="00FA1876" w:rsidRDefault="00FA1876" w:rsidP="00837046">
      <w:pPr>
        <w:spacing w:line="480" w:lineRule="auto"/>
        <w:rPr>
          <w:rFonts w:eastAsiaTheme="majorEastAsia"/>
        </w:rPr>
      </w:pPr>
      <w:r w:rsidRPr="00FA1876">
        <w:rPr>
          <w:rFonts w:eastAsiaTheme="majorEastAsia"/>
        </w:rPr>
        <w:t xml:space="preserve">Third, </w:t>
      </w:r>
      <w:r w:rsidRPr="00837046">
        <w:rPr>
          <w:rFonts w:eastAsiaTheme="majorEastAsia"/>
          <w:b/>
          <w:bCs/>
        </w:rPr>
        <w:t>how should that knowledge be sequenced before students compare sentences by sex or race?</w:t>
      </w:r>
      <w:r w:rsidRPr="00FA1876">
        <w:rPr>
          <w:rFonts w:eastAsiaTheme="majorEastAsia"/>
        </w:rPr>
        <w:t xml:space="preserve"> </w:t>
      </w:r>
      <w:r w:rsidRPr="006A6D83">
        <w:rPr>
          <w:rFonts w:eastAsiaTheme="majorEastAsia"/>
          <w:color w:val="EE0000"/>
        </w:rPr>
        <w:t xml:space="preserve">Sensitive comparisons should not be the first encounter with conditioning, unequal group sizes, compositional differences, or omitted variables. </w:t>
      </w:r>
      <w:r w:rsidRPr="00FA1876">
        <w:rPr>
          <w:rFonts w:eastAsiaTheme="majorEastAsia"/>
        </w:rPr>
        <w:t>The curriculum therefore begins with provenance and population, introduces the Explorer’s operations, develops statistical and sentencing-system knowledge, and teaches conditioning before asking students to interpret demographic disparities.</w:t>
      </w:r>
    </w:p>
    <w:p w14:paraId="2B0BA0EF" w14:textId="42D06B7B" w:rsidR="00FA1876" w:rsidRPr="00FA1876" w:rsidRDefault="00FA1876" w:rsidP="00837046">
      <w:pPr>
        <w:spacing w:line="480" w:lineRule="auto"/>
        <w:rPr>
          <w:rFonts w:eastAsiaTheme="majorEastAsia"/>
        </w:rPr>
      </w:pPr>
      <w:r w:rsidRPr="00FA1876">
        <w:rPr>
          <w:rFonts w:eastAsiaTheme="majorEastAsia"/>
        </w:rPr>
        <w:t xml:space="preserve">Fourth, </w:t>
      </w:r>
      <w:r w:rsidRPr="00837046">
        <w:rPr>
          <w:rFonts w:eastAsiaTheme="majorEastAsia"/>
          <w:b/>
          <w:bCs/>
        </w:rPr>
        <w:t>how can the learning environment reward reproducibility and restraint?</w:t>
      </w:r>
      <w:r w:rsidRPr="00FA1876">
        <w:rPr>
          <w:rFonts w:eastAsiaTheme="majorEastAsia"/>
        </w:rPr>
        <w:t xml:space="preserve"> </w:t>
      </w:r>
      <w:r w:rsidRPr="006A6D83">
        <w:rPr>
          <w:rFonts w:eastAsiaTheme="majorEastAsia"/>
          <w:color w:val="EE0000"/>
        </w:rPr>
        <w:t>A successful analysis is not merely one that produces a plausible number. It should allow another reader to rebuild the population, identify the unit being counted, inspect the denominator, understand the chosen summary, and distinguish the reported pattern from any proposed explanation.</w:t>
      </w:r>
      <w:r w:rsidRPr="00FA1876">
        <w:rPr>
          <w:rFonts w:eastAsiaTheme="majorEastAsia"/>
        </w:rPr>
        <w:t xml:space="preserve"> The curriculum treats bounded language and explicit limitations as evidence of competence rather than signs of analytical weakness.</w:t>
      </w:r>
    </w:p>
    <w:p w14:paraId="738D8D3E" w14:textId="58B27BCC" w:rsidR="00FA1876" w:rsidRPr="00FA1876" w:rsidRDefault="00FA1876" w:rsidP="00837046">
      <w:pPr>
        <w:pStyle w:val="Heading3"/>
        <w:spacing w:line="480" w:lineRule="auto"/>
      </w:pPr>
      <w:r w:rsidRPr="00FA1876">
        <w:lastRenderedPageBreak/>
        <w:t>Central Argument</w:t>
      </w:r>
    </w:p>
    <w:p w14:paraId="2C1BEF1E" w14:textId="78DF478D" w:rsidR="00FA1876" w:rsidRPr="00FA1876" w:rsidRDefault="00FA1876" w:rsidP="00837046">
      <w:pPr>
        <w:spacing w:line="480" w:lineRule="auto"/>
        <w:rPr>
          <w:rFonts w:eastAsiaTheme="majorEastAsia"/>
        </w:rPr>
      </w:pPr>
      <w:r w:rsidRPr="00FA1876">
        <w:rPr>
          <w:rFonts w:eastAsiaTheme="majorEastAsia"/>
          <w:b/>
          <w:bCs/>
        </w:rPr>
        <w:t>Thesi</w:t>
      </w:r>
      <w:r w:rsidR="00837046">
        <w:rPr>
          <w:rFonts w:eastAsiaTheme="majorEastAsia"/>
          <w:b/>
          <w:bCs/>
        </w:rPr>
        <w:t>s</w:t>
      </w:r>
      <w:r w:rsidRPr="00FA1876">
        <w:rPr>
          <w:rFonts w:eastAsiaTheme="majorEastAsia"/>
        </w:rPr>
        <w:t xml:space="preserve">: The Minnesota Sentencing Explorer </w:t>
      </w:r>
      <w:r w:rsidR="00837046">
        <w:rPr>
          <w:rFonts w:eastAsiaTheme="majorEastAsia"/>
        </w:rPr>
        <w:t>and</w:t>
      </w:r>
      <w:r w:rsidRPr="00FA1876">
        <w:rPr>
          <w:rFonts w:eastAsiaTheme="majorEastAsia"/>
        </w:rPr>
        <w:t xml:space="preserve"> its accompanying curriculum </w:t>
      </w:r>
      <w:r w:rsidR="00837046">
        <w:rPr>
          <w:rFonts w:eastAsiaTheme="majorEastAsia"/>
        </w:rPr>
        <w:t xml:space="preserve">have been created to </w:t>
      </w:r>
      <w:r w:rsidRPr="00FA1876">
        <w:rPr>
          <w:rFonts w:eastAsiaTheme="majorEastAsia"/>
        </w:rPr>
        <w:t>teach responsible analysis of administrative sentencing data by making four interpretive decisions visible and repeatable: where a statistic sits in the criminal-justice funnel, what unit it counts, how selection and filtering define its population, and whether the resulting claim is descriptive or causal.</w:t>
      </w:r>
    </w:p>
    <w:p w14:paraId="126F8B4C" w14:textId="66C5B1E2" w:rsidR="00FA1876" w:rsidRPr="00FA1876" w:rsidRDefault="00FA1876" w:rsidP="00837046">
      <w:pPr>
        <w:spacing w:line="480" w:lineRule="auto"/>
        <w:rPr>
          <w:rFonts w:eastAsiaTheme="majorEastAsia"/>
        </w:rPr>
      </w:pPr>
      <w:r w:rsidRPr="00FA1876">
        <w:rPr>
          <w:rFonts w:eastAsiaTheme="majorEastAsia"/>
        </w:rPr>
        <w:t xml:space="preserve">The first recurring question is: </w:t>
      </w:r>
      <w:r w:rsidRPr="00FA1876">
        <w:rPr>
          <w:rFonts w:eastAsiaTheme="majorEastAsia"/>
          <w:b/>
          <w:bCs/>
        </w:rPr>
        <w:t>Where in the criminal-justice funnel does this number sit?</w:t>
      </w:r>
      <w:r w:rsidRPr="00FA1876">
        <w:rPr>
          <w:rFonts w:eastAsiaTheme="majorEastAsia"/>
        </w:rPr>
        <w:t xml:space="preserve"> A felony sentence occurs near the end of a process extending from conduct and victimization through reporting, policing, charging, bargaining, conviction, and sentencing. The funnel metaphor emphasizes that cases leave the process at every stage (President’s Commission on Law Enforcement and Administration of Justice, 1967). Minnesota’s sentencing records observe cases that reached the bottom. They do not directly observe unreported conduct, reported offenses that led to no arrest, arrests that led to no charge, dismissed or acquitted cases, or matters resolved outside felony sentencing.</w:t>
      </w:r>
    </w:p>
    <w:p w14:paraId="0F78EFA4" w14:textId="413B7E34" w:rsidR="00FA1876" w:rsidRPr="00FA1876" w:rsidRDefault="00FA1876" w:rsidP="00837046">
      <w:pPr>
        <w:spacing w:line="480" w:lineRule="auto"/>
        <w:rPr>
          <w:rFonts w:eastAsiaTheme="majorEastAsia"/>
        </w:rPr>
      </w:pPr>
      <w:r w:rsidRPr="00FA1876">
        <w:rPr>
          <w:rFonts w:eastAsiaTheme="majorEastAsia"/>
        </w:rPr>
        <w:t xml:space="preserve">Sellin’s (1931) principle that official statistics become less useful as measures of crime the farther they are produced from the underlying act is especially relevant here. A sentencing record is a strong record of what the legal system classified and recommended at sentencing. It is </w:t>
      </w:r>
      <w:r w:rsidR="00837046">
        <w:rPr>
          <w:rFonts w:eastAsiaTheme="majorEastAsia"/>
        </w:rPr>
        <w:t xml:space="preserve">conversely </w:t>
      </w:r>
      <w:r w:rsidRPr="00FA1876">
        <w:rPr>
          <w:rFonts w:eastAsiaTheme="majorEastAsia"/>
        </w:rPr>
        <w:t xml:space="preserve">a weak proxy for the total amount or distribution of criminal conduct. </w:t>
      </w:r>
      <w:r w:rsidRPr="009F0FCD">
        <w:rPr>
          <w:rFonts w:eastAsiaTheme="majorEastAsia"/>
          <w:color w:val="EE0000"/>
        </w:rPr>
        <w:t xml:space="preserve">The distinction is not a disclaimer </w:t>
      </w:r>
      <w:r w:rsidR="00837046" w:rsidRPr="009F0FCD">
        <w:rPr>
          <w:rFonts w:eastAsiaTheme="majorEastAsia"/>
          <w:color w:val="EE0000"/>
        </w:rPr>
        <w:t xml:space="preserve">which can be </w:t>
      </w:r>
      <w:r w:rsidRPr="009F0FCD">
        <w:rPr>
          <w:rFonts w:eastAsiaTheme="majorEastAsia"/>
          <w:color w:val="EE0000"/>
        </w:rPr>
        <w:t>added after the analysis</w:t>
      </w:r>
      <w:r w:rsidR="00837046" w:rsidRPr="009F0FCD">
        <w:rPr>
          <w:rFonts w:eastAsiaTheme="majorEastAsia"/>
          <w:color w:val="EE0000"/>
        </w:rPr>
        <w:t>, i</w:t>
      </w:r>
      <w:r w:rsidRPr="009F0FCD">
        <w:rPr>
          <w:rFonts w:eastAsiaTheme="majorEastAsia"/>
          <w:color w:val="EE0000"/>
        </w:rPr>
        <w:t>t</w:t>
      </w:r>
      <w:r w:rsidR="00837046" w:rsidRPr="009F0FCD">
        <w:rPr>
          <w:rFonts w:eastAsiaTheme="majorEastAsia"/>
          <w:color w:val="EE0000"/>
        </w:rPr>
        <w:t xml:space="preserve"> is intrinsic and</w:t>
      </w:r>
      <w:r w:rsidRPr="009F0FCD">
        <w:rPr>
          <w:rFonts w:eastAsiaTheme="majorEastAsia"/>
          <w:color w:val="EE0000"/>
        </w:rPr>
        <w:t xml:space="preserve"> determines which questions the data can answer in the first place.</w:t>
      </w:r>
    </w:p>
    <w:p w14:paraId="3F877CE3" w14:textId="46B56E56" w:rsidR="00FA1876" w:rsidRPr="00FA1876" w:rsidRDefault="00FA1876" w:rsidP="00837046">
      <w:pPr>
        <w:spacing w:line="480" w:lineRule="auto"/>
        <w:rPr>
          <w:rFonts w:eastAsiaTheme="majorEastAsia"/>
        </w:rPr>
      </w:pPr>
      <w:r w:rsidRPr="00FA1876">
        <w:rPr>
          <w:rFonts w:eastAsiaTheme="majorEastAsia"/>
        </w:rPr>
        <w:t xml:space="preserve">The second question is: </w:t>
      </w:r>
      <w:r w:rsidRPr="009F0FCD">
        <w:rPr>
          <w:rFonts w:eastAsiaTheme="majorEastAsia"/>
          <w:b/>
          <w:bCs/>
        </w:rPr>
        <w:t>What is the unit of analysis?</w:t>
      </w:r>
      <w:r w:rsidRPr="00FA1876">
        <w:rPr>
          <w:rFonts w:eastAsiaTheme="majorEastAsia"/>
        </w:rPr>
        <w:t xml:space="preserve"> In this project, one row is one sentencing record. It is not automatically one unique person, one criminal event, or one offense committed. Under the Commission’s documented counting rule, multiple offenses sentenced for the same </w:t>
      </w:r>
      <w:r w:rsidRPr="00FA1876">
        <w:rPr>
          <w:rFonts w:eastAsiaTheme="majorEastAsia"/>
        </w:rPr>
        <w:lastRenderedPageBreak/>
        <w:t>person in the same county within a 30-day period are combined into a record represented by the most serious offense (Minnesota Sentencing Guidelines Commission, 2018). A person can also appear in more than one record over time. Counts must therefore be described as counts of sentencing records unless a more precise documented rule requires additional explanation. This vocabulary prevents a common but serious inflation of meaning: transforming records into people or crimes without evidentiary support.</w:t>
      </w:r>
    </w:p>
    <w:p w14:paraId="5C8C5DAB" w14:textId="78963219" w:rsidR="00FA1876" w:rsidRPr="00FA1876" w:rsidRDefault="00FA1876" w:rsidP="00837046">
      <w:pPr>
        <w:spacing w:line="480" w:lineRule="auto"/>
        <w:rPr>
          <w:rFonts w:eastAsiaTheme="majorEastAsia"/>
        </w:rPr>
      </w:pPr>
      <w:r w:rsidRPr="00FA1876">
        <w:rPr>
          <w:rFonts w:eastAsiaTheme="majorEastAsia"/>
        </w:rPr>
        <w:t xml:space="preserve">The third question is: </w:t>
      </w:r>
      <w:r w:rsidRPr="00FA1876">
        <w:rPr>
          <w:rFonts w:eastAsiaTheme="majorEastAsia"/>
          <w:b/>
          <w:bCs/>
        </w:rPr>
        <w:t>What has been selected, filtered, excluded, combined, or collapsed?</w:t>
      </w:r>
      <w:r>
        <w:rPr>
          <w:rFonts w:eastAsiaTheme="majorEastAsia"/>
        </w:rPr>
        <w:t xml:space="preserve"> </w:t>
      </w:r>
      <w:r w:rsidRPr="00FA1876">
        <w:rPr>
          <w:rFonts w:eastAsiaTheme="majorEastAsia"/>
        </w:rPr>
        <w:t xml:space="preserve">Selection begins before the dataset exists. Each stage of the criminal-justice funnel changes which cases can reach sentencing, producing a population that is not a random sample of all conduct or even all system contacts (Bushway et al., 2007). Selection continues within the Explorer. A year restriction, offense filter, severity level, criminal-history score, or geographic choice creates a new analytical population. </w:t>
      </w:r>
      <w:r w:rsidRPr="009F0FCD">
        <w:rPr>
          <w:rFonts w:eastAsiaTheme="majorEastAsia"/>
          <w:color w:val="EE0000"/>
        </w:rPr>
        <w:t xml:space="preserve">Neither the filtered statistic nor the unfiltered </w:t>
      </w:r>
      <w:proofErr w:type="gramStart"/>
      <w:r w:rsidRPr="009F0FCD">
        <w:rPr>
          <w:rFonts w:eastAsiaTheme="majorEastAsia"/>
          <w:color w:val="EE0000"/>
        </w:rPr>
        <w:t>statistic is</w:t>
      </w:r>
      <w:proofErr w:type="gramEnd"/>
      <w:r w:rsidRPr="009F0FCD">
        <w:rPr>
          <w:rFonts w:eastAsiaTheme="majorEastAsia"/>
          <w:color w:val="EE0000"/>
        </w:rPr>
        <w:t xml:space="preserve"> meaningful without that population</w:t>
      </w:r>
      <w:r w:rsidR="009F0FCD">
        <w:rPr>
          <w:rFonts w:eastAsiaTheme="majorEastAsia"/>
          <w:color w:val="EE0000"/>
        </w:rPr>
        <w:t xml:space="preserve"> [1]</w:t>
      </w:r>
      <w:r w:rsidRPr="009F0FCD">
        <w:rPr>
          <w:rFonts w:eastAsiaTheme="majorEastAsia"/>
          <w:color w:val="EE0000"/>
        </w:rPr>
        <w:t>.</w:t>
      </w:r>
    </w:p>
    <w:p w14:paraId="602A190F" w14:textId="377FBD96" w:rsidR="00FA1876" w:rsidRPr="00FA1876" w:rsidRDefault="00FA1876" w:rsidP="00837046">
      <w:pPr>
        <w:spacing w:line="480" w:lineRule="auto"/>
        <w:rPr>
          <w:rFonts w:eastAsiaTheme="majorEastAsia"/>
        </w:rPr>
      </w:pPr>
      <w:r w:rsidRPr="00FA1876">
        <w:rPr>
          <w:rFonts w:eastAsiaTheme="majorEastAsia"/>
        </w:rPr>
        <w:t>Making filter history visible turns this limitation into a pedagogical resource. Students can watch the number of sentencing records change as restrictions are added. They can reproduce a cross-tabulation cell by manually rebuilding its filters. They can observe whether an apparent group difference narrows, remains, disappears, or reverses as case composition becomes more comparable.</w:t>
      </w:r>
      <w:r w:rsidR="009F0FCD">
        <w:rPr>
          <w:rFonts w:eastAsiaTheme="majorEastAsia"/>
        </w:rPr>
        <w:t xml:space="preserve"> Students are able to experience for themselves what the ramifications of a low-N dataset are.</w:t>
      </w:r>
      <w:r w:rsidRPr="00FA1876">
        <w:rPr>
          <w:rFonts w:eastAsiaTheme="majorEastAsia"/>
        </w:rPr>
        <w:t xml:space="preserve"> Filtering thus becomes more than a software function. It becomes a concrete way</w:t>
      </w:r>
      <w:r w:rsidR="009F0FCD">
        <w:rPr>
          <w:rFonts w:eastAsiaTheme="majorEastAsia"/>
        </w:rPr>
        <w:t xml:space="preserve"> for students</w:t>
      </w:r>
      <w:r w:rsidRPr="00FA1876">
        <w:rPr>
          <w:rFonts w:eastAsiaTheme="majorEastAsia"/>
        </w:rPr>
        <w:t xml:space="preserve"> to reason about selection and conditional comparison.</w:t>
      </w:r>
    </w:p>
    <w:p w14:paraId="6A92F5A1" w14:textId="41636C2B" w:rsidR="00FA1876" w:rsidRPr="00FA1876" w:rsidRDefault="00FA1876" w:rsidP="00837046">
      <w:pPr>
        <w:spacing w:line="480" w:lineRule="auto"/>
        <w:rPr>
          <w:rFonts w:eastAsiaTheme="majorEastAsia"/>
        </w:rPr>
      </w:pPr>
      <w:r w:rsidRPr="00FA1876">
        <w:rPr>
          <w:rFonts w:eastAsiaTheme="majorEastAsia"/>
        </w:rPr>
        <w:t xml:space="preserve">The fourth question is: </w:t>
      </w:r>
      <w:r w:rsidRPr="00FA1876">
        <w:rPr>
          <w:rFonts w:eastAsiaTheme="majorEastAsia"/>
          <w:b/>
          <w:bCs/>
        </w:rPr>
        <w:t>Is the claim descriptive, or is it attempting to explain a cause?</w:t>
      </w:r>
      <w:r w:rsidRPr="00FA1876">
        <w:rPr>
          <w:rFonts w:eastAsiaTheme="majorEastAsia"/>
        </w:rPr>
        <w:t xml:space="preserve"> </w:t>
      </w:r>
      <w:r w:rsidRPr="009F0FCD">
        <w:rPr>
          <w:rFonts w:eastAsiaTheme="majorEastAsia"/>
          <w:color w:val="EE0000"/>
        </w:rPr>
        <w:t xml:space="preserve">The Explorer can establish that a disparity appears in the sentencing records. It cannot, by itself, establish that discrimination caused the disparity. Disparity names a measured difference; </w:t>
      </w:r>
      <w:r w:rsidRPr="009F0FCD">
        <w:rPr>
          <w:rFonts w:eastAsiaTheme="majorEastAsia"/>
          <w:color w:val="EE0000"/>
        </w:rPr>
        <w:lastRenderedPageBreak/>
        <w:t xml:space="preserve">discrimination names a causal process of unequal treatment. </w:t>
      </w:r>
      <w:r w:rsidRPr="00FA1876">
        <w:rPr>
          <w:rFonts w:eastAsiaTheme="majorEastAsia"/>
        </w:rPr>
        <w:t>The distinction remains necessary whether conditioning leaves a residual difference or makes a raw difference disappear. A remaining gap may reflect unequal treatment, unmeasured case characteristics, upstream institutional decisions, selection into the dataset, or several processes together. A vanished gap may reflect legally relevant composition, but it may also result from controlling for variables already shaped by earlier discretion. Descriptive records alone do not adjudicate among those possibilities (National Research Council, 1983).</w:t>
      </w:r>
    </w:p>
    <w:p w14:paraId="6F379109" w14:textId="7191A192" w:rsidR="00FA1876" w:rsidRPr="00FA1876" w:rsidRDefault="00FA1876" w:rsidP="00837046">
      <w:pPr>
        <w:spacing w:line="480" w:lineRule="auto"/>
        <w:rPr>
          <w:rFonts w:eastAsiaTheme="majorEastAsia"/>
        </w:rPr>
      </w:pPr>
      <w:r w:rsidRPr="00FA1876">
        <w:rPr>
          <w:rFonts w:eastAsiaTheme="majorEastAsia"/>
        </w:rPr>
        <w:t xml:space="preserve">Together, these four questions provide the conceptual spine of the project. They are not a checklist reserved for controversial </w:t>
      </w:r>
      <w:r w:rsidR="009F0FCD" w:rsidRPr="00FA1876">
        <w:rPr>
          <w:rFonts w:eastAsiaTheme="majorEastAsia"/>
        </w:rPr>
        <w:t>findings</w:t>
      </w:r>
      <w:r w:rsidR="009F0FCD">
        <w:rPr>
          <w:rFonts w:eastAsiaTheme="majorEastAsia"/>
        </w:rPr>
        <w:t>; t</w:t>
      </w:r>
      <w:r w:rsidRPr="00FA1876">
        <w:rPr>
          <w:rFonts w:eastAsiaTheme="majorEastAsia"/>
        </w:rPr>
        <w:t>hey govern</w:t>
      </w:r>
      <w:r w:rsidR="009F0FCD">
        <w:rPr>
          <w:rFonts w:eastAsiaTheme="majorEastAsia"/>
        </w:rPr>
        <w:t>ed</w:t>
      </w:r>
      <w:r w:rsidRPr="00FA1876">
        <w:rPr>
          <w:rFonts w:eastAsiaTheme="majorEastAsia"/>
        </w:rPr>
        <w:t xml:space="preserve"> </w:t>
      </w:r>
      <w:r w:rsidR="009F0FCD">
        <w:rPr>
          <w:rFonts w:eastAsiaTheme="majorEastAsia"/>
        </w:rPr>
        <w:t>the entire development cycle of the</w:t>
      </w:r>
      <w:r w:rsidRPr="00FA1876">
        <w:rPr>
          <w:rFonts w:eastAsiaTheme="majorEastAsia"/>
        </w:rPr>
        <w:t xml:space="preserve"> Explorer.</w:t>
      </w:r>
    </w:p>
    <w:p w14:paraId="1431300F" w14:textId="0832245D" w:rsidR="00FA1876" w:rsidRPr="00FA1876" w:rsidRDefault="00FA1876" w:rsidP="00837046">
      <w:pPr>
        <w:pStyle w:val="Heading3"/>
        <w:spacing w:line="480" w:lineRule="auto"/>
      </w:pPr>
      <w:r w:rsidRPr="00FA1876">
        <w:t>Contribution, Scope, and Boundaries</w:t>
      </w:r>
    </w:p>
    <w:p w14:paraId="25C66B2C" w14:textId="3AFE6AF5" w:rsidR="00FA1876" w:rsidRPr="00FA1876" w:rsidRDefault="00FA1876" w:rsidP="00837046">
      <w:pPr>
        <w:spacing w:line="480" w:lineRule="auto"/>
        <w:rPr>
          <w:rFonts w:eastAsiaTheme="majorEastAsia"/>
        </w:rPr>
      </w:pPr>
      <w:r w:rsidRPr="00FA1876">
        <w:rPr>
          <w:rFonts w:eastAsiaTheme="majorEastAsia"/>
        </w:rPr>
        <w:t>The contribution of this thesis is a designed educational artifact, not a new causal estimate of Minnesota sentencing. The project joins a functioning exploratory interface to a sequenced curriculum that teaches students how to investigate administrative data without confusing ease of computation with strength of evidence. Its innovation lies in making methodological choices visible at the point of analysis</w:t>
      </w:r>
      <w:r w:rsidR="009F0FCD">
        <w:rPr>
          <w:rFonts w:eastAsiaTheme="majorEastAsia"/>
        </w:rPr>
        <w:t xml:space="preserve"> and throughout a student’s investigation of the data</w:t>
      </w:r>
      <w:r w:rsidRPr="00FA1876">
        <w:rPr>
          <w:rFonts w:eastAsiaTheme="majorEastAsia"/>
        </w:rPr>
        <w:t>: the population is shown, filters accumulate into a replayable history, and conclusions are taught alongside the limits of the records that support them.</w:t>
      </w:r>
    </w:p>
    <w:p w14:paraId="4C6CFB9D" w14:textId="11EEEBA0" w:rsidR="00FA1876" w:rsidRDefault="00FA1876" w:rsidP="00837046">
      <w:pPr>
        <w:spacing w:line="480" w:lineRule="auto"/>
        <w:rPr>
          <w:rFonts w:eastAsiaTheme="majorEastAsia"/>
        </w:rPr>
      </w:pPr>
      <w:r w:rsidRPr="00FA1876">
        <w:rPr>
          <w:rFonts w:eastAsiaTheme="majorEastAsia"/>
        </w:rPr>
        <w:t xml:space="preserve">The project is designed for students and educators using Minnesota felony sentencing records from 2001 through 2019. The dataset contains approximately 294,000 sentencing records and more than 100 administrative fields. The Explorer supports filtering, column summaries, cross-tabulation, visualization, comparison, reversion to earlier analytical states, </w:t>
      </w:r>
      <w:r w:rsidR="009F0FCD">
        <w:rPr>
          <w:rFonts w:eastAsiaTheme="majorEastAsia"/>
        </w:rPr>
        <w:t xml:space="preserve">and </w:t>
      </w:r>
      <w:r w:rsidRPr="00FA1876">
        <w:rPr>
          <w:rFonts w:eastAsiaTheme="majorEastAsia"/>
        </w:rPr>
        <w:t>clearing the analysis to begin again</w:t>
      </w:r>
      <w:r w:rsidR="009F0FCD">
        <w:rPr>
          <w:rFonts w:eastAsiaTheme="majorEastAsia"/>
        </w:rPr>
        <w:t>.</w:t>
      </w:r>
      <w:r w:rsidRPr="00FA1876">
        <w:rPr>
          <w:rFonts w:eastAsiaTheme="majorEastAsia"/>
        </w:rPr>
        <w:t xml:space="preserve"> The curriculum uses those operations to teach population definition, descriptive statistics, institutional classification, sentencing-grid structure, conditional </w:t>
      </w:r>
      <w:r w:rsidRPr="00FA1876">
        <w:rPr>
          <w:rFonts w:eastAsiaTheme="majorEastAsia"/>
        </w:rPr>
        <w:lastRenderedPageBreak/>
        <w:t>comparison, and reproducible communication.</w:t>
      </w:r>
      <w:r w:rsidR="009F0FCD">
        <w:rPr>
          <w:rFonts w:eastAsiaTheme="majorEastAsia"/>
        </w:rPr>
        <w:t xml:space="preserve"> Furthermore, the Explorer contains more than a dozen distinct data visualizations, which can be used by students to more intuitively understand the data they’ve filtered. </w:t>
      </w:r>
    </w:p>
    <w:p w14:paraId="356E2ACD" w14:textId="35CFB30E" w:rsidR="009F0FCD" w:rsidRPr="00FA1876" w:rsidRDefault="009F0FCD" w:rsidP="00837046">
      <w:pPr>
        <w:spacing w:line="480" w:lineRule="auto"/>
        <w:rPr>
          <w:rFonts w:eastAsiaTheme="majorEastAsia"/>
        </w:rPr>
      </w:pPr>
      <w:r>
        <w:rPr>
          <w:rFonts w:eastAsiaTheme="majorEastAsia"/>
        </w:rPr>
        <w:t xml:space="preserve">This project </w:t>
      </w:r>
      <w:r w:rsidR="0039383F">
        <w:rPr>
          <w:rFonts w:eastAsiaTheme="majorEastAsia"/>
        </w:rPr>
        <w:t xml:space="preserve">was </w:t>
      </w:r>
      <w:r>
        <w:rPr>
          <w:rFonts w:eastAsiaTheme="majorEastAsia"/>
        </w:rPr>
        <w:t xml:space="preserve">designed to be an Open Educational Resource, free to any </w:t>
      </w:r>
      <w:r w:rsidR="0039383F">
        <w:rPr>
          <w:rFonts w:eastAsiaTheme="majorEastAsia"/>
        </w:rPr>
        <w:t xml:space="preserve">educator who wishes to use it, and thus performance was a major concern during development. The filtering and display functionality of the Explorer is enhanced by both </w:t>
      </w:r>
      <w:proofErr w:type="gramStart"/>
      <w:r w:rsidR="0039383F">
        <w:rPr>
          <w:rFonts w:eastAsiaTheme="majorEastAsia"/>
        </w:rPr>
        <w:t>optimizations</w:t>
      </w:r>
      <w:proofErr w:type="gramEnd"/>
      <w:r w:rsidR="0039383F">
        <w:rPr>
          <w:rFonts w:eastAsiaTheme="majorEastAsia"/>
        </w:rPr>
        <w:t xml:space="preserve"> when possible, but most directly by the inclusion of a dynamic cache system, which avoids the need to recalculate data that’s been filtered before. This choice trades untenable processing and RAM usage for extensive disk usage.</w:t>
      </w:r>
    </w:p>
    <w:p w14:paraId="17888CF1" w14:textId="4D03DC6A" w:rsidR="00FA1876" w:rsidRDefault="00FA1876" w:rsidP="00837046">
      <w:pPr>
        <w:spacing w:line="480" w:lineRule="auto"/>
        <w:rPr>
          <w:rFonts w:eastAsiaTheme="majorEastAsia"/>
        </w:rPr>
      </w:pPr>
      <w:r w:rsidRPr="00FA1876">
        <w:rPr>
          <w:rFonts w:eastAsiaTheme="majorEastAsia"/>
        </w:rPr>
        <w:t xml:space="preserve">That scope carries firm boundaries. The dataset is not a measure of all crime in Minnesota. It does not observe the full criminal-justice funnel, and it cannot recover conduct or decisions that never entered its records. It cannot prove or disprove discrimination from a descriptive group comparison. It is not designed to predict an individual sentence, determine whether a particular sentence was fair, or evaluate the fairness of an automated decision system. Its </w:t>
      </w:r>
      <w:r w:rsidRPr="0039383F">
        <w:rPr>
          <w:rFonts w:eastAsiaTheme="majorEastAsia"/>
          <w:i/>
          <w:iCs/>
        </w:rPr>
        <w:t>time</w:t>
      </w:r>
      <w:r w:rsidRPr="00FA1876">
        <w:rPr>
          <w:rFonts w:eastAsiaTheme="majorEastAsia"/>
        </w:rPr>
        <w:t xml:space="preserve"> field must be treated as presumptive sentence duration, not automatically as the sentence pronounced by a judge or the time a person served. Finally, this thesis does not claim that the curriculum improves student outcomes unless and until such effectiveness is supported by completed evaluation. Design rationale and analytic verification are not substitutes for evidence of learning.</w:t>
      </w:r>
    </w:p>
    <w:p w14:paraId="2E47EB9C" w14:textId="035889D1" w:rsidR="0039383F" w:rsidRPr="00FA1876" w:rsidRDefault="0039383F" w:rsidP="00837046">
      <w:pPr>
        <w:spacing w:line="480" w:lineRule="auto"/>
        <w:rPr>
          <w:rFonts w:eastAsiaTheme="majorEastAsia"/>
        </w:rPr>
      </w:pPr>
      <w:r>
        <w:rPr>
          <w:rFonts w:eastAsiaTheme="majorEastAsia"/>
        </w:rPr>
        <w:t xml:space="preserve">Another boundary bears mention, the original dataset contains personally identifiable information (POI). The choice was made to explicitly exclude any data or filter options which could possibly allow a user to tie a record to a person, as that isn’t the purpose of the software. It was judged that this would be at best a distraction and at worst could be used to unveil someone. This decision also had the fortunate consequence of further optimizing the software as POI is almost completely unique by entry, and thus computationally expensive to filter by. </w:t>
      </w:r>
    </w:p>
    <w:p w14:paraId="78649715" w14:textId="3895EFA8" w:rsidR="00FA1876" w:rsidRPr="00FA1876" w:rsidRDefault="00FA1876" w:rsidP="00837046">
      <w:pPr>
        <w:pStyle w:val="Heading3"/>
        <w:spacing w:line="480" w:lineRule="auto"/>
      </w:pPr>
      <w:r w:rsidRPr="00FA1876">
        <w:lastRenderedPageBreak/>
        <w:t>Design and Evidence Approach</w:t>
      </w:r>
    </w:p>
    <w:p w14:paraId="485144E3" w14:textId="27AABD11" w:rsidR="00FA1876" w:rsidRPr="00FA1876" w:rsidRDefault="00FA1876" w:rsidP="00837046">
      <w:pPr>
        <w:spacing w:line="480" w:lineRule="auto"/>
        <w:rPr>
          <w:rFonts w:eastAsiaTheme="majorEastAsia"/>
        </w:rPr>
      </w:pPr>
      <w:r w:rsidRPr="00FA1876">
        <w:rPr>
          <w:rFonts w:eastAsiaTheme="majorEastAsia"/>
        </w:rPr>
        <w:t xml:space="preserve">The chapters that follow examine the project as an educational design. The analysis draws on the institutional provenance of the records, </w:t>
      </w:r>
      <w:r w:rsidR="0039383F">
        <w:rPr>
          <w:rFonts w:eastAsiaTheme="majorEastAsia"/>
        </w:rPr>
        <w:t xml:space="preserve">Sentencing </w:t>
      </w:r>
      <w:r w:rsidRPr="00FA1876">
        <w:rPr>
          <w:rFonts w:eastAsiaTheme="majorEastAsia"/>
        </w:rPr>
        <w:t>Commission documentation, Minnesota’s sentencing framework, the structure and behavior of the dataset, and scholarship concerning administrative records, selection, sentencing, and causal inference. Representative Explorer activities demonstrate how population definition, administrative classification, and conditioning affect the meaning of descriptive results. These demonstrations establish what the artifact is designed to make visible; they are not presented as an evaluation of classroom effectiveness.</w:t>
      </w:r>
    </w:p>
    <w:p w14:paraId="70DF457B" w14:textId="6602FE0B" w:rsidR="00FA1876" w:rsidRPr="00FA1876" w:rsidRDefault="00FA1876" w:rsidP="00837046">
      <w:pPr>
        <w:spacing w:line="480" w:lineRule="auto"/>
        <w:rPr>
          <w:rFonts w:eastAsiaTheme="majorEastAsia"/>
        </w:rPr>
      </w:pPr>
      <w:r w:rsidRPr="00FA1876">
        <w:rPr>
          <w:rFonts w:eastAsiaTheme="majorEastAsia"/>
        </w:rPr>
        <w:t>The thesis is organized in two parts. Part I presents the scholarly argument. It develops the interpretive problem, describes the Explorer and curriculum, explains the pedagogical framework and design choices, demonstrates the framework through selected analyses, and assesses the project’s evidence and limitations. Part II contains the five-unit curriculum through which students practice the framework: foundations; Minnesota’s sentencing system; responsible pattern reading; race and sentencing disparity; and a reproducible descriptive capstone.</w:t>
      </w:r>
    </w:p>
    <w:p w14:paraId="110C2F21" w14:textId="1BD8CD55" w:rsidR="00FA1876" w:rsidRPr="00FA1876" w:rsidRDefault="00FA1876" w:rsidP="00837046">
      <w:pPr>
        <w:spacing w:line="480" w:lineRule="auto"/>
        <w:rPr>
          <w:rFonts w:eastAsiaTheme="majorEastAsia"/>
        </w:rPr>
      </w:pPr>
      <w:r w:rsidRPr="00FA1876">
        <w:rPr>
          <w:rFonts w:eastAsiaTheme="majorEastAsia"/>
        </w:rPr>
        <w:t>The significance of the project rests on a modest but demanding premise. Statistical literacy is not demonstrated by producing the largest table, the most striking visualization, or the strongest-sounding conclusion. It is demonstrated by knowing what population a number describes, how that population was produced, what institutional decisions its variables contain, and where explanation exceeds observation. A statistic becomes educationally valuable when a student can say not only what it shows, but what it can bear.</w:t>
      </w:r>
    </w:p>
    <w:p w14:paraId="1B78B073" w14:textId="673E4B00" w:rsidR="00FA1876" w:rsidRPr="00FA1876" w:rsidRDefault="00FA1876" w:rsidP="00837046">
      <w:pPr>
        <w:pStyle w:val="Heading3"/>
        <w:spacing w:line="480" w:lineRule="auto"/>
      </w:pPr>
      <w:r w:rsidRPr="00FA1876">
        <w:t>References</w:t>
      </w:r>
      <w:r>
        <w:t xml:space="preserve"> (Provisional)</w:t>
      </w:r>
    </w:p>
    <w:p w14:paraId="0015ECBF" w14:textId="77777777" w:rsidR="00FA1876" w:rsidRPr="00FA1876" w:rsidRDefault="00FA1876" w:rsidP="00837046">
      <w:pPr>
        <w:spacing w:line="480" w:lineRule="auto"/>
        <w:rPr>
          <w:rFonts w:eastAsiaTheme="majorEastAsia"/>
        </w:rPr>
      </w:pPr>
    </w:p>
    <w:p w14:paraId="6427FB01" w14:textId="2E66A0A5" w:rsidR="00FA1876" w:rsidRPr="00FA1876" w:rsidRDefault="00FA1876" w:rsidP="00837046">
      <w:pPr>
        <w:spacing w:line="480" w:lineRule="auto"/>
        <w:rPr>
          <w:rFonts w:eastAsiaTheme="majorEastAsia"/>
        </w:rPr>
      </w:pPr>
      <w:r w:rsidRPr="00FA1876">
        <w:rPr>
          <w:rFonts w:eastAsiaTheme="majorEastAsia"/>
        </w:rPr>
        <w:lastRenderedPageBreak/>
        <w:t>Best, J. (2001). Damned lies and statistics: Untangling numbers from the media, politicians, and activists. University of California Press.</w:t>
      </w:r>
    </w:p>
    <w:p w14:paraId="6CD5483A" w14:textId="77777777" w:rsidR="00FA1876" w:rsidRPr="00FA1876" w:rsidRDefault="00FA1876" w:rsidP="00837046">
      <w:pPr>
        <w:spacing w:line="480" w:lineRule="auto"/>
        <w:rPr>
          <w:rFonts w:eastAsiaTheme="majorEastAsia"/>
        </w:rPr>
      </w:pPr>
    </w:p>
    <w:p w14:paraId="4D40D201" w14:textId="77777777" w:rsidR="00FA1876" w:rsidRPr="00FA1876" w:rsidRDefault="00FA1876" w:rsidP="00837046">
      <w:pPr>
        <w:spacing w:line="480" w:lineRule="auto"/>
        <w:rPr>
          <w:rFonts w:eastAsiaTheme="majorEastAsia"/>
        </w:rPr>
      </w:pPr>
      <w:r w:rsidRPr="00FA1876">
        <w:rPr>
          <w:rFonts w:eastAsiaTheme="majorEastAsia"/>
        </w:rPr>
        <w:t>Bushway, S., Johnson, B. D., &amp; Slocum, L. A. (2007). Is the magic still there? The use of the Heckman two-step correction for selection bias in criminology. *Journal of Quantitative Criminology, 23*(2), 151–178. https://doi.org/10.1007/s10940-007-9024-4</w:t>
      </w:r>
    </w:p>
    <w:p w14:paraId="4AC550CC" w14:textId="77777777" w:rsidR="00FA1876" w:rsidRPr="00FA1876" w:rsidRDefault="00FA1876" w:rsidP="00837046">
      <w:pPr>
        <w:spacing w:line="480" w:lineRule="auto"/>
        <w:rPr>
          <w:rFonts w:eastAsiaTheme="majorEastAsia"/>
        </w:rPr>
      </w:pPr>
    </w:p>
    <w:p w14:paraId="0EB9732F" w14:textId="77777777" w:rsidR="00FA1876" w:rsidRPr="00FA1876" w:rsidRDefault="00FA1876" w:rsidP="00837046">
      <w:pPr>
        <w:spacing w:line="480" w:lineRule="auto"/>
        <w:rPr>
          <w:rFonts w:eastAsiaTheme="majorEastAsia"/>
        </w:rPr>
      </w:pPr>
      <w:r w:rsidRPr="00FA1876">
        <w:rPr>
          <w:rFonts w:eastAsiaTheme="majorEastAsia"/>
        </w:rPr>
        <w:t>Connelly, R., Playford, C. J., Gayle, V., &amp; Dibben, C. (2016). The role of administrative data in the big data revolution in social science research. *Social Science Research, 59*, 1–12. https://doi.org/10.1016/j.ssresearch.2016.04.015</w:t>
      </w:r>
    </w:p>
    <w:p w14:paraId="7B849A14" w14:textId="77777777" w:rsidR="00FA1876" w:rsidRPr="00FA1876" w:rsidRDefault="00FA1876" w:rsidP="00837046">
      <w:pPr>
        <w:spacing w:line="480" w:lineRule="auto"/>
        <w:rPr>
          <w:rFonts w:eastAsiaTheme="majorEastAsia"/>
        </w:rPr>
      </w:pPr>
    </w:p>
    <w:p w14:paraId="2917E076" w14:textId="77777777" w:rsidR="00FA1876" w:rsidRPr="00FA1876" w:rsidRDefault="00FA1876" w:rsidP="00837046">
      <w:pPr>
        <w:spacing w:line="480" w:lineRule="auto"/>
        <w:rPr>
          <w:rFonts w:eastAsiaTheme="majorEastAsia"/>
        </w:rPr>
      </w:pPr>
      <w:r w:rsidRPr="00FA1876">
        <w:rPr>
          <w:rFonts w:eastAsiaTheme="majorEastAsia"/>
        </w:rPr>
        <w:t>Frase, R. S. (2005). Sentencing guidelines in Minnesota, 1978–2003. *Crime and Justice, 32*, 131–219. https://doi.org/10.1086/655354</w:t>
      </w:r>
    </w:p>
    <w:p w14:paraId="140AD7A0" w14:textId="77777777" w:rsidR="00FA1876" w:rsidRPr="00FA1876" w:rsidRDefault="00FA1876" w:rsidP="00837046">
      <w:pPr>
        <w:spacing w:line="480" w:lineRule="auto"/>
        <w:rPr>
          <w:rFonts w:eastAsiaTheme="majorEastAsia"/>
        </w:rPr>
      </w:pPr>
    </w:p>
    <w:p w14:paraId="7EFED6E9" w14:textId="77777777" w:rsidR="00FA1876" w:rsidRPr="00FA1876" w:rsidRDefault="00FA1876" w:rsidP="00837046">
      <w:pPr>
        <w:spacing w:line="480" w:lineRule="auto"/>
        <w:rPr>
          <w:rFonts w:eastAsiaTheme="majorEastAsia"/>
        </w:rPr>
      </w:pPr>
      <w:r w:rsidRPr="00FA1876">
        <w:rPr>
          <w:rFonts w:eastAsiaTheme="majorEastAsia"/>
        </w:rPr>
        <w:t>Minnesota Sentencing Explorer. (2026). *Raw sentencing dataset, 2001–2019* [Unpublished data set]. Crime[dot]Education. https://github.com/RobotsLoveWater/Crime_dot_Education/tree/5ead01de2140fe704f801e8cc0339a4268d66946</w:t>
      </w:r>
    </w:p>
    <w:p w14:paraId="118794EB" w14:textId="77777777" w:rsidR="00FA1876" w:rsidRPr="00CE6032" w:rsidRDefault="00FA1876" w:rsidP="00837046">
      <w:pPr>
        <w:spacing w:line="480" w:lineRule="auto"/>
        <w:rPr>
          <w:rFonts w:eastAsiaTheme="majorEastAsia"/>
          <w:color w:val="EE0000"/>
        </w:rPr>
      </w:pPr>
    </w:p>
    <w:p w14:paraId="1968C0FB" w14:textId="77777777" w:rsidR="00FA1876" w:rsidRPr="00CE6032" w:rsidRDefault="00FA1876" w:rsidP="00837046">
      <w:pPr>
        <w:spacing w:line="480" w:lineRule="auto"/>
        <w:rPr>
          <w:rFonts w:eastAsiaTheme="majorEastAsia"/>
          <w:color w:val="EE0000"/>
        </w:rPr>
      </w:pPr>
      <w:r w:rsidRPr="00CE6032">
        <w:rPr>
          <w:rFonts w:eastAsiaTheme="majorEastAsia"/>
          <w:color w:val="EE0000"/>
        </w:rPr>
        <w:t>Minnesota Sentencing Guidelines Commission. (n.d.). *About MSGC*. https://mn.gov/sentencing-guidelines/about/</w:t>
      </w:r>
    </w:p>
    <w:p w14:paraId="62C02D35" w14:textId="77777777" w:rsidR="00FA1876" w:rsidRPr="00FA1876" w:rsidRDefault="00FA1876" w:rsidP="00837046">
      <w:pPr>
        <w:spacing w:line="480" w:lineRule="auto"/>
        <w:rPr>
          <w:rFonts w:eastAsiaTheme="majorEastAsia"/>
        </w:rPr>
      </w:pPr>
    </w:p>
    <w:p w14:paraId="019323CC" w14:textId="77777777" w:rsidR="00FA1876" w:rsidRPr="00FA1876" w:rsidRDefault="00FA1876" w:rsidP="00837046">
      <w:pPr>
        <w:spacing w:line="480" w:lineRule="auto"/>
        <w:rPr>
          <w:rFonts w:eastAsiaTheme="majorEastAsia"/>
        </w:rPr>
      </w:pPr>
      <w:r w:rsidRPr="00FA1876">
        <w:rPr>
          <w:rFonts w:eastAsiaTheme="majorEastAsia"/>
        </w:rPr>
        <w:t>Minnesota Sentencing Guidelines Commission. (2018). *Sentencing practices: Annual summary statistics for felony cases sentenced in 2017*. https://mn.gov/msgc-stat/documents/reports/2017/UpdatedMSGC2017AnnualSummaryStatistics.pdf</w:t>
      </w:r>
    </w:p>
    <w:p w14:paraId="04D0FEE9" w14:textId="77777777" w:rsidR="00FA1876" w:rsidRPr="00FA1876" w:rsidRDefault="00FA1876" w:rsidP="00837046">
      <w:pPr>
        <w:spacing w:line="480" w:lineRule="auto"/>
        <w:rPr>
          <w:rFonts w:eastAsiaTheme="majorEastAsia"/>
        </w:rPr>
      </w:pPr>
    </w:p>
    <w:p w14:paraId="60CFF428" w14:textId="77777777" w:rsidR="00FA1876" w:rsidRPr="00FA1876" w:rsidRDefault="00FA1876" w:rsidP="00837046">
      <w:pPr>
        <w:spacing w:line="480" w:lineRule="auto"/>
        <w:rPr>
          <w:rFonts w:eastAsiaTheme="majorEastAsia"/>
        </w:rPr>
      </w:pPr>
      <w:r w:rsidRPr="00FA1876">
        <w:rPr>
          <w:rFonts w:eastAsiaTheme="majorEastAsia"/>
        </w:rPr>
        <w:t>National Research Council. (1983). *Research on sentencing: The search for reform* (A. Blumstein, J. Cohen, S. E. Martin, &amp; M. H. Tonry, Eds.). National Academy Press. https://doi.org/10.17226/19436</w:t>
      </w:r>
    </w:p>
    <w:p w14:paraId="24D67AC2" w14:textId="77777777" w:rsidR="00FA1876" w:rsidRPr="00FA1876" w:rsidRDefault="00FA1876" w:rsidP="00837046">
      <w:pPr>
        <w:spacing w:line="480" w:lineRule="auto"/>
        <w:rPr>
          <w:rFonts w:eastAsiaTheme="majorEastAsia"/>
        </w:rPr>
      </w:pPr>
    </w:p>
    <w:p w14:paraId="53301EFF" w14:textId="77777777" w:rsidR="00FA1876" w:rsidRPr="00FA1876" w:rsidRDefault="00FA1876" w:rsidP="00837046">
      <w:pPr>
        <w:spacing w:line="480" w:lineRule="auto"/>
        <w:rPr>
          <w:rFonts w:eastAsiaTheme="majorEastAsia"/>
        </w:rPr>
      </w:pPr>
      <w:r w:rsidRPr="00FA1876">
        <w:rPr>
          <w:rFonts w:eastAsiaTheme="majorEastAsia"/>
        </w:rPr>
        <w:t>President’s Commission on Law Enforcement and Administration of Justice. (1967). *The challenge of crime in a free society*. U.S. Government Printing Office.</w:t>
      </w:r>
    </w:p>
    <w:p w14:paraId="7821F127" w14:textId="77777777" w:rsidR="00FA1876" w:rsidRPr="00FA1876" w:rsidRDefault="00FA1876" w:rsidP="00837046">
      <w:pPr>
        <w:spacing w:line="480" w:lineRule="auto"/>
        <w:rPr>
          <w:rFonts w:eastAsiaTheme="majorEastAsia"/>
        </w:rPr>
      </w:pPr>
    </w:p>
    <w:p w14:paraId="13303415" w14:textId="2330D2BA" w:rsidR="00B67E15" w:rsidRDefault="00FA1876" w:rsidP="00837046">
      <w:pPr>
        <w:spacing w:line="480" w:lineRule="auto"/>
        <w:rPr>
          <w:rFonts w:eastAsiaTheme="majorEastAsia"/>
          <w:b/>
          <w:bCs/>
        </w:rPr>
      </w:pPr>
      <w:r w:rsidRPr="00FA1876">
        <w:rPr>
          <w:rFonts w:eastAsiaTheme="majorEastAsia"/>
        </w:rPr>
        <w:t>Sellin, T. (1931). The basis of a crime index. *Journal of Criminal Law and Criminology, 22*(3), 335–356.</w:t>
      </w:r>
    </w:p>
    <w:p w14:paraId="2D7D0E48" w14:textId="6FC3B15A" w:rsidR="00F1563D" w:rsidRDefault="00F1563D" w:rsidP="00837046">
      <w:pPr>
        <w:spacing w:line="480" w:lineRule="auto"/>
        <w:rPr>
          <w:rFonts w:eastAsiaTheme="majorEastAsia"/>
          <w:b/>
          <w:bCs/>
        </w:rPr>
      </w:pPr>
    </w:p>
    <w:p w14:paraId="1456D573" w14:textId="77777777" w:rsidR="00F1563D" w:rsidRDefault="00F1563D" w:rsidP="00837046">
      <w:pPr>
        <w:spacing w:line="480" w:lineRule="auto"/>
        <w:rPr>
          <w:rFonts w:eastAsiaTheme="majorEastAsia"/>
        </w:rPr>
      </w:pPr>
      <w:r w:rsidRPr="00F1563D">
        <w:rPr>
          <w:rFonts w:eastAsiaTheme="majorEastAsia"/>
        </w:rPr>
        <w:t xml:space="preserve">Bitzan, L., </w:t>
      </w:r>
      <w:proofErr w:type="spellStart"/>
      <w:r w:rsidRPr="00F1563D">
        <w:rPr>
          <w:rFonts w:eastAsiaTheme="majorEastAsia"/>
        </w:rPr>
        <w:t>Sarioglan</w:t>
      </w:r>
      <w:proofErr w:type="spellEnd"/>
      <w:r w:rsidRPr="00F1563D">
        <w:rPr>
          <w:rFonts w:eastAsiaTheme="majorEastAsia"/>
        </w:rPr>
        <w:t xml:space="preserve">, Z., Blommel, C., &amp; Woodward, A. M. (2025). Does method matter? Examining the effect of R and hand calculations on student learning. </w:t>
      </w:r>
      <w:r w:rsidRPr="00F1563D">
        <w:rPr>
          <w:rFonts w:eastAsiaTheme="majorEastAsia"/>
          <w:i/>
          <w:iCs/>
        </w:rPr>
        <w:t>Psychology Learning &amp; Teaching, 24</w:t>
      </w:r>
      <w:r w:rsidRPr="00F1563D">
        <w:rPr>
          <w:rFonts w:eastAsiaTheme="majorEastAsia"/>
        </w:rPr>
        <w:t xml:space="preserve">(2), 183–194. </w:t>
      </w:r>
      <w:hyperlink r:id="rId8" w:history="1">
        <w:r w:rsidRPr="00F1563D">
          <w:rPr>
            <w:rStyle w:val="Hyperlink"/>
            <w:rFonts w:eastAsiaTheme="majorEastAsia"/>
          </w:rPr>
          <w:t>https://doi.org/10.1177/147</w:t>
        </w:r>
        <w:r w:rsidRPr="00F1563D">
          <w:rPr>
            <w:rStyle w:val="Hyperlink"/>
            <w:rFonts w:eastAsiaTheme="majorEastAsia"/>
          </w:rPr>
          <w:t>5</w:t>
        </w:r>
        <w:r w:rsidRPr="00F1563D">
          <w:rPr>
            <w:rStyle w:val="Hyperlink"/>
            <w:rFonts w:eastAsiaTheme="majorEastAsia"/>
          </w:rPr>
          <w:t>7257251342910</w:t>
        </w:r>
      </w:hyperlink>
    </w:p>
    <w:p w14:paraId="01811A83" w14:textId="77777777" w:rsidR="00F1563D" w:rsidRPr="00F1563D" w:rsidRDefault="00F1563D" w:rsidP="00837046">
      <w:pPr>
        <w:spacing w:line="480" w:lineRule="auto"/>
        <w:rPr>
          <w:rFonts w:eastAsiaTheme="majorEastAsia"/>
        </w:rPr>
      </w:pPr>
    </w:p>
    <w:p w14:paraId="62474BC1" w14:textId="77777777" w:rsidR="00F1563D" w:rsidRPr="00F1563D" w:rsidRDefault="00F1563D" w:rsidP="00837046">
      <w:pPr>
        <w:spacing w:line="480" w:lineRule="auto"/>
        <w:rPr>
          <w:rFonts w:eastAsiaTheme="majorEastAsia"/>
        </w:rPr>
      </w:pPr>
      <w:r w:rsidRPr="00F1563D">
        <w:rPr>
          <w:rFonts w:eastAsiaTheme="majorEastAsia"/>
        </w:rPr>
        <w:lastRenderedPageBreak/>
        <w:t xml:space="preserve">Executive Office of the President. (2013, May 9). </w:t>
      </w:r>
      <w:r w:rsidRPr="00F1563D">
        <w:rPr>
          <w:rFonts w:eastAsiaTheme="majorEastAsia"/>
          <w:i/>
          <w:iCs/>
        </w:rPr>
        <w:t>Executive Order 13642—Making open and machine readable the new default for government information.</w:t>
      </w:r>
    </w:p>
    <w:p w14:paraId="6432270B" w14:textId="77777777" w:rsidR="00F1563D" w:rsidRDefault="00F1563D" w:rsidP="00837046">
      <w:pPr>
        <w:spacing w:line="480" w:lineRule="auto"/>
        <w:rPr>
          <w:rFonts w:eastAsiaTheme="majorEastAsia"/>
        </w:rPr>
      </w:pPr>
      <w:r w:rsidRPr="00F1563D">
        <w:rPr>
          <w:rFonts w:eastAsiaTheme="majorEastAsia"/>
        </w:rPr>
        <w:t xml:space="preserve">Finzer, W. (2013). The data science education dilemma. </w:t>
      </w:r>
      <w:r w:rsidRPr="00F1563D">
        <w:rPr>
          <w:rFonts w:eastAsiaTheme="majorEastAsia"/>
          <w:i/>
          <w:iCs/>
        </w:rPr>
        <w:t>Technology Innovations in Statistics Education, 7</w:t>
      </w:r>
      <w:r w:rsidRPr="00F1563D">
        <w:rPr>
          <w:rFonts w:eastAsiaTheme="majorEastAsia"/>
        </w:rPr>
        <w:t xml:space="preserve">(2). </w:t>
      </w:r>
      <w:hyperlink r:id="rId9" w:history="1">
        <w:r w:rsidRPr="00F1563D">
          <w:rPr>
            <w:rStyle w:val="Hyperlink"/>
            <w:rFonts w:eastAsiaTheme="majorEastAsia"/>
          </w:rPr>
          <w:t>https://doi.org/10.5070/T572013891</w:t>
        </w:r>
      </w:hyperlink>
    </w:p>
    <w:p w14:paraId="24EAC0A6" w14:textId="77777777" w:rsidR="00F1563D" w:rsidRPr="00F1563D" w:rsidRDefault="00F1563D" w:rsidP="00837046">
      <w:pPr>
        <w:spacing w:line="480" w:lineRule="auto"/>
        <w:rPr>
          <w:rFonts w:eastAsiaTheme="majorEastAsia"/>
        </w:rPr>
      </w:pPr>
    </w:p>
    <w:p w14:paraId="7310BB77" w14:textId="77777777" w:rsidR="00F1563D" w:rsidRDefault="00F1563D" w:rsidP="00837046">
      <w:pPr>
        <w:spacing w:line="480" w:lineRule="auto"/>
        <w:rPr>
          <w:rFonts w:eastAsiaTheme="majorEastAsia"/>
        </w:rPr>
      </w:pPr>
      <w:r w:rsidRPr="00F1563D">
        <w:rPr>
          <w:rFonts w:eastAsiaTheme="majorEastAsia"/>
        </w:rPr>
        <w:t xml:space="preserve">GAISE College Report ASA Revision Committee. (2016). </w:t>
      </w:r>
      <w:r w:rsidRPr="00F1563D">
        <w:rPr>
          <w:rFonts w:eastAsiaTheme="majorEastAsia"/>
          <w:i/>
          <w:iCs/>
        </w:rPr>
        <w:t>Guidelines for assessment and instruction in statistics education: College report 2016.</w:t>
      </w:r>
      <w:r w:rsidRPr="00F1563D">
        <w:rPr>
          <w:rFonts w:eastAsiaTheme="majorEastAsia"/>
        </w:rPr>
        <w:t xml:space="preserve"> American Statistical Association.</w:t>
      </w:r>
    </w:p>
    <w:p w14:paraId="18018DD7" w14:textId="77777777" w:rsidR="00F1563D" w:rsidRPr="00F1563D" w:rsidRDefault="00F1563D" w:rsidP="00837046">
      <w:pPr>
        <w:spacing w:line="480" w:lineRule="auto"/>
        <w:rPr>
          <w:rFonts w:eastAsiaTheme="majorEastAsia"/>
        </w:rPr>
      </w:pPr>
    </w:p>
    <w:p w14:paraId="63F4C8B4" w14:textId="77777777" w:rsidR="00F1563D" w:rsidRDefault="00F1563D" w:rsidP="00837046">
      <w:pPr>
        <w:spacing w:line="480" w:lineRule="auto"/>
        <w:rPr>
          <w:rFonts w:eastAsiaTheme="majorEastAsia"/>
        </w:rPr>
      </w:pPr>
      <w:r w:rsidRPr="00F1563D">
        <w:rPr>
          <w:rFonts w:eastAsiaTheme="majorEastAsia"/>
        </w:rPr>
        <w:t xml:space="preserve">Higgins, T., Mokros, J., Rubin, A., &amp; </w:t>
      </w:r>
      <w:proofErr w:type="spellStart"/>
      <w:r w:rsidRPr="00F1563D">
        <w:rPr>
          <w:rFonts w:eastAsiaTheme="majorEastAsia"/>
        </w:rPr>
        <w:t>Sagrans</w:t>
      </w:r>
      <w:proofErr w:type="spellEnd"/>
      <w:r w:rsidRPr="00F1563D">
        <w:rPr>
          <w:rFonts w:eastAsiaTheme="majorEastAsia"/>
        </w:rPr>
        <w:t xml:space="preserve">, J. (2023). Students’ approaches to exploring relationships between categorical variables. </w:t>
      </w:r>
      <w:r w:rsidRPr="00F1563D">
        <w:rPr>
          <w:rFonts w:eastAsiaTheme="majorEastAsia"/>
          <w:i/>
          <w:iCs/>
        </w:rPr>
        <w:t>Teaching Statistics, 45</w:t>
      </w:r>
      <w:r w:rsidRPr="00F1563D">
        <w:rPr>
          <w:rFonts w:eastAsiaTheme="majorEastAsia"/>
        </w:rPr>
        <w:t xml:space="preserve">(S1), S52–S66. </w:t>
      </w:r>
      <w:hyperlink r:id="rId10" w:history="1">
        <w:r w:rsidRPr="00F1563D">
          <w:rPr>
            <w:rStyle w:val="Hyperlink"/>
            <w:rFonts w:eastAsiaTheme="majorEastAsia"/>
          </w:rPr>
          <w:t>https://doi.org/10.1111/test.12331</w:t>
        </w:r>
      </w:hyperlink>
    </w:p>
    <w:p w14:paraId="572893FB" w14:textId="77777777" w:rsidR="00F1563D" w:rsidRPr="00F1563D" w:rsidRDefault="00F1563D" w:rsidP="00837046">
      <w:pPr>
        <w:spacing w:line="480" w:lineRule="auto"/>
        <w:rPr>
          <w:rFonts w:eastAsiaTheme="majorEastAsia"/>
        </w:rPr>
      </w:pPr>
    </w:p>
    <w:p w14:paraId="40C480A0" w14:textId="77777777" w:rsidR="00F1563D" w:rsidRDefault="00F1563D" w:rsidP="00837046">
      <w:pPr>
        <w:spacing w:line="480" w:lineRule="auto"/>
        <w:rPr>
          <w:rFonts w:eastAsiaTheme="majorEastAsia"/>
        </w:rPr>
      </w:pPr>
      <w:r w:rsidRPr="00F1563D">
        <w:rPr>
          <w:rFonts w:eastAsiaTheme="majorEastAsia"/>
        </w:rPr>
        <w:t xml:space="preserve">National Academies of Sciences, Engineering, and Medicine. (2018). </w:t>
      </w:r>
      <w:r w:rsidRPr="00F1563D">
        <w:rPr>
          <w:rFonts w:eastAsiaTheme="majorEastAsia"/>
          <w:i/>
          <w:iCs/>
        </w:rPr>
        <w:t>Data science for undergraduates: Opportunities and options.</w:t>
      </w:r>
      <w:r w:rsidRPr="00F1563D">
        <w:rPr>
          <w:rFonts w:eastAsiaTheme="majorEastAsia"/>
        </w:rPr>
        <w:t xml:space="preserve"> National Academies Press. </w:t>
      </w:r>
      <w:hyperlink r:id="rId11" w:history="1">
        <w:r w:rsidRPr="00F1563D">
          <w:rPr>
            <w:rStyle w:val="Hyperlink"/>
            <w:rFonts w:eastAsiaTheme="majorEastAsia"/>
          </w:rPr>
          <w:t>https://doi.org/10.17226/25104</w:t>
        </w:r>
      </w:hyperlink>
    </w:p>
    <w:p w14:paraId="0B5273A3" w14:textId="77777777" w:rsidR="00F1563D" w:rsidRPr="00F1563D" w:rsidRDefault="00F1563D" w:rsidP="00837046">
      <w:pPr>
        <w:spacing w:line="480" w:lineRule="auto"/>
        <w:rPr>
          <w:rFonts w:eastAsiaTheme="majorEastAsia"/>
        </w:rPr>
      </w:pPr>
    </w:p>
    <w:p w14:paraId="7F33D925" w14:textId="752AFAF2" w:rsidR="00F1563D" w:rsidRDefault="00F1563D" w:rsidP="00837046">
      <w:pPr>
        <w:spacing w:line="480" w:lineRule="auto"/>
        <w:rPr>
          <w:rFonts w:eastAsiaTheme="majorEastAsia"/>
        </w:rPr>
      </w:pPr>
      <w:r w:rsidRPr="00F1563D">
        <w:rPr>
          <w:rFonts w:eastAsiaTheme="majorEastAsia"/>
        </w:rPr>
        <w:t xml:space="preserve">OECD. (2023). </w:t>
      </w:r>
      <w:r w:rsidRPr="00F1563D">
        <w:rPr>
          <w:rFonts w:eastAsiaTheme="majorEastAsia"/>
          <w:i/>
          <w:iCs/>
        </w:rPr>
        <w:t>2023 OECD Open, Useful and Re-usable Data (</w:t>
      </w:r>
      <w:proofErr w:type="spellStart"/>
      <w:r w:rsidRPr="00F1563D">
        <w:rPr>
          <w:rFonts w:eastAsiaTheme="majorEastAsia"/>
          <w:i/>
          <w:iCs/>
        </w:rPr>
        <w:t>OURdata</w:t>
      </w:r>
      <w:proofErr w:type="spellEnd"/>
      <w:r w:rsidRPr="00F1563D">
        <w:rPr>
          <w:rFonts w:eastAsiaTheme="majorEastAsia"/>
          <w:i/>
          <w:iCs/>
        </w:rPr>
        <w:t>) Index: Results and key findings.</w:t>
      </w:r>
      <w:r w:rsidRPr="00F1563D">
        <w:rPr>
          <w:rFonts w:eastAsiaTheme="majorEastAsia"/>
        </w:rPr>
        <w:t xml:space="preserve"> OECD Public Governance Policy Papers, No. 43. </w:t>
      </w:r>
      <w:hyperlink r:id="rId12" w:history="1">
        <w:r w:rsidRPr="00F1563D">
          <w:rPr>
            <w:rStyle w:val="Hyperlink"/>
            <w:rFonts w:eastAsiaTheme="majorEastAsia"/>
          </w:rPr>
          <w:t>https://doi.org/10.1787/a37f51c3-en</w:t>
        </w:r>
      </w:hyperlink>
    </w:p>
    <w:p w14:paraId="085171D3" w14:textId="77777777" w:rsidR="00F1563D" w:rsidRPr="00F1563D" w:rsidRDefault="00F1563D" w:rsidP="00837046">
      <w:pPr>
        <w:spacing w:line="480" w:lineRule="auto"/>
        <w:rPr>
          <w:rFonts w:eastAsiaTheme="majorEastAsia"/>
        </w:rPr>
      </w:pPr>
    </w:p>
    <w:p w14:paraId="755A35C8" w14:textId="208C7368" w:rsidR="00FA1876" w:rsidRPr="00FA1876" w:rsidRDefault="00FA1876" w:rsidP="00837046">
      <w:pPr>
        <w:pStyle w:val="Heading2"/>
        <w:spacing w:line="480" w:lineRule="auto"/>
      </w:pPr>
      <w:r w:rsidRPr="00FA1876">
        <w:lastRenderedPageBreak/>
        <w:t>The Interpretive Problem</w:t>
      </w:r>
    </w:p>
    <w:p w14:paraId="1E419021" w14:textId="6137C155" w:rsidR="00FA1876" w:rsidRPr="00FA1876" w:rsidRDefault="00FA1876" w:rsidP="00837046">
      <w:pPr>
        <w:pStyle w:val="Heading3"/>
        <w:spacing w:line="480" w:lineRule="auto"/>
      </w:pPr>
      <w:r w:rsidRPr="00FA1876">
        <w:t>The Authority of Official Numbers</w:t>
      </w:r>
    </w:p>
    <w:p w14:paraId="28903F3D" w14:textId="3C6F12BF" w:rsidR="00FA1876" w:rsidRPr="00D75AD7" w:rsidRDefault="00FA1876" w:rsidP="00837046">
      <w:pPr>
        <w:spacing w:line="480" w:lineRule="auto"/>
        <w:rPr>
          <w:rFonts w:eastAsiaTheme="majorEastAsia"/>
          <w:color w:val="EE0000"/>
        </w:rPr>
      </w:pPr>
      <w:r w:rsidRPr="00D75AD7">
        <w:rPr>
          <w:rFonts w:eastAsiaTheme="majorEastAsia"/>
          <w:color w:val="EE0000"/>
        </w:rPr>
        <w:t xml:space="preserve">Criminal-justice statistics arrive with </w:t>
      </w:r>
      <w:proofErr w:type="gramStart"/>
      <w:r w:rsidRPr="00D75AD7">
        <w:rPr>
          <w:rFonts w:eastAsiaTheme="majorEastAsia"/>
          <w:color w:val="EE0000"/>
        </w:rPr>
        <w:t>an</w:t>
      </w:r>
      <w:proofErr w:type="gramEnd"/>
      <w:r w:rsidRPr="00D75AD7">
        <w:rPr>
          <w:rFonts w:eastAsiaTheme="majorEastAsia"/>
          <w:color w:val="EE0000"/>
        </w:rPr>
        <w:t xml:space="preserve"> appearance of authority. They are produced by courts, police departments, corrections agencies, and other institutions empowered to classify conduct and impose consequences. They are often reported to the decimal point, organized into official categories, and drawn from thousands of records. This precision gives them public power. A table can influence how a community understands crime, punishment, fairness, and institutional performance long before anyone asks how its categories were created or which cases it excludes.</w:t>
      </w:r>
    </w:p>
    <w:p w14:paraId="0D4EFC83" w14:textId="0C2EF5D1" w:rsidR="00FA1876" w:rsidRPr="00D75AD7" w:rsidRDefault="00FA1876" w:rsidP="00837046">
      <w:pPr>
        <w:spacing w:line="480" w:lineRule="auto"/>
        <w:rPr>
          <w:rFonts w:eastAsiaTheme="majorEastAsia"/>
          <w:color w:val="EE0000"/>
        </w:rPr>
      </w:pPr>
      <w:r w:rsidRPr="00D75AD7">
        <w:rPr>
          <w:rFonts w:eastAsiaTheme="majorEastAsia"/>
          <w:color w:val="EE0000"/>
        </w:rPr>
        <w:t>The authority of a statistic, however, is not the same as the validity of an interpretation attached to it. A calculation may be arithmetically correct while describing the wrong population. A percentage may be accurate while using a denominator that obscures the comparison a reader believes it represents. A difference between groups may be real in the records and still fail to establish why the difference arose. Numbers do not lose their value because they require interpretation. They become more useful when their boundaries are made explicit.</w:t>
      </w:r>
    </w:p>
    <w:p w14:paraId="0C421AE8" w14:textId="009910E5" w:rsidR="00FA1876" w:rsidRPr="00FA1876" w:rsidRDefault="00FA1876" w:rsidP="00837046">
      <w:pPr>
        <w:spacing w:line="480" w:lineRule="auto"/>
        <w:rPr>
          <w:rFonts w:eastAsiaTheme="majorEastAsia"/>
        </w:rPr>
      </w:pPr>
      <w:r w:rsidRPr="00FA1876">
        <w:rPr>
          <w:rFonts w:eastAsiaTheme="majorEastAsia"/>
        </w:rPr>
        <w:t>This problem is especially acute in public discussion of crime. Official figures are frequently treated as direct measurements of an underlying social reality, even though they are products of reporting practices, institutional decisions, and definitions that vary across agencies and over time. Best (2001) argues that responsible statistical reasoning requires attention not only to the number itself but also to the process through which it was produced. For criminal-justice data, that process is part of the substance. A sentencing statistic is never simply a number about punishment. It is a number created at a particular point in an institutional sequence, under particular administrative rules, for particular organizational purposes.</w:t>
      </w:r>
    </w:p>
    <w:p w14:paraId="5CC84B04" w14:textId="0B29DCFD" w:rsidR="00FA1876" w:rsidRPr="00FA1876" w:rsidRDefault="00FA1876" w:rsidP="00837046">
      <w:pPr>
        <w:spacing w:line="480" w:lineRule="auto"/>
        <w:rPr>
          <w:rFonts w:eastAsiaTheme="majorEastAsia"/>
        </w:rPr>
      </w:pPr>
      <w:r w:rsidRPr="00FA1876">
        <w:rPr>
          <w:rFonts w:eastAsiaTheme="majorEastAsia"/>
        </w:rPr>
        <w:lastRenderedPageBreak/>
        <w:t>The interpretive task therefore begins before calculation. It begins by asking what kind of record is being examined, who produced it, what the producing institution needed it to accomplish, and how far the record stands from the conduct it may appear to represent.</w:t>
      </w:r>
    </w:p>
    <w:p w14:paraId="1B725BA3" w14:textId="03E02B8C" w:rsidR="00FA1876" w:rsidRPr="00FA1876" w:rsidRDefault="00FA1876" w:rsidP="00837046">
      <w:pPr>
        <w:pStyle w:val="Heading3"/>
        <w:spacing w:line="480" w:lineRule="auto"/>
      </w:pPr>
      <w:r w:rsidRPr="00FA1876">
        <w:t>Administrative Data and Institutional Provenance</w:t>
      </w:r>
    </w:p>
    <w:p w14:paraId="5AC3BACE" w14:textId="73AC8579" w:rsidR="00FA1876" w:rsidRPr="00FA1876" w:rsidRDefault="00FA1876" w:rsidP="00837046">
      <w:pPr>
        <w:spacing w:line="480" w:lineRule="auto"/>
        <w:rPr>
          <w:rFonts w:eastAsiaTheme="majorEastAsia"/>
        </w:rPr>
      </w:pPr>
      <w:r w:rsidRPr="00FA1876">
        <w:rPr>
          <w:rFonts w:eastAsiaTheme="majorEastAsia"/>
        </w:rPr>
        <w:t xml:space="preserve">The Minnesota felony sentencing dataset is </w:t>
      </w:r>
      <w:r w:rsidRPr="00D75AD7">
        <w:rPr>
          <w:rFonts w:eastAsiaTheme="majorEastAsia"/>
          <w:b/>
          <w:bCs/>
        </w:rPr>
        <w:t>administrative data</w:t>
      </w:r>
      <w:r w:rsidR="00D75AD7">
        <w:rPr>
          <w:rFonts w:eastAsiaTheme="majorEastAsia"/>
        </w:rPr>
        <w:t>, a term which describes</w:t>
      </w:r>
      <w:r w:rsidRPr="00FA1876">
        <w:rPr>
          <w:rFonts w:eastAsiaTheme="majorEastAsia"/>
        </w:rPr>
        <w:t xml:space="preserve"> information generated through the operation of an organization rather than collected through a study designed to answer a researcher’s question (Connelly et al., 2016). The Minnesota Sentencing Guidelines Commission and the courts record sentencing information because the state must administer and monitor its sentencing system. The records are assembled from sources that include sentencing worksheets prepared by probation officers and court data (Minnesota Sentencing Guidelines Commission, 2024). Researchers and students encounter the information only after it has been created for those institutional purposes</w:t>
      </w:r>
      <w:r w:rsidR="00D75AD7">
        <w:rPr>
          <w:rFonts w:eastAsiaTheme="majorEastAsia"/>
        </w:rPr>
        <w:t xml:space="preserve"> </w:t>
      </w:r>
      <w:r w:rsidR="00D75AD7" w:rsidRPr="00FA1876">
        <w:rPr>
          <w:rFonts w:eastAsiaTheme="majorEastAsia"/>
        </w:rPr>
        <w:t>(Connelly et al., 2016).</w:t>
      </w:r>
    </w:p>
    <w:p w14:paraId="04909B68" w14:textId="0DD13C54" w:rsidR="00FA1876" w:rsidRPr="00FA1876" w:rsidRDefault="00FA1876" w:rsidP="00837046">
      <w:pPr>
        <w:spacing w:line="480" w:lineRule="auto"/>
        <w:rPr>
          <w:rFonts w:eastAsiaTheme="majorEastAsia"/>
        </w:rPr>
      </w:pPr>
      <w:r w:rsidRPr="00FA1876">
        <w:rPr>
          <w:rFonts w:eastAsiaTheme="majorEastAsia"/>
        </w:rPr>
        <w:t xml:space="preserve">Administrative provenance gives the dataset important strengths. The Explorer contains 294,467 Minnesota felony sentencing records covering 2001 through 2019 (Minnesota Sentencing Explorer, 2026). </w:t>
      </w:r>
      <w:r w:rsidRPr="00D75AD7">
        <w:rPr>
          <w:rFonts w:eastAsiaTheme="majorEastAsia"/>
          <w:color w:val="EE0000"/>
        </w:rPr>
        <w:t>Its scale permits the examination of categories and combinations that would be difficult to study in a modest survey. Its historical reach makes it possible to describe patterns across years. Because the records arise from an ongoing monitoring system, they also offer greater continuity than a collection assembled for a single classroom exercise. When an administrative file substantially covers the cases within an agency’s mandate, it is not subject to the same form of sampling error as a survey drawn from a smaller sample.</w:t>
      </w:r>
    </w:p>
    <w:p w14:paraId="2514C32D" w14:textId="11FF4F18" w:rsidR="00FA1876" w:rsidRPr="00FA1876" w:rsidRDefault="00FA1876" w:rsidP="00837046">
      <w:pPr>
        <w:spacing w:line="480" w:lineRule="auto"/>
        <w:rPr>
          <w:rFonts w:eastAsiaTheme="majorEastAsia"/>
        </w:rPr>
      </w:pPr>
      <w:r w:rsidRPr="00FA1876">
        <w:rPr>
          <w:rFonts w:eastAsiaTheme="majorEastAsia"/>
        </w:rPr>
        <w:t xml:space="preserve">Those strengths do </w:t>
      </w:r>
      <w:r w:rsidR="00885320">
        <w:rPr>
          <w:rFonts w:eastAsiaTheme="majorEastAsia"/>
        </w:rPr>
        <w:t xml:space="preserve">not </w:t>
      </w:r>
      <w:r w:rsidR="00D75AD7">
        <w:rPr>
          <w:rFonts w:eastAsiaTheme="majorEastAsia"/>
        </w:rPr>
        <w:t xml:space="preserve">assume </w:t>
      </w:r>
      <w:r w:rsidRPr="00FA1876">
        <w:rPr>
          <w:rFonts w:eastAsiaTheme="majorEastAsia"/>
        </w:rPr>
        <w:t xml:space="preserve">administrative data </w:t>
      </w:r>
      <w:r w:rsidR="00D75AD7">
        <w:rPr>
          <w:rFonts w:eastAsiaTheme="majorEastAsia"/>
        </w:rPr>
        <w:t xml:space="preserve">to be </w:t>
      </w:r>
      <w:r w:rsidRPr="00FA1876">
        <w:rPr>
          <w:rFonts w:eastAsiaTheme="majorEastAsia"/>
        </w:rPr>
        <w:t>neutral or complete</w:t>
      </w:r>
      <w:r w:rsidR="00D75AD7">
        <w:rPr>
          <w:rFonts w:eastAsiaTheme="majorEastAsia"/>
        </w:rPr>
        <w:t>, to the contrary, t</w:t>
      </w:r>
      <w:r w:rsidRPr="00FA1876">
        <w:rPr>
          <w:rFonts w:eastAsiaTheme="majorEastAsia"/>
        </w:rPr>
        <w:t xml:space="preserve">he dataset reflects the definitions required by the sentencing system. </w:t>
      </w:r>
      <w:r w:rsidRPr="00885320">
        <w:rPr>
          <w:rFonts w:eastAsiaTheme="majorEastAsia"/>
          <w:color w:val="EE0000"/>
        </w:rPr>
        <w:t xml:space="preserve">Its fields emphasize matters the Commission needs to record, including conviction classifications, guideline severity, criminal </w:t>
      </w:r>
      <w:r w:rsidRPr="00885320">
        <w:rPr>
          <w:rFonts w:eastAsiaTheme="majorEastAsia"/>
          <w:color w:val="EE0000"/>
        </w:rPr>
        <w:lastRenderedPageBreak/>
        <w:t xml:space="preserve">history, presumptive disposition, and presumptive sentence duration. </w:t>
      </w:r>
      <w:r w:rsidRPr="00FA1876">
        <w:rPr>
          <w:rFonts w:eastAsiaTheme="majorEastAsia"/>
        </w:rPr>
        <w:t xml:space="preserve">Other information that might matter to a social scientist, a defendant, a victim, or a community may never have been collected. </w:t>
      </w:r>
      <w:r w:rsidR="00D75AD7">
        <w:rPr>
          <w:rFonts w:eastAsiaTheme="majorEastAsia"/>
        </w:rPr>
        <w:t xml:space="preserve">When those kinds of data are collected it is through the myopic lens of </w:t>
      </w:r>
      <w:r w:rsidR="0091468F">
        <w:rPr>
          <w:rFonts w:eastAsiaTheme="majorEastAsia"/>
        </w:rPr>
        <w:t xml:space="preserve">serving the operational needs of the system, not providing longitudinal </w:t>
      </w:r>
      <w:r w:rsidR="00885320">
        <w:rPr>
          <w:rFonts w:eastAsiaTheme="majorEastAsia"/>
        </w:rPr>
        <w:t xml:space="preserve">or comprehensive </w:t>
      </w:r>
      <w:r w:rsidR="0091468F">
        <w:rPr>
          <w:rFonts w:eastAsiaTheme="majorEastAsia"/>
        </w:rPr>
        <w:t>academic resources. S</w:t>
      </w:r>
      <w:r w:rsidRPr="00FA1876">
        <w:rPr>
          <w:rFonts w:eastAsiaTheme="majorEastAsia"/>
        </w:rPr>
        <w:t>ocial and economic circumstances, the complete history of charging and plea negotiation, or the full context of the underlying event may be unavailable because the monitoring system was not designed to preserve them</w:t>
      </w:r>
      <w:r w:rsidR="0091468F">
        <w:rPr>
          <w:rFonts w:eastAsiaTheme="majorEastAsia"/>
        </w:rPr>
        <w:t xml:space="preserve">. </w:t>
      </w:r>
      <w:r w:rsidR="00885320">
        <w:rPr>
          <w:rFonts w:eastAsiaTheme="majorEastAsia"/>
        </w:rPr>
        <w:t>Perhaps the</w:t>
      </w:r>
      <w:r w:rsidR="0091468F">
        <w:rPr>
          <w:rFonts w:eastAsiaTheme="majorEastAsia"/>
        </w:rPr>
        <w:t xml:space="preserve"> clearest example of this </w:t>
      </w:r>
      <w:r w:rsidR="00885320">
        <w:rPr>
          <w:rFonts w:eastAsiaTheme="majorEastAsia"/>
        </w:rPr>
        <w:t>is</w:t>
      </w:r>
      <w:r w:rsidR="0091468F">
        <w:rPr>
          <w:rFonts w:eastAsiaTheme="majorEastAsia"/>
        </w:rPr>
        <w:t xml:space="preserve"> how lower charges within a </w:t>
      </w:r>
      <w:r w:rsidR="00885320">
        <w:rPr>
          <w:rFonts w:eastAsiaTheme="majorEastAsia"/>
        </w:rPr>
        <w:t>30-day</w:t>
      </w:r>
      <w:r w:rsidR="0091468F">
        <w:rPr>
          <w:rFonts w:eastAsiaTheme="majorEastAsia"/>
        </w:rPr>
        <w:t xml:space="preserve"> period (and the unique circumstances of them) get folded into the most severe charge in this dataset</w:t>
      </w:r>
      <w:r w:rsidR="00885320">
        <w:rPr>
          <w:rFonts w:eastAsiaTheme="majorEastAsia"/>
        </w:rPr>
        <w:t xml:space="preserve"> and were recorded as one event.</w:t>
      </w:r>
    </w:p>
    <w:p w14:paraId="43ED2550" w14:textId="3DD594C5" w:rsidR="00FA1876" w:rsidRPr="00885320" w:rsidRDefault="00FA1876" w:rsidP="00837046">
      <w:pPr>
        <w:spacing w:line="480" w:lineRule="auto"/>
        <w:rPr>
          <w:rFonts w:eastAsiaTheme="majorEastAsia"/>
          <w:color w:val="EE0000"/>
        </w:rPr>
      </w:pPr>
      <w:r w:rsidRPr="00885320">
        <w:rPr>
          <w:rFonts w:eastAsiaTheme="majorEastAsia"/>
          <w:color w:val="EE0000"/>
        </w:rPr>
        <w:t>Coding systems also have histories. An administrative category may be added, divided, renamed, or recorded differently as statutes, guidelines, technologies, and organizational practices change. Apparent continuity in a column does not guarantee continuity in meaning. Conversely, a change in coding may create an apparent discontinuity even when the underlying conduct or sentencing practice has not changed in the same way. Comparisons over time therefore require attention to whether a field was defined consistently, not merely whether values appear in every year.</w:t>
      </w:r>
    </w:p>
    <w:p w14:paraId="289E8D88" w14:textId="699329D5" w:rsidR="00FA1876" w:rsidRPr="00885320" w:rsidRDefault="00FA1876" w:rsidP="00837046">
      <w:pPr>
        <w:spacing w:line="480" w:lineRule="auto"/>
        <w:rPr>
          <w:rFonts w:eastAsiaTheme="majorEastAsia"/>
          <w:color w:val="EE0000"/>
        </w:rPr>
      </w:pPr>
      <w:r w:rsidRPr="00885320">
        <w:rPr>
          <w:rFonts w:eastAsiaTheme="majorEastAsia"/>
          <w:color w:val="EE0000"/>
        </w:rPr>
        <w:t>Institutional provenance is thus neither a disclaimer nor a reason to reject the data. It is the framework that makes the data interpretable. The appropriate question is not whether administrative records are “good” or “bad.” It is whether a proposed claim fits the population, definitions, and purposes of the system that produced them.</w:t>
      </w:r>
    </w:p>
    <w:p w14:paraId="058F9F77" w14:textId="5D91EFCF" w:rsidR="00FA1876" w:rsidRPr="00FA1876" w:rsidRDefault="00FA1876" w:rsidP="00837046">
      <w:pPr>
        <w:pStyle w:val="Heading3"/>
        <w:spacing w:line="480" w:lineRule="auto"/>
      </w:pPr>
      <w:r>
        <w:t>T</w:t>
      </w:r>
      <w:r w:rsidRPr="00FA1876">
        <w:t>he Funnel and the Dark Figure of Crime</w:t>
      </w:r>
    </w:p>
    <w:p w14:paraId="060BDF9E" w14:textId="01ADB590" w:rsidR="00FA1876" w:rsidRPr="00FA1876" w:rsidRDefault="00FA1876" w:rsidP="00837046">
      <w:pPr>
        <w:spacing w:line="480" w:lineRule="auto"/>
        <w:rPr>
          <w:rFonts w:eastAsiaTheme="majorEastAsia"/>
        </w:rPr>
      </w:pPr>
      <w:r w:rsidRPr="00FA1876">
        <w:rPr>
          <w:rFonts w:eastAsiaTheme="majorEastAsia"/>
        </w:rPr>
        <w:t xml:space="preserve">Sentencing records occupy a late position in the criminal-justice process. Before a felony sentencing record can be created, conduct must come to the attention of a person or institution; it may be reported, recorded, investigated, and attributed to a suspect. An arrest may follow. </w:t>
      </w:r>
      <w:r w:rsidRPr="00FA1876">
        <w:rPr>
          <w:rFonts w:eastAsiaTheme="majorEastAsia"/>
        </w:rPr>
        <w:lastRenderedPageBreak/>
        <w:t>Prosecutors must decide whether and how to charge the matter. A charge may be dismissed, amended, negotiated, tried, or resolved through a plea. A conviction must occur, and the case must reach felony sentencing.</w:t>
      </w:r>
    </w:p>
    <w:p w14:paraId="41BCD87F" w14:textId="001B1202" w:rsidR="00FA1876" w:rsidRPr="00FA1876" w:rsidRDefault="00FA1876" w:rsidP="00837046">
      <w:pPr>
        <w:spacing w:line="480" w:lineRule="auto"/>
        <w:rPr>
          <w:rFonts w:eastAsiaTheme="majorEastAsia"/>
        </w:rPr>
      </w:pPr>
      <w:r w:rsidRPr="00FA1876">
        <w:rPr>
          <w:rFonts w:eastAsiaTheme="majorEastAsia"/>
        </w:rPr>
        <w:t>The metaphor of the criminal-justice funnel captures this sequence. The President’s Commission on Law Enforcement and Administration of Justice (1967) described criminal justice as a connected system in which cases leave the process at successive stages. The top of the funnel includes a broad range of conduct and reported events. The bottom contains the much narrower set of cases that survived reporting, enforcement, charging, adjudication, and classification decisions.</w:t>
      </w:r>
    </w:p>
    <w:p w14:paraId="602FF168" w14:textId="1BD4CFFF" w:rsidR="00FA1876" w:rsidRPr="00FA1876" w:rsidRDefault="00FA1876" w:rsidP="00837046">
      <w:pPr>
        <w:spacing w:line="480" w:lineRule="auto"/>
        <w:rPr>
          <w:rFonts w:eastAsiaTheme="majorEastAsia"/>
        </w:rPr>
      </w:pPr>
      <w:r w:rsidRPr="00FA1876">
        <w:rPr>
          <w:rFonts w:eastAsiaTheme="majorEastAsia"/>
        </w:rPr>
        <w:t>The Explorer’s sentencing records sit at that bottom. They do not directly represent all crime in Minnesota. They omit conduct that was never reported, reports that did not produce arrests, arrests that did not produce charges, charges that did not produce felony convictions, matters resolved through other legal classifications</w:t>
      </w:r>
      <w:r w:rsidR="00885320">
        <w:rPr>
          <w:rFonts w:eastAsiaTheme="majorEastAsia"/>
        </w:rPr>
        <w:t>, and sentences that at the very end of the process did not rise to the level of felony</w:t>
      </w:r>
      <w:r w:rsidRPr="00FA1876">
        <w:rPr>
          <w:rFonts w:eastAsiaTheme="majorEastAsia"/>
        </w:rPr>
        <w:t>. The dataset begins after many of the decisions that determine who and what becomes visible to a sentencing agency</w:t>
      </w:r>
      <w:r w:rsidR="00885320">
        <w:rPr>
          <w:rFonts w:eastAsiaTheme="majorEastAsia"/>
        </w:rPr>
        <w:t>.</w:t>
      </w:r>
    </w:p>
    <w:p w14:paraId="69920E41" w14:textId="5D168D06" w:rsidR="00FA1876" w:rsidRPr="00FA1876" w:rsidRDefault="00FA1876" w:rsidP="00837046">
      <w:pPr>
        <w:spacing w:line="480" w:lineRule="auto"/>
        <w:rPr>
          <w:rFonts w:eastAsiaTheme="majorEastAsia"/>
        </w:rPr>
      </w:pPr>
      <w:r w:rsidRPr="00FA1876">
        <w:rPr>
          <w:rFonts w:eastAsiaTheme="majorEastAsia"/>
        </w:rPr>
        <w:t>The first major absence is the “dark figure of crime”: conduct understood as criminal but never registered in official agency statistics (Biderman &amp; Reiss, 1967). Unreported conduct is not necessarily a random miniature of reported conduct. Reporting can vary with perceived seriousness, injury, loss, relationships between the people involved, confidence in authorities, and other circumstances. Skogan (1977), for example, found that unreported incidents tended to differ from reported incidents in characteristics such as seriousness, loss, and injury. Official records therefore reflect selection, not merely subtraction. What disappears from view may differ systematically from what remains.</w:t>
      </w:r>
    </w:p>
    <w:p w14:paraId="7B2C99DB" w14:textId="458D6253" w:rsidR="00FA1876" w:rsidRPr="00FA1876" w:rsidRDefault="00FA1876" w:rsidP="00837046">
      <w:pPr>
        <w:spacing w:line="480" w:lineRule="auto"/>
        <w:rPr>
          <w:rFonts w:eastAsiaTheme="majorEastAsia"/>
        </w:rPr>
      </w:pPr>
      <w:r w:rsidRPr="00FA1876">
        <w:rPr>
          <w:rFonts w:eastAsiaTheme="majorEastAsia"/>
        </w:rPr>
        <w:lastRenderedPageBreak/>
        <w:t xml:space="preserve">Sellin’s dictum supplies a concise rule for interpreting this problem. Sellin (1931) argued that the value of an official statistic as an index of crime generally weakens as the point of collection moves farther from the criminal act through procedural stages. Police reports are downstream from conduct; arrests are farther downstream; convictions are farther still. </w:t>
      </w:r>
      <w:r w:rsidR="00885320">
        <w:rPr>
          <w:rFonts w:eastAsiaTheme="majorEastAsia"/>
        </w:rPr>
        <w:t>S</w:t>
      </w:r>
      <w:r w:rsidRPr="00FA1876">
        <w:rPr>
          <w:rFonts w:eastAsiaTheme="majorEastAsia"/>
        </w:rPr>
        <w:t>entences stand near the end of the institutional chain.</w:t>
      </w:r>
    </w:p>
    <w:p w14:paraId="0FDFAED5" w14:textId="7A7B3199" w:rsidR="00FA1876" w:rsidRPr="00885320" w:rsidRDefault="00FA1876" w:rsidP="00837046">
      <w:pPr>
        <w:spacing w:line="480" w:lineRule="auto"/>
        <w:rPr>
          <w:rFonts w:eastAsiaTheme="majorEastAsia"/>
          <w:color w:val="EE0000"/>
        </w:rPr>
      </w:pPr>
      <w:r w:rsidRPr="00885320">
        <w:rPr>
          <w:rFonts w:eastAsiaTheme="majorEastAsia"/>
          <w:color w:val="EE0000"/>
        </w:rPr>
        <w:t>This does not make sentencing records unreliable records of sentencing. It clarifies what they reliably describe. They are well suited to studying the cases and classifications that reached felony sentencing and the presumptive outcomes recorded there. They are poorly suited to estimating the total amount of crime or reconstructing every event and decision preceding conviction. Precision at the bottom of the funnel cannot recover information that disappeared above it.</w:t>
      </w:r>
    </w:p>
    <w:p w14:paraId="09A6FC4C" w14:textId="7DE59C4C" w:rsidR="00FA1876" w:rsidRPr="00FA1876" w:rsidRDefault="00FA1876" w:rsidP="00837046">
      <w:pPr>
        <w:pStyle w:val="Heading3"/>
        <w:spacing w:line="480" w:lineRule="auto"/>
      </w:pPr>
      <w:r w:rsidRPr="00FA1876">
        <w:t>What One Row Represents</w:t>
      </w:r>
    </w:p>
    <w:p w14:paraId="683F7F32" w14:textId="5619ECCF" w:rsidR="00FA1876" w:rsidRPr="00FA1876" w:rsidRDefault="00FA1876" w:rsidP="00837046">
      <w:pPr>
        <w:spacing w:line="480" w:lineRule="auto"/>
        <w:rPr>
          <w:rFonts w:eastAsiaTheme="majorEastAsia"/>
        </w:rPr>
      </w:pPr>
      <w:r w:rsidRPr="00FA1876">
        <w:rPr>
          <w:rFonts w:eastAsiaTheme="majorEastAsia"/>
        </w:rPr>
        <w:t>The funnel establishes which cases can enter the dataset. The unit of analysis establishes what is counted after they arrive. Confusing either one changes the meaning of every total, percentage, and comparison that follows.</w:t>
      </w:r>
    </w:p>
    <w:p w14:paraId="73049CB0" w14:textId="3B9E9233" w:rsidR="00FA1876" w:rsidRPr="00FA1876" w:rsidRDefault="00FA1876" w:rsidP="00837046">
      <w:pPr>
        <w:spacing w:line="480" w:lineRule="auto"/>
        <w:rPr>
          <w:rFonts w:eastAsiaTheme="majorEastAsia"/>
        </w:rPr>
      </w:pPr>
      <w:r w:rsidRPr="00FA1876">
        <w:rPr>
          <w:rFonts w:eastAsiaTheme="majorEastAsia"/>
        </w:rPr>
        <w:t>In the Explorer, one row represents one sentencing record. The Commission’s counting rule provides a more exact definition: when a person is sentenced in the same county for several offenses within a 30-day period, the offenses are combined into one record identified by the most serious offense (Minnesota Sentencing Guidelines Commission, 2018).</w:t>
      </w:r>
    </w:p>
    <w:p w14:paraId="66EF7AEA" w14:textId="794544A1" w:rsidR="00FA1876" w:rsidRPr="00FA1876" w:rsidRDefault="00FA1876" w:rsidP="00837046">
      <w:pPr>
        <w:spacing w:line="480" w:lineRule="auto"/>
        <w:rPr>
          <w:rFonts w:eastAsiaTheme="majorEastAsia"/>
        </w:rPr>
      </w:pPr>
      <w:r w:rsidRPr="00FA1876">
        <w:rPr>
          <w:rFonts w:eastAsiaTheme="majorEastAsia"/>
        </w:rPr>
        <w:t>A row is therefore not necessarily one person. The same person can appear in more than one sentencing record if sentenced on separate occasions. Counting rows as people would count such a person more than once.</w:t>
      </w:r>
      <w:r w:rsidR="00885320">
        <w:rPr>
          <w:rFonts w:eastAsiaTheme="majorEastAsia"/>
        </w:rPr>
        <w:t xml:space="preserve"> While the Explorer itself </w:t>
      </w:r>
      <w:r w:rsidR="008A5D36">
        <w:rPr>
          <w:rFonts w:eastAsiaTheme="majorEastAsia"/>
        </w:rPr>
        <w:t xml:space="preserve">takes care to </w:t>
      </w:r>
      <w:r w:rsidR="00885320">
        <w:rPr>
          <w:rFonts w:eastAsiaTheme="majorEastAsia"/>
        </w:rPr>
        <w:t xml:space="preserve">obfuscate POI, taking the data </w:t>
      </w:r>
      <w:r w:rsidR="008A5D36">
        <w:rPr>
          <w:rFonts w:eastAsiaTheme="majorEastAsia"/>
        </w:rPr>
        <w:t>and analyzing it separately confirms that in many cases the same person appears multiple times.</w:t>
      </w:r>
    </w:p>
    <w:p w14:paraId="401EE356" w14:textId="28706E6E" w:rsidR="00FA1876" w:rsidRPr="00FA1876" w:rsidRDefault="00FA1876" w:rsidP="00837046">
      <w:pPr>
        <w:spacing w:line="480" w:lineRule="auto"/>
        <w:rPr>
          <w:rFonts w:eastAsiaTheme="majorEastAsia"/>
        </w:rPr>
      </w:pPr>
      <w:r w:rsidRPr="00FA1876">
        <w:rPr>
          <w:rFonts w:eastAsiaTheme="majorEastAsia"/>
        </w:rPr>
        <w:lastRenderedPageBreak/>
        <w:t>A row is also not necessarily one offense. Several offenses may be combined under the counting rule, with the most serious offense used to describe the record. The row preserves an administratively selected representation of that group of offenses; it does not reproduce every component as a separate observation.</w:t>
      </w:r>
      <w:r w:rsidR="008A5D36">
        <w:rPr>
          <w:rFonts w:eastAsiaTheme="majorEastAsia"/>
        </w:rPr>
        <w:t xml:space="preserve"> Unlike one person appearing multiple times, this is a case in which the lesser counts and all context around them are completely lost in an irreparable way, there’s no way to conjecture from the data alone by what frequency serious counts are overrepresented or features of lesser counts are suppressed in this manner.</w:t>
      </w:r>
    </w:p>
    <w:p w14:paraId="48E174B4" w14:textId="5E1913F3" w:rsidR="00FA1876" w:rsidRPr="00FA1876" w:rsidRDefault="008A5D36" w:rsidP="00837046">
      <w:pPr>
        <w:spacing w:line="480" w:lineRule="auto"/>
        <w:rPr>
          <w:rFonts w:eastAsiaTheme="majorEastAsia"/>
        </w:rPr>
      </w:pPr>
      <w:r>
        <w:rPr>
          <w:rFonts w:eastAsiaTheme="majorEastAsia"/>
        </w:rPr>
        <w:t xml:space="preserve">Furthermore, a </w:t>
      </w:r>
      <w:r w:rsidR="00FA1876" w:rsidRPr="00FA1876">
        <w:rPr>
          <w:rFonts w:eastAsiaTheme="majorEastAsia"/>
        </w:rPr>
        <w:t>row</w:t>
      </w:r>
      <w:r>
        <w:rPr>
          <w:rFonts w:eastAsiaTheme="majorEastAsia"/>
        </w:rPr>
        <w:t xml:space="preserve"> is not even guaranteed to be</w:t>
      </w:r>
      <w:r w:rsidR="00FA1876" w:rsidRPr="00FA1876">
        <w:rPr>
          <w:rFonts w:eastAsiaTheme="majorEastAsia"/>
        </w:rPr>
        <w:t xml:space="preserve"> equivalent to </w:t>
      </w:r>
      <w:r>
        <w:rPr>
          <w:rFonts w:eastAsiaTheme="majorEastAsia"/>
        </w:rPr>
        <w:t xml:space="preserve">a single </w:t>
      </w:r>
      <w:r w:rsidR="00FA1876" w:rsidRPr="00FA1876">
        <w:rPr>
          <w:rFonts w:eastAsiaTheme="majorEastAsia"/>
        </w:rPr>
        <w:t>criminal event. One event may involve several legal counts, several events may be addressed together, and much conduct never produces a sentencing record at all.</w:t>
      </w:r>
      <w:r>
        <w:rPr>
          <w:rFonts w:eastAsiaTheme="majorEastAsia"/>
        </w:rPr>
        <w:t xml:space="preserve"> Consider as well that an entire crime spree of separate acts may be condensed under this coding regime three carjackings and a robbery if committed in a month would appear in this data as one single event.</w:t>
      </w:r>
      <w:r w:rsidR="00FA1876" w:rsidRPr="00FA1876">
        <w:rPr>
          <w:rFonts w:eastAsiaTheme="majorEastAsia"/>
        </w:rPr>
        <w:t xml:space="preserve"> “Sentencing record” is therefore the necessary term. Substituting “crime,” “offense,” “case,” or “person” silently changes the unit and makes the resulting claim broader than the data permits.</w:t>
      </w:r>
    </w:p>
    <w:p w14:paraId="1C788239" w14:textId="09BC4153" w:rsidR="00FA1876" w:rsidRPr="00FA1876" w:rsidRDefault="00FA1876" w:rsidP="00837046">
      <w:pPr>
        <w:spacing w:line="480" w:lineRule="auto"/>
        <w:rPr>
          <w:rFonts w:eastAsiaTheme="majorEastAsia"/>
        </w:rPr>
      </w:pPr>
      <w:r w:rsidRPr="00FA1876">
        <w:rPr>
          <w:rFonts w:eastAsiaTheme="majorEastAsia"/>
        </w:rPr>
        <w:t>This distinction matters even when the arithmetic is simple. A count of 10,000 rows means 10,000 sentencing records under the Commission’s rule, not necessarily 10,000 unique people, 10,000 offenses, or 10,000 criminal events. A percentage describes the share of sentencing records with a recorded characteristic. An average describes values across the eligible records for which that variable is available. The denominator is not background information; it is part of the finding.</w:t>
      </w:r>
    </w:p>
    <w:p w14:paraId="6E713CE0" w14:textId="5E9E6D00" w:rsidR="00FA1876" w:rsidRPr="00FA1876" w:rsidRDefault="00FA1876" w:rsidP="00837046">
      <w:pPr>
        <w:spacing w:line="480" w:lineRule="auto"/>
        <w:rPr>
          <w:rFonts w:eastAsiaTheme="majorEastAsia"/>
        </w:rPr>
      </w:pPr>
      <w:r w:rsidRPr="00FA1876">
        <w:rPr>
          <w:rFonts w:eastAsiaTheme="majorEastAsia"/>
        </w:rPr>
        <w:t xml:space="preserve">The meaning of individual fields requires the same care. In particular, the Explorer’s </w:t>
      </w:r>
      <w:r w:rsidRPr="008A5D36">
        <w:rPr>
          <w:rFonts w:eastAsiaTheme="majorEastAsia"/>
          <w:i/>
          <w:iCs/>
        </w:rPr>
        <w:t>ti</w:t>
      </w:r>
      <w:r w:rsidR="008A5D36" w:rsidRPr="008A5D36">
        <w:rPr>
          <w:rFonts w:eastAsiaTheme="majorEastAsia"/>
          <w:i/>
          <w:iCs/>
        </w:rPr>
        <w:t>me</w:t>
      </w:r>
      <w:r w:rsidRPr="00FA1876">
        <w:rPr>
          <w:rFonts w:eastAsiaTheme="majorEastAsia"/>
        </w:rPr>
        <w:t xml:space="preserve"> variable should be interpreted as presumptive sentence duration. It should not automatically be described as the sentence pronounced by the court, the period spent in prison, or time actually served. Those are related but distinct concepts produced at different points in the legal and correctional process. </w:t>
      </w:r>
      <w:r w:rsidRPr="00FA1876">
        <w:rPr>
          <w:rFonts w:eastAsiaTheme="majorEastAsia"/>
        </w:rPr>
        <w:lastRenderedPageBreak/>
        <w:t>Precise naming prevents a correct summary of one variable from becoming an unsupported claim about another.</w:t>
      </w:r>
    </w:p>
    <w:p w14:paraId="7660A42F" w14:textId="48F52A81" w:rsidR="00FA1876" w:rsidRPr="00FA1876" w:rsidRDefault="00FA1876" w:rsidP="00837046">
      <w:pPr>
        <w:pStyle w:val="Heading3"/>
        <w:spacing w:line="480" w:lineRule="auto"/>
      </w:pPr>
      <w:r w:rsidRPr="00FA1876">
        <w:t>From Description to Explanation</w:t>
      </w:r>
    </w:p>
    <w:p w14:paraId="12DF0DFE" w14:textId="006C749A" w:rsidR="00FA1876" w:rsidRPr="00FA1876" w:rsidRDefault="00FA1876" w:rsidP="00837046">
      <w:pPr>
        <w:spacing w:line="480" w:lineRule="auto"/>
        <w:rPr>
          <w:rFonts w:eastAsiaTheme="majorEastAsia"/>
        </w:rPr>
      </w:pPr>
      <w:r w:rsidRPr="00FA1876">
        <w:rPr>
          <w:rFonts w:eastAsiaTheme="majorEastAsia"/>
        </w:rPr>
        <w:t>Once the population and unit are defined, the next challenge is separating description from explanation. Description identifies a pattern among the records. Explanation makes a claim about the process that produced the pattern.</w:t>
      </w:r>
    </w:p>
    <w:p w14:paraId="37F01048" w14:textId="781E3E97" w:rsidR="00FA1876" w:rsidRPr="00FA1876" w:rsidRDefault="00FA1876" w:rsidP="00837046">
      <w:pPr>
        <w:spacing w:line="480" w:lineRule="auto"/>
        <w:rPr>
          <w:rFonts w:eastAsiaTheme="majorEastAsia"/>
        </w:rPr>
      </w:pPr>
      <w:r w:rsidRPr="00FA1876">
        <w:rPr>
          <w:rFonts w:eastAsiaTheme="majorEastAsia"/>
        </w:rPr>
        <w:t>Suppose two groups have different median presumptive sentence durations. The descriptive statement may be entirely valid: within the current filtered population, the medians differ. A causal statement</w:t>
      </w:r>
      <w:r w:rsidR="008A5D36">
        <w:rPr>
          <w:rFonts w:eastAsiaTheme="majorEastAsia"/>
        </w:rPr>
        <w:t xml:space="preserve"> </w:t>
      </w:r>
      <w:r w:rsidRPr="00FA1876">
        <w:rPr>
          <w:rFonts w:eastAsiaTheme="majorEastAsia"/>
        </w:rPr>
        <w:t xml:space="preserve">such as an assertion that group membership </w:t>
      </w:r>
      <w:r w:rsidRPr="008A5D36">
        <w:rPr>
          <w:rFonts w:eastAsiaTheme="majorEastAsia"/>
          <w:b/>
          <w:bCs/>
        </w:rPr>
        <w:t>produced</w:t>
      </w:r>
      <w:r w:rsidRPr="00FA1876">
        <w:rPr>
          <w:rFonts w:eastAsiaTheme="majorEastAsia"/>
        </w:rPr>
        <w:t xml:space="preserve"> the difference</w:t>
      </w:r>
      <w:r w:rsidR="008A5D36">
        <w:rPr>
          <w:rFonts w:eastAsiaTheme="majorEastAsia"/>
        </w:rPr>
        <w:t xml:space="preserve"> </w:t>
      </w:r>
      <w:r w:rsidRPr="00FA1876">
        <w:rPr>
          <w:rFonts w:eastAsiaTheme="majorEastAsia"/>
        </w:rPr>
        <w:t>requires much more evidence. At least four interpretive problems intervene.</w:t>
      </w:r>
    </w:p>
    <w:p w14:paraId="0CCC095D" w14:textId="3AC77085" w:rsidR="00FA1876" w:rsidRPr="00FD5A9D" w:rsidRDefault="00FA1876" w:rsidP="00837046">
      <w:pPr>
        <w:spacing w:line="480" w:lineRule="auto"/>
        <w:rPr>
          <w:rFonts w:eastAsiaTheme="majorEastAsia"/>
          <w:color w:val="EE0000"/>
        </w:rPr>
      </w:pPr>
      <w:r w:rsidRPr="00FD5A9D">
        <w:rPr>
          <w:rFonts w:eastAsiaTheme="majorEastAsia"/>
          <w:color w:val="EE0000"/>
        </w:rPr>
        <w:t xml:space="preserve">The first is </w:t>
      </w:r>
      <w:r w:rsidRPr="00FD5A9D">
        <w:rPr>
          <w:rFonts w:eastAsiaTheme="majorEastAsia"/>
          <w:b/>
          <w:bCs/>
          <w:color w:val="EE0000"/>
        </w:rPr>
        <w:t>composition</w:t>
      </w:r>
      <w:r w:rsidRPr="00FD5A9D">
        <w:rPr>
          <w:rFonts w:eastAsiaTheme="majorEastAsia"/>
          <w:color w:val="EE0000"/>
        </w:rPr>
        <w:t>. Groups can contain different mixtures of cases. One group may have a larger share of records involving offense classifications, severity levels, or criminal-history scores associated with longer presumptive durations. An overall difference may therefore reflect differences in what kinds of records make up each group. Filtering or stratifying by measured case characteristics can show whether a disparity narrows, remains, disappears, or reverses within more comparable categories. It cannot, by itself, establish a complete causal account.</w:t>
      </w:r>
    </w:p>
    <w:p w14:paraId="4E1320E8" w14:textId="10346520" w:rsidR="00FA1876" w:rsidRPr="00FA1876" w:rsidRDefault="00FA1876" w:rsidP="00837046">
      <w:pPr>
        <w:spacing w:line="480" w:lineRule="auto"/>
        <w:rPr>
          <w:rFonts w:eastAsiaTheme="majorEastAsia"/>
        </w:rPr>
      </w:pPr>
      <w:r w:rsidRPr="00FA1876">
        <w:rPr>
          <w:rFonts w:eastAsiaTheme="majorEastAsia"/>
        </w:rPr>
        <w:t xml:space="preserve">The second problem is </w:t>
      </w:r>
      <w:r w:rsidRPr="008A5D36">
        <w:rPr>
          <w:rFonts w:eastAsiaTheme="majorEastAsia"/>
          <w:b/>
          <w:bCs/>
        </w:rPr>
        <w:t>selection</w:t>
      </w:r>
      <w:r w:rsidRPr="00FA1876">
        <w:rPr>
          <w:rFonts w:eastAsiaTheme="majorEastAsia"/>
        </w:rPr>
        <w:t>. The dataset includes only records that reached felony sentencing. Reporting, policing, charging, plea negotiation, conviction, and other upstream decisions all help determine which records survive to the bottom of the funnel. Studying sentenced cases therefore means studying a selected population rather than a random sample of all conduct or all people who might have entered the system (Klepper et al., 1983; Bushway et al., 2007).</w:t>
      </w:r>
    </w:p>
    <w:p w14:paraId="5AD1A1C6" w14:textId="4518490D" w:rsidR="00FA1876" w:rsidRPr="00FD5A9D" w:rsidRDefault="00FA1876" w:rsidP="00837046">
      <w:pPr>
        <w:spacing w:line="480" w:lineRule="auto"/>
        <w:rPr>
          <w:rFonts w:eastAsiaTheme="majorEastAsia"/>
          <w:color w:val="EE0000"/>
        </w:rPr>
      </w:pPr>
      <w:r w:rsidRPr="00FD5A9D">
        <w:rPr>
          <w:rFonts w:eastAsiaTheme="majorEastAsia"/>
          <w:color w:val="EE0000"/>
        </w:rPr>
        <w:lastRenderedPageBreak/>
        <w:t xml:space="preserve">The third problem is </w:t>
      </w:r>
      <w:r w:rsidRPr="00FD5A9D">
        <w:rPr>
          <w:rFonts w:eastAsiaTheme="majorEastAsia"/>
          <w:b/>
          <w:bCs/>
          <w:color w:val="EE0000"/>
        </w:rPr>
        <w:t>omitted variables</w:t>
      </w:r>
      <w:r w:rsidRPr="00FD5A9D">
        <w:rPr>
          <w:rFonts w:eastAsiaTheme="majorEastAsia"/>
          <w:color w:val="EE0000"/>
        </w:rPr>
        <w:t>. Administrative data contains only what the producing institution recorded. Two sentencing records that appear similar on available columns may differ in legally or socially important ways that the file does not capture. An unexplained difference may reflect unequal treatment, an unrecorded case fact, an upstream decision, measurement limitations, or several processes operating together.</w:t>
      </w:r>
    </w:p>
    <w:p w14:paraId="7D4774C8" w14:textId="4FB75C0D" w:rsidR="00FA1876" w:rsidRPr="00FD5A9D" w:rsidRDefault="00FA1876" w:rsidP="00837046">
      <w:pPr>
        <w:spacing w:line="480" w:lineRule="auto"/>
        <w:rPr>
          <w:rFonts w:eastAsiaTheme="majorEastAsia"/>
          <w:color w:val="EE0000"/>
        </w:rPr>
      </w:pPr>
      <w:r w:rsidRPr="00FD5A9D">
        <w:rPr>
          <w:rFonts w:eastAsiaTheme="majorEastAsia"/>
          <w:color w:val="EE0000"/>
        </w:rPr>
        <w:t xml:space="preserve">The fourth problem is that </w:t>
      </w:r>
      <w:r w:rsidRPr="00FD5A9D">
        <w:rPr>
          <w:rFonts w:eastAsiaTheme="majorEastAsia"/>
          <w:b/>
          <w:bCs/>
          <w:color w:val="EE0000"/>
        </w:rPr>
        <w:t>some apparent “controls” are themselves products of the institutional process</w:t>
      </w:r>
      <w:r w:rsidRPr="00FD5A9D">
        <w:rPr>
          <w:rFonts w:eastAsiaTheme="majorEastAsia"/>
          <w:color w:val="EE0000"/>
        </w:rPr>
        <w:t>. Conviction offense and criminal-history score are legally important to sentencing, but they also arrive after prior enforcement, charging, adjudication, and sentencing experiences. Holding such variables constant can produce a useful conditional description. It does not erase the history through which the variables were formed.</w:t>
      </w:r>
    </w:p>
    <w:p w14:paraId="06631E23" w14:textId="18DF72C1" w:rsidR="00FA1876" w:rsidRPr="00FA1876" w:rsidRDefault="00EF18C2" w:rsidP="00837046">
      <w:pPr>
        <w:spacing w:line="480" w:lineRule="auto"/>
        <w:rPr>
          <w:rFonts w:eastAsiaTheme="majorEastAsia"/>
        </w:rPr>
      </w:pPr>
      <w:r w:rsidRPr="00EF18C2">
        <w:rPr>
          <w:rFonts w:eastAsiaTheme="majorEastAsia"/>
        </w:rPr>
        <w:t xml:space="preserve">These limits are especially important when interpreting group disparities. </w:t>
      </w:r>
      <w:r w:rsidRPr="00EF18C2">
        <w:rPr>
          <w:rFonts w:eastAsiaTheme="majorEastAsia"/>
        </w:rPr>
        <w:t>Disparity</w:t>
      </w:r>
      <w:r w:rsidRPr="00EF18C2">
        <w:rPr>
          <w:rFonts w:eastAsiaTheme="majorEastAsia"/>
        </w:rPr>
        <w:t xml:space="preserve"> is a measured difference in outcomes. Discrimination is an explanation involving biased or unequal treatment. Descriptive sentencing records can document a disparity; they cannot, by themselves, prove that discrimination caused it (Spohn, 2000, pp. 432–433). The reverse inference is equally unsafe: if a disparity disappears after conditioning on recorded variables, that result does not prove the absence of discrimination (Spohn, 2000, p. 440).</w:t>
      </w:r>
      <w:r>
        <w:rPr>
          <w:rFonts w:eastAsiaTheme="majorEastAsia"/>
        </w:rPr>
        <w:t xml:space="preserve"> </w:t>
      </w:r>
      <w:proofErr w:type="gramStart"/>
      <w:r w:rsidR="00FA1876" w:rsidRPr="00FA1876">
        <w:rPr>
          <w:rFonts w:eastAsiaTheme="majorEastAsia"/>
        </w:rPr>
        <w:t>The</w:t>
      </w:r>
      <w:proofErr w:type="gramEnd"/>
      <w:r w:rsidR="00FA1876" w:rsidRPr="00FA1876">
        <w:rPr>
          <w:rFonts w:eastAsiaTheme="majorEastAsia"/>
        </w:rPr>
        <w:t xml:space="preserve"> variables may capture legitimate case composition, earlier institutional decisions, or both. Reviews of sentencing research have long emphasized that observed group differences require careful attention to legally relevant factors, unmeasured variation, and the limits of causal inference (National Research Council, 1983).</w:t>
      </w:r>
    </w:p>
    <w:p w14:paraId="2B4D1AB1" w14:textId="63E62FCC" w:rsidR="00FA1876" w:rsidRPr="00FA1876" w:rsidRDefault="00FA1876" w:rsidP="00837046">
      <w:pPr>
        <w:spacing w:line="480" w:lineRule="auto"/>
        <w:rPr>
          <w:rFonts w:eastAsiaTheme="majorEastAsia"/>
        </w:rPr>
      </w:pPr>
      <w:r w:rsidRPr="00FA1876">
        <w:rPr>
          <w:rFonts w:eastAsiaTheme="majorEastAsia"/>
        </w:rPr>
        <w:t>Methodological restraint does not require pretending that patterns are unimportant. It requires stating what the evidence establishes at the level the evidence can support. A defensible conclusion identifies the population, the unit, the variables, the filters, and the observed difference. It then separates plausible explanations from explanations actually tested.</w:t>
      </w:r>
    </w:p>
    <w:p w14:paraId="21FCA505" w14:textId="562814EE" w:rsidR="00FA1876" w:rsidRPr="00FA1876" w:rsidRDefault="00FA1876" w:rsidP="00837046">
      <w:pPr>
        <w:pStyle w:val="Heading3"/>
        <w:spacing w:line="480" w:lineRule="auto"/>
      </w:pPr>
      <w:r w:rsidRPr="00FA1876">
        <w:lastRenderedPageBreak/>
        <w:t>The Educational Gap</w:t>
      </w:r>
    </w:p>
    <w:p w14:paraId="414C1F9D" w14:textId="6A1D2356" w:rsidR="00FA1876" w:rsidRPr="00FA1876" w:rsidRDefault="00FA1876" w:rsidP="00837046">
      <w:pPr>
        <w:spacing w:line="480" w:lineRule="auto"/>
        <w:rPr>
          <w:rFonts w:eastAsiaTheme="majorEastAsia"/>
        </w:rPr>
      </w:pPr>
      <w:r w:rsidRPr="00FA1876">
        <w:rPr>
          <w:rFonts w:eastAsiaTheme="majorEastAsia"/>
        </w:rPr>
        <w:t xml:space="preserve">These interpretive demands expose a gap between conventional statistical instruction and legal or institutional instruction. Statistics alone is insufficient. A student may know how to compute a mean, construct a cross-tabulation, or compare percentages while remaining unaware that the records describe a selected population at the bottom of a long funnel. </w:t>
      </w:r>
      <w:r w:rsidRPr="00771C2E">
        <w:rPr>
          <w:rFonts w:eastAsiaTheme="majorEastAsia"/>
          <w:color w:val="EE0000"/>
        </w:rPr>
        <w:t>Correct computation cannot repair a misidentified unit of analysis or transform presumptive duration into time served.</w:t>
      </w:r>
    </w:p>
    <w:p w14:paraId="745E304A" w14:textId="7AE187DC" w:rsidR="00FA1876" w:rsidRPr="00FA1876" w:rsidRDefault="00FA1876" w:rsidP="00837046">
      <w:pPr>
        <w:spacing w:line="480" w:lineRule="auto"/>
        <w:rPr>
          <w:rFonts w:eastAsiaTheme="majorEastAsia"/>
        </w:rPr>
      </w:pPr>
      <w:r w:rsidRPr="00FA1876">
        <w:rPr>
          <w:rFonts w:eastAsiaTheme="majorEastAsia"/>
        </w:rPr>
        <w:t xml:space="preserve">Legal context alone is also insufficient. Knowing how Minnesota’s guidelines classify offenses and criminal history does not necessarily teach a student to inspect denominators, compare distributions, reconstruct a filtered population, or distinguish a raw difference from a conditional one. </w:t>
      </w:r>
      <w:r w:rsidRPr="00771C2E">
        <w:rPr>
          <w:rFonts w:eastAsiaTheme="majorEastAsia"/>
          <w:color w:val="EE0000"/>
        </w:rPr>
        <w:t>Substantive knowledge can explain what a variable is intended to mean, but reproducible analytical practice is needed to show exactly which records produced a result.</w:t>
      </w:r>
    </w:p>
    <w:p w14:paraId="3A8A8C2D" w14:textId="3925F929" w:rsidR="00FA1876" w:rsidRPr="00771C2E" w:rsidRDefault="00FA1876" w:rsidP="00837046">
      <w:pPr>
        <w:spacing w:line="480" w:lineRule="auto"/>
        <w:rPr>
          <w:rFonts w:eastAsiaTheme="majorEastAsia"/>
          <w:color w:val="EE0000"/>
        </w:rPr>
      </w:pPr>
      <w:r w:rsidRPr="00771C2E">
        <w:rPr>
          <w:rFonts w:eastAsiaTheme="majorEastAsia"/>
          <w:color w:val="EE0000"/>
        </w:rPr>
        <w:t>Responsible sentencing-data education must join these forms of knowledge. Students need statistical tools, but also provenance. They need legal definitions, but also the ability to test how a pattern changes when the population changes. They need to recognize institutional selection, yet still make precise use of the information that survives it. Most importantly, they need practice writing conclusions that remain descriptive when the design does not justify causal claims.</w:t>
      </w:r>
    </w:p>
    <w:p w14:paraId="0B9EA15E" w14:textId="1CA783C5" w:rsidR="00FA1876" w:rsidRPr="00FA1876" w:rsidRDefault="00FA1876" w:rsidP="00837046">
      <w:pPr>
        <w:pStyle w:val="Heading3"/>
        <w:spacing w:line="480" w:lineRule="auto"/>
      </w:pPr>
      <w:r w:rsidRPr="00FA1876">
        <w:t>Why the Explorer Curriculum Is Needed</w:t>
      </w:r>
    </w:p>
    <w:p w14:paraId="47F4473F" w14:textId="5D5F3F63" w:rsidR="00FA1876" w:rsidRPr="00FA1876" w:rsidRDefault="00FA1876" w:rsidP="00837046">
      <w:pPr>
        <w:spacing w:line="480" w:lineRule="auto"/>
        <w:rPr>
          <w:rFonts w:eastAsiaTheme="majorEastAsia"/>
        </w:rPr>
      </w:pPr>
      <w:r w:rsidRPr="00FA1876">
        <w:rPr>
          <w:rFonts w:eastAsiaTheme="majorEastAsia"/>
        </w:rPr>
        <w:t>The interpretive problem is therefore not a single warning to place before an otherwise conventional data exercise. It is the organizing problem of the curriculum. The Minnesota Sentencing Explorer is needed because the central limits of sentencing data become more intelligible when students can encounter them as analytical decisions rather than memorize them as disclaimers.</w:t>
      </w:r>
    </w:p>
    <w:p w14:paraId="126007A4" w14:textId="2A0F9427" w:rsidR="00FA1876" w:rsidRPr="00FA1876" w:rsidRDefault="00FA1876" w:rsidP="00837046">
      <w:pPr>
        <w:spacing w:line="480" w:lineRule="auto"/>
        <w:rPr>
          <w:rFonts w:eastAsiaTheme="majorEastAsia"/>
        </w:rPr>
      </w:pPr>
      <w:r w:rsidRPr="00FA1876">
        <w:rPr>
          <w:rFonts w:eastAsiaTheme="majorEastAsia"/>
        </w:rPr>
        <w:lastRenderedPageBreak/>
        <w:t>Filtering requires students to define the population their claim concerns. Counts and percentages require them to identify the denominator. Column summaries require them to name the unit and the meaning of the measure. Conditional comparisons make composition visible. A reproducible history makes it possible to reconstruct how a result was produced. At each stage, legal and institutional context determines what the resulting number can mean.</w:t>
      </w:r>
    </w:p>
    <w:p w14:paraId="0CBCB45D" w14:textId="32B3782E" w:rsidR="00FA1876" w:rsidRPr="00FA1876" w:rsidRDefault="00FA1876" w:rsidP="00837046">
      <w:pPr>
        <w:spacing w:line="480" w:lineRule="auto"/>
        <w:rPr>
          <w:rFonts w:eastAsiaTheme="majorEastAsia"/>
        </w:rPr>
      </w:pPr>
      <w:r w:rsidRPr="00FA1876">
        <w:rPr>
          <w:rFonts w:eastAsiaTheme="majorEastAsia"/>
        </w:rPr>
        <w:t>The curriculum’s purpose is not to make sensitive questions appear simple. It is to give students a disciplined way to investigate them without confusing official precision with completeness or descriptive disparity with demonstrated discrimination. The Explorer can reveal patterns in Minnesota felony sentencing records from 2001 through 2019. The curriculum must teach students to keep those patterns attached to their provenance, population, unit, and evidentiary limits.</w:t>
      </w:r>
    </w:p>
    <w:p w14:paraId="07D096C0" w14:textId="031B4126" w:rsidR="00FA1876" w:rsidRPr="00FA1876" w:rsidRDefault="00FA1876" w:rsidP="00837046">
      <w:pPr>
        <w:spacing w:line="480" w:lineRule="auto"/>
        <w:rPr>
          <w:rFonts w:eastAsiaTheme="majorEastAsia"/>
        </w:rPr>
      </w:pPr>
      <w:r w:rsidRPr="00FA1876">
        <w:rPr>
          <w:rFonts w:eastAsiaTheme="majorEastAsia"/>
        </w:rPr>
        <w:t>That integration answers the problem developed throughout this chapter. Criminal-justice statistics possess real descriptive power, but their meaning depends on the institutional path by which they were produced. Administrative data offers scale, coverage, and continuity while carrying institutional definitions, omissions, and changes. Sentencing records occupy the bottom of a selectively narrowing funnel. Their counting rule does not map neatly onto people, offenses, or criminal events. Their patterns can support careful description, but causal explanation demands evidence beyond the table</w:t>
      </w:r>
      <w:r>
        <w:rPr>
          <w:rFonts w:eastAsiaTheme="majorEastAsia"/>
        </w:rPr>
        <w:t>.</w:t>
      </w:r>
    </w:p>
    <w:p w14:paraId="2AD17291" w14:textId="479EF2FF" w:rsidR="00FA1876" w:rsidRPr="00FA1876" w:rsidRDefault="00FA1876" w:rsidP="00837046">
      <w:pPr>
        <w:spacing w:line="480" w:lineRule="auto"/>
        <w:rPr>
          <w:rFonts w:eastAsiaTheme="majorEastAsia"/>
        </w:rPr>
      </w:pPr>
      <w:r w:rsidRPr="00FA1876">
        <w:rPr>
          <w:rFonts w:eastAsiaTheme="majorEastAsia"/>
        </w:rPr>
        <w:t>The educational task is to hold all of these truths together. The Minnesota Sentencing Explorer curriculum is designed to make that work practicable: to help students use official data seriously without allowing it to claim more authority than it has earned.</w:t>
      </w:r>
    </w:p>
    <w:p w14:paraId="6225EF16" w14:textId="4AD0DC67" w:rsidR="00FA1876" w:rsidRDefault="00FA1876" w:rsidP="00837046">
      <w:pPr>
        <w:pStyle w:val="Heading3"/>
        <w:spacing w:line="480" w:lineRule="auto"/>
      </w:pPr>
      <w:r w:rsidRPr="00FA1876">
        <w:t>References</w:t>
      </w:r>
      <w:r>
        <w:t xml:space="preserve"> (</w:t>
      </w:r>
      <w:r w:rsidRPr="00FA1876">
        <w:t>Provisional</w:t>
      </w:r>
      <w:r>
        <w:t>)</w:t>
      </w:r>
    </w:p>
    <w:p w14:paraId="281E9DD3" w14:textId="77777777" w:rsidR="00FA1876" w:rsidRPr="00FA1876" w:rsidRDefault="00FA1876" w:rsidP="00837046">
      <w:pPr>
        <w:spacing w:line="480" w:lineRule="auto"/>
      </w:pPr>
    </w:p>
    <w:p w14:paraId="645208A4" w14:textId="77777777" w:rsidR="00FA1876" w:rsidRPr="00FA1876" w:rsidRDefault="00FA1876" w:rsidP="00837046">
      <w:pPr>
        <w:spacing w:line="480" w:lineRule="auto"/>
        <w:rPr>
          <w:rFonts w:eastAsiaTheme="majorEastAsia"/>
        </w:rPr>
      </w:pPr>
      <w:r w:rsidRPr="00FA1876">
        <w:rPr>
          <w:rFonts w:eastAsiaTheme="majorEastAsia"/>
        </w:rPr>
        <w:lastRenderedPageBreak/>
        <w:t>Best, J. (2001). *Damned lies and statistics: Untangling numbers from the media, politicians, and activists*. University of California Press.</w:t>
      </w:r>
    </w:p>
    <w:p w14:paraId="3A2259C3" w14:textId="77777777" w:rsidR="00FA1876" w:rsidRPr="00FA1876" w:rsidRDefault="00FA1876" w:rsidP="00837046">
      <w:pPr>
        <w:spacing w:line="480" w:lineRule="auto"/>
        <w:rPr>
          <w:rFonts w:eastAsiaTheme="majorEastAsia"/>
        </w:rPr>
      </w:pPr>
    </w:p>
    <w:p w14:paraId="52DA740B" w14:textId="77777777" w:rsidR="00FA1876" w:rsidRPr="00FA1876" w:rsidRDefault="00FA1876" w:rsidP="00837046">
      <w:pPr>
        <w:spacing w:line="480" w:lineRule="auto"/>
        <w:rPr>
          <w:rFonts w:eastAsiaTheme="majorEastAsia"/>
        </w:rPr>
      </w:pPr>
      <w:r w:rsidRPr="00FA1876">
        <w:rPr>
          <w:rFonts w:eastAsiaTheme="majorEastAsia"/>
        </w:rPr>
        <w:t>Biderman, A. D., &amp; Reiss, A. J., Jr. (1967). On exploring the “dark figure” of crime. *The Annals of the American Academy of Political and Social Science, 374*(1), 1–15. https://doi.org/10.1177/000271626737400102</w:t>
      </w:r>
    </w:p>
    <w:p w14:paraId="21A29A8C" w14:textId="77777777" w:rsidR="00FA1876" w:rsidRPr="00FA1876" w:rsidRDefault="00FA1876" w:rsidP="00837046">
      <w:pPr>
        <w:spacing w:line="480" w:lineRule="auto"/>
        <w:rPr>
          <w:rFonts w:eastAsiaTheme="majorEastAsia"/>
        </w:rPr>
      </w:pPr>
    </w:p>
    <w:p w14:paraId="760FAA73" w14:textId="77777777" w:rsidR="00FA1876" w:rsidRPr="00FA1876" w:rsidRDefault="00FA1876" w:rsidP="00837046">
      <w:pPr>
        <w:spacing w:line="480" w:lineRule="auto"/>
        <w:rPr>
          <w:rFonts w:eastAsiaTheme="majorEastAsia"/>
        </w:rPr>
      </w:pPr>
      <w:r w:rsidRPr="00FA1876">
        <w:rPr>
          <w:rFonts w:eastAsiaTheme="majorEastAsia"/>
        </w:rPr>
        <w:t>Bushway, S., Johnson, B. D., &amp; Slocum, L. A. (2007). Is the magic still there? The use of the Heckman two-step correction for selection bias in criminology. *Journal of Quantitative Criminology, 23*(2), 151–178. https://doi.org/10.1007/s10940-007-9024-4</w:t>
      </w:r>
    </w:p>
    <w:p w14:paraId="520AE374" w14:textId="77777777" w:rsidR="00FA1876" w:rsidRPr="00FA1876" w:rsidRDefault="00FA1876" w:rsidP="00837046">
      <w:pPr>
        <w:spacing w:line="480" w:lineRule="auto"/>
        <w:rPr>
          <w:rFonts w:eastAsiaTheme="majorEastAsia"/>
        </w:rPr>
      </w:pPr>
    </w:p>
    <w:p w14:paraId="06C4C5B7" w14:textId="77777777" w:rsidR="00FA1876" w:rsidRPr="00FA1876" w:rsidRDefault="00FA1876" w:rsidP="00837046">
      <w:pPr>
        <w:spacing w:line="480" w:lineRule="auto"/>
        <w:rPr>
          <w:rFonts w:eastAsiaTheme="majorEastAsia"/>
        </w:rPr>
      </w:pPr>
      <w:r w:rsidRPr="00FA1876">
        <w:rPr>
          <w:rFonts w:eastAsiaTheme="majorEastAsia"/>
        </w:rPr>
        <w:t>Connelly, R., Playford, C. J., Gayle, V., &amp; Dibben, C. (2016). The role of administrative data in the big data revolution in social science research. *Social Science Research, 59*, 1–12. https://doi.org/10.1016/j.ssresearch.2016.04.015</w:t>
      </w:r>
    </w:p>
    <w:p w14:paraId="45E1B886" w14:textId="77777777" w:rsidR="00FA1876" w:rsidRPr="00FA1876" w:rsidRDefault="00FA1876" w:rsidP="00837046">
      <w:pPr>
        <w:spacing w:line="480" w:lineRule="auto"/>
        <w:rPr>
          <w:rFonts w:eastAsiaTheme="majorEastAsia"/>
        </w:rPr>
      </w:pPr>
    </w:p>
    <w:p w14:paraId="7F70CB9C" w14:textId="77777777" w:rsidR="00FA1876" w:rsidRPr="00FA1876" w:rsidRDefault="00FA1876" w:rsidP="00837046">
      <w:pPr>
        <w:spacing w:line="480" w:lineRule="auto"/>
        <w:rPr>
          <w:rFonts w:eastAsiaTheme="majorEastAsia"/>
        </w:rPr>
      </w:pPr>
      <w:r w:rsidRPr="00FA1876">
        <w:rPr>
          <w:rFonts w:eastAsiaTheme="majorEastAsia"/>
        </w:rPr>
        <w:t>Klepper, S., Nagin, D., &amp; Tierney, L. J. (1983). Discrimination in the criminal justice system: A critical appraisal of the literature. In A. Blumstein, J. Cohen, S. E. Martin, &amp; M. H. Tonry (Eds.), *Research on sentencing: The search for reform* (Vol. 2, pp. 55–128). National Academy Press.</w:t>
      </w:r>
    </w:p>
    <w:p w14:paraId="25402532" w14:textId="77777777" w:rsidR="00FA1876" w:rsidRPr="00FA1876" w:rsidRDefault="00FA1876" w:rsidP="00837046">
      <w:pPr>
        <w:spacing w:line="480" w:lineRule="auto"/>
        <w:rPr>
          <w:rFonts w:eastAsiaTheme="majorEastAsia"/>
        </w:rPr>
      </w:pPr>
    </w:p>
    <w:p w14:paraId="28DFBD04" w14:textId="77777777" w:rsidR="00FA1876" w:rsidRPr="00FA1876" w:rsidRDefault="00FA1876" w:rsidP="00837046">
      <w:pPr>
        <w:spacing w:line="480" w:lineRule="auto"/>
        <w:rPr>
          <w:rFonts w:eastAsiaTheme="majorEastAsia"/>
        </w:rPr>
      </w:pPr>
      <w:r w:rsidRPr="00FA1876">
        <w:rPr>
          <w:rFonts w:eastAsiaTheme="majorEastAsia"/>
        </w:rPr>
        <w:t>Minnesota Sentencing Explorer. (2026). *Raw sentencing dataset, 2001–2019* [Data set]. Author-supplied export.</w:t>
      </w:r>
    </w:p>
    <w:p w14:paraId="2A6311BB" w14:textId="77777777" w:rsidR="00FA1876" w:rsidRPr="00FA1876" w:rsidRDefault="00FA1876" w:rsidP="00837046">
      <w:pPr>
        <w:spacing w:line="480" w:lineRule="auto"/>
        <w:rPr>
          <w:rFonts w:eastAsiaTheme="majorEastAsia"/>
        </w:rPr>
      </w:pPr>
    </w:p>
    <w:p w14:paraId="35ABED27" w14:textId="77777777" w:rsidR="00FA1876" w:rsidRPr="00FA1876" w:rsidRDefault="00FA1876" w:rsidP="00837046">
      <w:pPr>
        <w:spacing w:line="480" w:lineRule="auto"/>
        <w:rPr>
          <w:rFonts w:eastAsiaTheme="majorEastAsia"/>
        </w:rPr>
      </w:pPr>
      <w:r w:rsidRPr="00FA1876">
        <w:rPr>
          <w:rFonts w:eastAsiaTheme="majorEastAsia"/>
        </w:rPr>
        <w:t>Minnesota Sentencing Guidelines Commission. (2018). *Sentencing practices: Annual summary statistics for felony cases sentenced in 2017*. https://mn.gov/msgc-stat/documents/reports/2017/UpdatedMSGC2017AnnualSummaryStatistics.pdf</w:t>
      </w:r>
    </w:p>
    <w:p w14:paraId="1FB5D02E" w14:textId="77777777" w:rsidR="00FA1876" w:rsidRPr="00FA1876" w:rsidRDefault="00FA1876" w:rsidP="00837046">
      <w:pPr>
        <w:spacing w:line="480" w:lineRule="auto"/>
        <w:rPr>
          <w:rFonts w:eastAsiaTheme="majorEastAsia"/>
        </w:rPr>
      </w:pPr>
    </w:p>
    <w:p w14:paraId="1D00347A" w14:textId="77777777" w:rsidR="00FA1876" w:rsidRPr="00FA1876" w:rsidRDefault="00FA1876" w:rsidP="00837046">
      <w:pPr>
        <w:spacing w:line="480" w:lineRule="auto"/>
        <w:rPr>
          <w:rFonts w:eastAsiaTheme="majorEastAsia"/>
        </w:rPr>
      </w:pPr>
      <w:r w:rsidRPr="00FA1876">
        <w:rPr>
          <w:rFonts w:eastAsiaTheme="majorEastAsia"/>
        </w:rPr>
        <w:t>Minnesota Sentencing Guidelines Commission. (2024). *Report to the legislature*. https://www.lrl.mn.gov/docs/2024/mandated/240055.pdf</w:t>
      </w:r>
    </w:p>
    <w:p w14:paraId="2BE9F5E7" w14:textId="77777777" w:rsidR="00FA1876" w:rsidRPr="00FA1876" w:rsidRDefault="00FA1876" w:rsidP="00837046">
      <w:pPr>
        <w:spacing w:line="480" w:lineRule="auto"/>
        <w:rPr>
          <w:rFonts w:eastAsiaTheme="majorEastAsia"/>
        </w:rPr>
      </w:pPr>
    </w:p>
    <w:p w14:paraId="498B60A1" w14:textId="77777777" w:rsidR="00FA1876" w:rsidRPr="00FA1876" w:rsidRDefault="00FA1876" w:rsidP="00837046">
      <w:pPr>
        <w:spacing w:line="480" w:lineRule="auto"/>
        <w:rPr>
          <w:rFonts w:eastAsiaTheme="majorEastAsia"/>
        </w:rPr>
      </w:pPr>
      <w:r w:rsidRPr="00FA1876">
        <w:rPr>
          <w:rFonts w:eastAsiaTheme="majorEastAsia"/>
        </w:rPr>
        <w:t>National Research Council. (1983). *Research on sentencing: The search for reform* (A. Blumstein, J. Cohen, S. E. Martin, &amp; M. H. Tonry, Eds.). National Academy Press. https://doi.org/10.17226/19436</w:t>
      </w:r>
    </w:p>
    <w:p w14:paraId="0306E5CC" w14:textId="77777777" w:rsidR="00FA1876" w:rsidRPr="00FA1876" w:rsidRDefault="00FA1876" w:rsidP="00837046">
      <w:pPr>
        <w:spacing w:line="480" w:lineRule="auto"/>
        <w:rPr>
          <w:rFonts w:eastAsiaTheme="majorEastAsia"/>
        </w:rPr>
      </w:pPr>
    </w:p>
    <w:p w14:paraId="3AAA6667" w14:textId="77777777" w:rsidR="00FA1876" w:rsidRPr="00FA1876" w:rsidRDefault="00FA1876" w:rsidP="00837046">
      <w:pPr>
        <w:spacing w:line="480" w:lineRule="auto"/>
        <w:rPr>
          <w:rFonts w:eastAsiaTheme="majorEastAsia"/>
        </w:rPr>
      </w:pPr>
      <w:r w:rsidRPr="00FA1876">
        <w:rPr>
          <w:rFonts w:eastAsiaTheme="majorEastAsia"/>
        </w:rPr>
        <w:t>President’s Commission on Law Enforcement and Administration of Justice. (1967). *The challenge of crime in a free society*. U.S. Government Printing Office.</w:t>
      </w:r>
    </w:p>
    <w:p w14:paraId="3627461A" w14:textId="77777777" w:rsidR="00FA1876" w:rsidRPr="00FA1876" w:rsidRDefault="00FA1876" w:rsidP="00837046">
      <w:pPr>
        <w:spacing w:line="480" w:lineRule="auto"/>
        <w:rPr>
          <w:rFonts w:eastAsiaTheme="majorEastAsia"/>
        </w:rPr>
      </w:pPr>
    </w:p>
    <w:p w14:paraId="1BB92545" w14:textId="77777777" w:rsidR="00FA1876" w:rsidRPr="00FA1876" w:rsidRDefault="00FA1876" w:rsidP="00837046">
      <w:pPr>
        <w:spacing w:line="480" w:lineRule="auto"/>
        <w:rPr>
          <w:rFonts w:eastAsiaTheme="majorEastAsia"/>
        </w:rPr>
      </w:pPr>
      <w:r w:rsidRPr="00FA1876">
        <w:rPr>
          <w:rFonts w:eastAsiaTheme="majorEastAsia"/>
        </w:rPr>
        <w:t>Sellin, T. (1931). The basis of a crime index. *Journal of Criminal Law and Criminology, 22*(3), 335–356.</w:t>
      </w:r>
    </w:p>
    <w:p w14:paraId="28D78908" w14:textId="77777777" w:rsidR="00FA1876" w:rsidRPr="00FA1876" w:rsidRDefault="00FA1876" w:rsidP="00837046">
      <w:pPr>
        <w:spacing w:line="480" w:lineRule="auto"/>
        <w:rPr>
          <w:rFonts w:eastAsiaTheme="majorEastAsia"/>
        </w:rPr>
      </w:pPr>
    </w:p>
    <w:p w14:paraId="4FB15503" w14:textId="051250E8" w:rsidR="00B67E15" w:rsidRDefault="00FA1876" w:rsidP="00837046">
      <w:pPr>
        <w:spacing w:line="480" w:lineRule="auto"/>
        <w:rPr>
          <w:rFonts w:eastAsiaTheme="majorEastAsia"/>
          <w:b/>
          <w:bCs/>
        </w:rPr>
      </w:pPr>
      <w:r w:rsidRPr="00FA1876">
        <w:rPr>
          <w:rFonts w:eastAsiaTheme="majorEastAsia"/>
        </w:rPr>
        <w:t>Skogan, W. G. (1977). Dimensions of the dark figure of unreported crime. *Crime &amp; Delinquency, 23*(1), 41–50. https://doi.org/10.1177/001112877702300104</w:t>
      </w:r>
    </w:p>
    <w:p w14:paraId="12EF6679" w14:textId="77777777" w:rsidR="00FA1876" w:rsidRPr="00B67E15" w:rsidRDefault="00FA1876" w:rsidP="00837046">
      <w:pPr>
        <w:spacing w:line="480" w:lineRule="auto"/>
        <w:rPr>
          <w:rFonts w:eastAsiaTheme="majorEastAsia"/>
        </w:rPr>
      </w:pPr>
    </w:p>
    <w:p w14:paraId="738E6D5A" w14:textId="2B76A8DA" w:rsidR="00FA1876" w:rsidRPr="00FA1876" w:rsidRDefault="00FA1876" w:rsidP="00837046">
      <w:pPr>
        <w:pStyle w:val="Heading2"/>
        <w:spacing w:line="480" w:lineRule="auto"/>
      </w:pPr>
      <w:r w:rsidRPr="00FA1876">
        <w:t>Chapter 3: The Project and Its Artifacts</w:t>
      </w:r>
    </w:p>
    <w:p w14:paraId="3DD2C72A" w14:textId="122496C3" w:rsidR="00FA1876" w:rsidRPr="00FA1876" w:rsidRDefault="00FA1876" w:rsidP="00837046">
      <w:pPr>
        <w:pStyle w:val="Heading3"/>
        <w:spacing w:line="480" w:lineRule="auto"/>
      </w:pPr>
      <w:r w:rsidRPr="00FA1876">
        <w:t>An Environment for Learning Through Sentencing Data</w:t>
      </w:r>
    </w:p>
    <w:p w14:paraId="67FACB9D" w14:textId="20B8752F" w:rsidR="00FA1876" w:rsidRPr="00FA1876" w:rsidRDefault="00FA1876" w:rsidP="00837046">
      <w:pPr>
        <w:spacing w:line="480" w:lineRule="auto"/>
        <w:rPr>
          <w:rFonts w:eastAsiaTheme="majorEastAsia"/>
        </w:rPr>
      </w:pPr>
      <w:r w:rsidRPr="00FA1876">
        <w:rPr>
          <w:rFonts w:eastAsiaTheme="majorEastAsia"/>
        </w:rPr>
        <w:t>The Minnesota Sentencing Explorer, also identified as Crime[dot]Education, is an interactive teaching environment for examining Minnesota felony sentencing records. It is designed principally for students learning to interpret criminal-justice data and for educators guiding that work. The project combines three related artifacts: an interface for exploring sentencing records, a curriculum that supplies legal and methodological context, and educator-facing components that support assignments, checkpoints, and review. Each artifact performs a different function, but none is intended to stand alone. The interface makes patterns visible; the curriculum teaches students how to bound and interpret those patterns; and the educator-facing components organize opportunities to practice and receive feedback.</w:t>
      </w:r>
    </w:p>
    <w:p w14:paraId="243EA30F" w14:textId="5F744458" w:rsidR="00FA1876" w:rsidRPr="00FA1876" w:rsidRDefault="00FA1876" w:rsidP="00837046">
      <w:pPr>
        <w:spacing w:line="480" w:lineRule="auto"/>
        <w:rPr>
          <w:rFonts w:eastAsiaTheme="majorEastAsia"/>
        </w:rPr>
      </w:pPr>
      <w:r w:rsidRPr="00FA1876">
        <w:rPr>
          <w:rFonts w:eastAsiaTheme="majorEastAsia"/>
        </w:rPr>
        <w:t>This combination responds directly to the interpretive problem developed in Chapter 2. Official statistics can appear authoritative because they are detailed and precise, even when a reader has misunderstood the population, the unit of analysis, or the kind of claim the evidence can support. A conventional data interface may intensify that problem by making computation effortless while leaving the method implicit. Conversely, explanatory material about sentencing may supply necessary legal context without requiring students to inspect denominators, distributions, or conditional comparisons. The Minnesota Sentencing Explorer is designed to join these forms of knowledge. It treats statistical operations as decisions about populations and treats interpretation as part of the analysis rather than a disclaimer added afterward.</w:t>
      </w:r>
    </w:p>
    <w:p w14:paraId="7A092401" w14:textId="0A6ECD9F" w:rsidR="00FA1876" w:rsidRPr="00FA1876" w:rsidRDefault="00FA1876" w:rsidP="00837046">
      <w:pPr>
        <w:spacing w:line="480" w:lineRule="auto"/>
        <w:rPr>
          <w:rFonts w:eastAsiaTheme="majorEastAsia"/>
        </w:rPr>
      </w:pPr>
      <w:r w:rsidRPr="00FA1876">
        <w:rPr>
          <w:rFonts w:eastAsiaTheme="majorEastAsia"/>
        </w:rPr>
        <w:lastRenderedPageBreak/>
        <w:t>The project does not assume that access to data produces responsible understanding. Nor does it claim, in the absence of completed evaluation, that the environment has already improved student learning. Its more limited and defensible claim is a design claim: the artifacts are organized to make important interpretive decisions visible, repeatable, and available for instruction.</w:t>
      </w:r>
    </w:p>
    <w:p w14:paraId="4FC758FD" w14:textId="330D108E" w:rsidR="00FA1876" w:rsidRPr="00FA1876" w:rsidRDefault="00FA1876" w:rsidP="00837046">
      <w:pPr>
        <w:pStyle w:val="Heading3"/>
        <w:spacing w:line="480" w:lineRule="auto"/>
      </w:pPr>
      <w:r w:rsidRPr="00FA1876">
        <w:t>The Dataset and Its Boundaries</w:t>
      </w:r>
    </w:p>
    <w:p w14:paraId="00D13AD8" w14:textId="0DCEF310" w:rsidR="00FA1876" w:rsidRPr="00FA1876" w:rsidRDefault="00FA1876" w:rsidP="00837046">
      <w:pPr>
        <w:spacing w:line="480" w:lineRule="auto"/>
        <w:rPr>
          <w:rFonts w:eastAsiaTheme="majorEastAsia"/>
        </w:rPr>
      </w:pPr>
      <w:r w:rsidRPr="00FA1876">
        <w:rPr>
          <w:rFonts w:eastAsiaTheme="majorEastAsia"/>
        </w:rPr>
        <w:t>The Explorer uses an author-supplied dataset containing 294,467 Minnesota felony sentencing records from 2001 through 2019 (Minnesota Sentencing Explorer, 2026). The records originate in the administrative work of Minnesota’s sentencing system. The Minnesota Sentencing Guidelines Commission maintains sentencing information to monitor sentencing practices and the operation of the state’s guidelines, drawing on sentencing worksheets and court data (Minnesota Sentencing Guidelines Commission, 2024). The resulting file has substantial advantages for education and descriptive analysis: it covers a long period, contains a large number of records, and includes more than one hundred fields describing legally and administratively relevant features.</w:t>
      </w:r>
    </w:p>
    <w:p w14:paraId="0BF57AB0" w14:textId="574F6981" w:rsidR="00FA1876" w:rsidRPr="00FA1876" w:rsidRDefault="00FA1876" w:rsidP="00837046">
      <w:pPr>
        <w:spacing w:line="480" w:lineRule="auto"/>
        <w:rPr>
          <w:rFonts w:eastAsiaTheme="majorEastAsia"/>
        </w:rPr>
      </w:pPr>
      <w:r w:rsidRPr="00FA1876">
        <w:rPr>
          <w:rFonts w:eastAsiaTheme="majorEastAsia"/>
        </w:rPr>
        <w:t>Those strengths must be interpreted in light of the dataset’s provenance. Administrative data is generated in the course of operating an institution, not collected according to a research design created for a particular analytical question (Connelly et al., 2016). The available variables therefore reflect what the sentencing system needed to record. They do not provide a comprehensive social history of each case, a complete account of upstream decision-making, or a measure of all criminal conduct in Minnesota.</w:t>
      </w:r>
    </w:p>
    <w:p w14:paraId="69EF652D" w14:textId="1C8F58A6" w:rsidR="00FA1876" w:rsidRPr="00FA1876" w:rsidRDefault="00FA1876" w:rsidP="00837046">
      <w:pPr>
        <w:spacing w:line="480" w:lineRule="auto"/>
        <w:rPr>
          <w:rFonts w:eastAsiaTheme="majorEastAsia"/>
        </w:rPr>
      </w:pPr>
      <w:r w:rsidRPr="00FA1876">
        <w:rPr>
          <w:rFonts w:eastAsiaTheme="majorEastAsia"/>
        </w:rPr>
        <w:t xml:space="preserve">The unit of analysis is a sentencing record. Under the Commission’s counting rules, multiple offenses sentenced for the same person in the same county within a 30-day period may be combined into one record represented by the most serious offense (Minnesota Sentencing Guidelines Commission, 2018). Consequently, one row is not one crime and is not necessarily one </w:t>
      </w:r>
      <w:r w:rsidRPr="00FA1876">
        <w:rPr>
          <w:rFonts w:eastAsiaTheme="majorEastAsia"/>
        </w:rPr>
        <w:lastRenderedPageBreak/>
        <w:t>unique person. The same person may appear in more than one sentencing record at different times, while multiple offenses may be collapsed into a single record. Counts produced by the Explorer must therefore be described as counts of sentencing records unless a more exact documented rule applies.</w:t>
      </w:r>
    </w:p>
    <w:p w14:paraId="24F806AC" w14:textId="4248A987" w:rsidR="00FA1876" w:rsidRPr="00FA1876" w:rsidRDefault="00FA1876" w:rsidP="00837046">
      <w:pPr>
        <w:spacing w:line="480" w:lineRule="auto"/>
        <w:rPr>
          <w:rFonts w:eastAsiaTheme="majorEastAsia"/>
        </w:rPr>
      </w:pPr>
      <w:r w:rsidRPr="00FA1876">
        <w:rPr>
          <w:rFonts w:eastAsiaTheme="majorEastAsia"/>
        </w:rPr>
        <w:t>The dataset also begins near the bottom of the criminal-justice funnel described in Chapter 2. It excludes conduct that was not reported or detected, cases that did not result in a felony conviction, and decisions or negotiations that are not preserved in the final sentencing record. These absences limit the questions that the Explorer can answer. The file can describe patterns among the sentencing records it contains. It cannot measure all crime, reconstruct every case trajectory, or determine from a descriptive difference alone whether discrimination occurred.</w:t>
      </w:r>
    </w:p>
    <w:p w14:paraId="4EEFB023" w14:textId="789C75FC" w:rsidR="00FA1876" w:rsidRPr="00FA1876" w:rsidRDefault="00FA1876" w:rsidP="00837046">
      <w:pPr>
        <w:spacing w:line="480" w:lineRule="auto"/>
        <w:rPr>
          <w:rFonts w:eastAsiaTheme="majorEastAsia"/>
        </w:rPr>
      </w:pPr>
      <w:r w:rsidRPr="00FA1876">
        <w:rPr>
          <w:rFonts w:eastAsiaTheme="majorEastAsia"/>
        </w:rPr>
        <w:t>Similar care is necessary when interpreting the variable `time`. Throughout the Explorer and curriculum, `time` is treated as presumptive sentence duration in months: the guideline-based duration associated with the applicable sentencing structure. It is not automatically the sentence pronounced by the court, the period executed in prison, or the time ultimately served. Stays, departures, supervised release, and other legal mechanisms separate presumptive duration from punishment experienced (Minnesota Sentencing Guidelines Commission, 2024). The interface may calculate `time` accurately while a user interprets it incorrectly. The curriculum therefore makes the meaning of the variable part of the analytical method.</w:t>
      </w:r>
    </w:p>
    <w:p w14:paraId="60743519" w14:textId="6E3ED2CD" w:rsidR="00FA1876" w:rsidRPr="00FA1876" w:rsidRDefault="00FA1876" w:rsidP="00837046">
      <w:pPr>
        <w:pStyle w:val="Heading3"/>
        <w:spacing w:line="480" w:lineRule="auto"/>
      </w:pPr>
      <w:r w:rsidRPr="00FA1876">
        <w:t>Operations as Methodological Decisions</w:t>
      </w:r>
    </w:p>
    <w:p w14:paraId="6525FC16" w14:textId="77777777" w:rsidR="00FA1876" w:rsidRPr="00FA1876" w:rsidRDefault="00FA1876" w:rsidP="00837046">
      <w:pPr>
        <w:spacing w:line="480" w:lineRule="auto"/>
        <w:rPr>
          <w:rFonts w:eastAsiaTheme="majorEastAsia"/>
        </w:rPr>
      </w:pPr>
      <w:r w:rsidRPr="00FA1876">
        <w:rPr>
          <w:rFonts w:eastAsiaTheme="majorEastAsia"/>
        </w:rPr>
        <w:t>The Explorer provides several basic operations: filtering, summarizing, comparing through cross-tabulation, visualizing, reverting, and clearing. Although these appear as interface functions, their educational significance lies in the methodological decisions they represent.</w:t>
      </w:r>
    </w:p>
    <w:p w14:paraId="7D44C96E" w14:textId="77777777" w:rsidR="00FA1876" w:rsidRPr="00FA1876" w:rsidRDefault="00FA1876" w:rsidP="00837046">
      <w:pPr>
        <w:spacing w:line="480" w:lineRule="auto"/>
        <w:rPr>
          <w:rFonts w:eastAsiaTheme="majorEastAsia"/>
        </w:rPr>
      </w:pPr>
    </w:p>
    <w:p w14:paraId="6F9DB9BE" w14:textId="762F1201" w:rsidR="00FA1876" w:rsidRPr="00FA1876" w:rsidRDefault="00FA1876" w:rsidP="00837046">
      <w:pPr>
        <w:spacing w:line="480" w:lineRule="auto"/>
        <w:rPr>
          <w:rFonts w:eastAsiaTheme="majorEastAsia"/>
        </w:rPr>
      </w:pPr>
      <w:r w:rsidRPr="00FA1876">
        <w:rPr>
          <w:rFonts w:eastAsiaTheme="majorEastAsia"/>
        </w:rPr>
        <w:t>Filtering defines the population under study. A filter retains sentencing records that satisfy a stated condition and excludes the others from the current view. If a student restricts the file to particular sentencing years, the statistics that follow describe only sentencing records from those years. If an offense-category filter is added, the resulting population is narrower still. The filter does not modify the underlying records; it changes the population being summarized. This distinction encourages students to read a filtered result as a bounded claim rather than as a smaller version of an unqualified fact.</w:t>
      </w:r>
    </w:p>
    <w:p w14:paraId="3C459BB8" w14:textId="06D29BF7" w:rsidR="00FA1876" w:rsidRPr="00FA1876" w:rsidRDefault="00FA1876" w:rsidP="00837046">
      <w:pPr>
        <w:spacing w:line="480" w:lineRule="auto"/>
        <w:rPr>
          <w:rFonts w:eastAsiaTheme="majorEastAsia"/>
        </w:rPr>
      </w:pPr>
      <w:r w:rsidRPr="00FA1876">
        <w:rPr>
          <w:rFonts w:eastAsiaTheme="majorEastAsia"/>
        </w:rPr>
        <w:t>Summarizing describes a selected variable within the population currently in view. Depending on the field, summaries may include N, counts, percentages, the mode, the mean, the median, or the standard deviation. N is central because it identifies how many sentencing records support the displayed result. Counts and percentages are kept distinct because unequal group sizes can make a large count coexist with a smaller within-group proportion. Likewise, the interface presents multiple measures of center because sentence-duration distributions may be skewed. The goal is not to establish one universally preferred statistic, but to require an intentional match between the statistic and the claim.</w:t>
      </w:r>
    </w:p>
    <w:p w14:paraId="50D7BE12" w14:textId="58B5FFE9" w:rsidR="00FA1876" w:rsidRPr="00FA1876" w:rsidRDefault="00FA1876" w:rsidP="00837046">
      <w:pPr>
        <w:spacing w:line="480" w:lineRule="auto"/>
        <w:rPr>
          <w:rFonts w:eastAsiaTheme="majorEastAsia"/>
        </w:rPr>
      </w:pPr>
      <w:r w:rsidRPr="00FA1876">
        <w:rPr>
          <w:rFonts w:eastAsiaTheme="majorEastAsia"/>
        </w:rPr>
        <w:t>Cross-tabulation compares groups by arranging many conditional summaries in a compact table. Methodologically, each cell is a filtered population that could have been constructed separately. A cell crossing a year with an offense category has its own inclusion rules, denominator, and descriptive result. Understanding the table in this way discourages students from treating it as a self-explanatory object. A difference between cells documents a disparity between the represented groups or categories; it does not identify the cause of that disparity.</w:t>
      </w:r>
    </w:p>
    <w:p w14:paraId="3FBAD5DA" w14:textId="59277BCA" w:rsidR="00FA1876" w:rsidRPr="00FA1876" w:rsidRDefault="00FA1876" w:rsidP="00837046">
      <w:pPr>
        <w:spacing w:line="480" w:lineRule="auto"/>
        <w:rPr>
          <w:rFonts w:eastAsiaTheme="majorEastAsia"/>
        </w:rPr>
      </w:pPr>
      <w:r w:rsidRPr="00FA1876">
        <w:rPr>
          <w:rFonts w:eastAsiaTheme="majorEastAsia"/>
        </w:rPr>
        <w:lastRenderedPageBreak/>
        <w:t>Visualizations offer another representation of the current filtered population. Distribution charts can make skew, clustering, and outliers easier to see than a single summary statistic. Trend displays can reveal changes that warrant closer investigation, and maps or grouped charts can reveal geographic or compositional patterns. A visualization does not create new evidence, however. It inherits the population, unit, variables, and limits of the view from which it was produced. Its pedagogical value is greatest when students are required to connect the visible pattern to the filtering decisions and denominators beneath it.</w:t>
      </w:r>
    </w:p>
    <w:p w14:paraId="20A3B4CE" w14:textId="5AC4CEAC" w:rsidR="00FA1876" w:rsidRPr="00FA1876" w:rsidRDefault="00FA1876" w:rsidP="00837046">
      <w:pPr>
        <w:spacing w:line="480" w:lineRule="auto"/>
        <w:rPr>
          <w:rFonts w:eastAsiaTheme="majorEastAsia"/>
        </w:rPr>
      </w:pPr>
      <w:r w:rsidRPr="00FA1876">
        <w:rPr>
          <w:rFonts w:eastAsiaTheme="majorEastAsia"/>
        </w:rPr>
        <w:t>Revert and clear make analytical revision explicit. Reverting returns the Explorer to an earlier state in the analysis, allowing a student to remove later restrictions and recover a prior population. Clearing returns to the unfiltered dataset. These actions support comparison between analytical states: students can observe what changed when a filter was added and confirm what is restored when it is removed. What might otherwise be an ordinary undo function becomes a way to examine how a finding was constructed.</w:t>
      </w:r>
    </w:p>
    <w:p w14:paraId="3D358802" w14:textId="4D5EA699" w:rsidR="00FA1876" w:rsidRPr="00FA1876" w:rsidRDefault="00FA1876" w:rsidP="00837046">
      <w:pPr>
        <w:pStyle w:val="Heading3"/>
        <w:spacing w:line="480" w:lineRule="auto"/>
      </w:pPr>
      <w:r w:rsidRPr="00FA1876">
        <w:t>The Filter History Is the Methods Section</w:t>
      </w:r>
    </w:p>
    <w:p w14:paraId="6C0084BF" w14:textId="1844CBCB" w:rsidR="00FA1876" w:rsidRPr="00FA1876" w:rsidRDefault="00FA1876" w:rsidP="00837046">
      <w:pPr>
        <w:spacing w:line="480" w:lineRule="auto"/>
        <w:rPr>
          <w:rFonts w:eastAsiaTheme="majorEastAsia"/>
        </w:rPr>
      </w:pPr>
      <w:r w:rsidRPr="00FA1876">
        <w:rPr>
          <w:rFonts w:eastAsiaTheme="majorEastAsia"/>
        </w:rPr>
        <w:t>The central organizational feature of the Explorer is its history-driven model. Each filtering decision becomes an entry in an ordered history. A new condition applies to the sentencing records that survived the conditions before it. The current view is therefore not simply “the data on the screen.” It is the result of a sequence of inclusion and exclusion decisions.</w:t>
      </w:r>
    </w:p>
    <w:p w14:paraId="4E33F692" w14:textId="224AE079" w:rsidR="00FA1876" w:rsidRPr="00FA1876" w:rsidRDefault="00FA1876" w:rsidP="00837046">
      <w:pPr>
        <w:spacing w:line="480" w:lineRule="auto"/>
        <w:rPr>
          <w:rFonts w:eastAsiaTheme="majorEastAsia"/>
        </w:rPr>
      </w:pPr>
      <w:r w:rsidRPr="00FA1876">
        <w:rPr>
          <w:rFonts w:eastAsiaTheme="majorEastAsia"/>
        </w:rPr>
        <w:t xml:space="preserve">This sequence makes the analytical population inspectable. A reader can determine whether a result describes all sentencing records, records from a particular period, records in an offense category, or a still narrower group defined by severity and criminal-history score. Although rearranging independent filters may sometimes produce the same final set of rows, the ordered history remains useful because it preserves how the analyst developed the question. It can show, </w:t>
      </w:r>
      <w:r w:rsidRPr="00FA1876">
        <w:rPr>
          <w:rFonts w:eastAsiaTheme="majorEastAsia"/>
        </w:rPr>
        <w:lastRenderedPageBreak/>
        <w:t>for example, whether a raw disparity narrowed after offense composition was restricted and then changed again after criminal history was held constant.</w:t>
      </w:r>
    </w:p>
    <w:p w14:paraId="6D2B31E3" w14:textId="2D923E80" w:rsidR="00FA1876" w:rsidRPr="00FA1876" w:rsidRDefault="00FA1876" w:rsidP="00837046">
      <w:pPr>
        <w:spacing w:line="480" w:lineRule="auto"/>
        <w:rPr>
          <w:rFonts w:eastAsiaTheme="majorEastAsia"/>
        </w:rPr>
      </w:pPr>
      <w:r w:rsidRPr="00FA1876">
        <w:rPr>
          <w:rFonts w:eastAsiaTheme="majorEastAsia"/>
        </w:rPr>
        <w:t>In this sense, the filter history is the methods section. A conventional research report must explain how its analytical sample was created: which records were eligible, which were excluded, how variables were defined, and which comparisons were made. The Explorer translates part of that obligation into an inspectable chain. Another student or educator can replay the chain, reconstruct the same population, and check the resulting summary. The history does not eliminate interpretive judgment, nor does reproducibility make a causal claim valid. It does make the construction of the descriptive claim harder to conceal.</w:t>
      </w:r>
    </w:p>
    <w:p w14:paraId="1F791867" w14:textId="7080A42E" w:rsidR="00FA1876" w:rsidRPr="00FA1876" w:rsidRDefault="00FA1876" w:rsidP="00837046">
      <w:pPr>
        <w:spacing w:line="480" w:lineRule="auto"/>
        <w:rPr>
          <w:rFonts w:eastAsiaTheme="majorEastAsia"/>
        </w:rPr>
      </w:pPr>
      <w:r w:rsidRPr="00FA1876">
        <w:rPr>
          <w:rFonts w:eastAsiaTheme="majorEastAsia"/>
        </w:rPr>
        <w:t>This principle also gives revert and clear their broader meaning. Revert permits a return to an earlier methodological decision, while clear restores the baseline population. Students can compare the result before and after a restriction instead of seeing only the final output. The history thereby turns filtering from a private sequence of clicks into a record that can be discussed, assessed, and appended to written work.</w:t>
      </w:r>
    </w:p>
    <w:p w14:paraId="2AD6FFF8" w14:textId="1EB39B26" w:rsidR="00FA1876" w:rsidRPr="00FA1876" w:rsidRDefault="00FA1876" w:rsidP="00837046">
      <w:pPr>
        <w:spacing w:line="480" w:lineRule="auto"/>
        <w:rPr>
          <w:rFonts w:eastAsiaTheme="majorEastAsia"/>
        </w:rPr>
      </w:pPr>
      <w:r w:rsidRPr="00FA1876">
        <w:rPr>
          <w:rFonts w:eastAsiaTheme="majorEastAsia"/>
        </w:rPr>
        <w:t>The internal mechanisms used to load data, rebuild a filtered view, or accelerate repeated calculations are implementation details. They matter to the reliability and responsiveness of the software, but they are not the project’s principal pedagogical contribution. What matters educationally is that the user can see the active population, inspect the decisions that produced it, and reproduce those decisions.</w:t>
      </w:r>
    </w:p>
    <w:p w14:paraId="072C8D02" w14:textId="2B1A1622" w:rsidR="00FA1876" w:rsidRPr="00FA1876" w:rsidRDefault="00FA1876" w:rsidP="00837046">
      <w:pPr>
        <w:pStyle w:val="Heading3"/>
        <w:spacing w:line="480" w:lineRule="auto"/>
      </w:pPr>
      <w:r w:rsidRPr="00FA1876">
        <w:lastRenderedPageBreak/>
        <w:t>The Five-Unit Curriculum</w:t>
      </w:r>
    </w:p>
    <w:p w14:paraId="532A3C93" w14:textId="77777777" w:rsidR="00FA1876" w:rsidRPr="00FA1876" w:rsidRDefault="00FA1876" w:rsidP="00837046">
      <w:pPr>
        <w:spacing w:line="480" w:lineRule="auto"/>
        <w:rPr>
          <w:rFonts w:eastAsiaTheme="majorEastAsia"/>
        </w:rPr>
      </w:pPr>
      <w:r w:rsidRPr="00FA1876">
        <w:rPr>
          <w:rFonts w:eastAsiaTheme="majorEastAsia"/>
        </w:rPr>
        <w:t>Part II organizes the curriculum into five units that move from foundational interpretation toward independent investigation. The sequence is cumulative: later comparisons assume that students can identify the dataset’s provenance, unit, and limits before interpreting a group difference.</w:t>
      </w:r>
    </w:p>
    <w:p w14:paraId="1662ABBF" w14:textId="77777777" w:rsidR="00FA1876" w:rsidRPr="00FA1876" w:rsidRDefault="00FA1876" w:rsidP="00837046">
      <w:pPr>
        <w:spacing w:line="480" w:lineRule="auto"/>
        <w:rPr>
          <w:rFonts w:eastAsiaTheme="majorEastAsia"/>
        </w:rPr>
      </w:pPr>
    </w:p>
    <w:p w14:paraId="1CF712BE" w14:textId="468BE557" w:rsidR="00FA1876" w:rsidRPr="00FA1876" w:rsidRDefault="00FA1876" w:rsidP="00837046">
      <w:pPr>
        <w:spacing w:line="480" w:lineRule="auto"/>
        <w:rPr>
          <w:rFonts w:eastAsiaTheme="majorEastAsia"/>
        </w:rPr>
      </w:pPr>
      <w:r w:rsidRPr="00FA1876">
        <w:rPr>
          <w:rFonts w:eastAsiaTheme="majorEastAsia"/>
        </w:rPr>
        <w:t>Unit I, “Foundations,” introduces what the data is and is not, teaches the Explorer’s basic operations, and develops the vocabulary of descriptive statistics. Students encounter provenance, the sentencing-record unit, filtering, denominators, measures of center, and variation before they are asked to interpret sensitive disparities</w:t>
      </w:r>
    </w:p>
    <w:p w14:paraId="2CC6DCF0" w14:textId="7FEA0BE6" w:rsidR="00FA1876" w:rsidRPr="00FA1876" w:rsidRDefault="00FA1876" w:rsidP="00837046">
      <w:pPr>
        <w:spacing w:line="480" w:lineRule="auto"/>
        <w:rPr>
          <w:rFonts w:eastAsiaTheme="majorEastAsia"/>
        </w:rPr>
      </w:pPr>
      <w:r w:rsidRPr="00FA1876">
        <w:rPr>
          <w:rFonts w:eastAsiaTheme="majorEastAsia"/>
        </w:rPr>
        <w:t>Unit II, “The Machine—Minnesota’s Sentencing System,” turns to the institutional production of the variables. Its modules examine offense classification, the Minnesota Offense Code, the sentencing grids, criminal-history score, and the meaning of `time`. The purpose is to prevent administrative categories from being treated as transparent descriptions of conduct. A code records how the system classified a case, while presumptive sentence duration reflects a legal structure rather than an uncomplicated measure of confinement.</w:t>
      </w:r>
    </w:p>
    <w:p w14:paraId="6416A546" w14:textId="77777777" w:rsidR="00FA1876" w:rsidRPr="00FA1876" w:rsidRDefault="00FA1876" w:rsidP="00837046">
      <w:pPr>
        <w:spacing w:line="480" w:lineRule="auto"/>
        <w:rPr>
          <w:rFonts w:eastAsiaTheme="majorEastAsia"/>
        </w:rPr>
      </w:pPr>
      <w:r w:rsidRPr="00FA1876">
        <w:rPr>
          <w:rFonts w:eastAsiaTheme="majorEastAsia"/>
        </w:rPr>
        <w:t>Unit III, “Reading Patterns Responsibly,” shifts from individual summaries to more demanding comparisons. Its progression includes change over time, conditioning, small-number instability, and sex-related sentencing disparities. Filtering becomes a form of descriptive control: students ask how a pattern changes when offense category, criminal history, or another recorded characteristic is held constant. This unit is also a rehearsal for the more politically and morally charged analysis that follows.</w:t>
      </w:r>
    </w:p>
    <w:p w14:paraId="53CF5036" w14:textId="77777777" w:rsidR="00FA1876" w:rsidRPr="00FA1876" w:rsidRDefault="00FA1876" w:rsidP="00837046">
      <w:pPr>
        <w:spacing w:line="480" w:lineRule="auto"/>
        <w:rPr>
          <w:rFonts w:eastAsiaTheme="majorEastAsia"/>
        </w:rPr>
      </w:pPr>
    </w:p>
    <w:p w14:paraId="53450307" w14:textId="77777777" w:rsidR="00FA1876" w:rsidRPr="00FA1876" w:rsidRDefault="00FA1876" w:rsidP="00837046">
      <w:pPr>
        <w:spacing w:line="480" w:lineRule="auto"/>
        <w:rPr>
          <w:rFonts w:eastAsiaTheme="majorEastAsia"/>
        </w:rPr>
      </w:pPr>
      <w:r w:rsidRPr="00FA1876">
        <w:rPr>
          <w:rFonts w:eastAsiaTheme="majorEastAsia"/>
        </w:rPr>
        <w:lastRenderedPageBreak/>
        <w:t>Unit IV, “The Big Question,” addresses race and sentencing disparity and then returns to the limits of the data. Students distinguish disparity from discrimination, compare raw and conditioned results, and consider why neither a remaining gap nor a vanished gap constitutes a causal verdict. The unit asks what additional evidence would be required to support stronger conclusions and locates the Explorer within, rather than above, the limits of descriptive administrative data.</w:t>
      </w:r>
    </w:p>
    <w:p w14:paraId="19921476" w14:textId="77777777" w:rsidR="00FA1876" w:rsidRPr="00FA1876" w:rsidRDefault="00FA1876" w:rsidP="00837046">
      <w:pPr>
        <w:spacing w:line="480" w:lineRule="auto"/>
        <w:rPr>
          <w:rFonts w:eastAsiaTheme="majorEastAsia"/>
        </w:rPr>
      </w:pPr>
    </w:p>
    <w:p w14:paraId="1427C272" w14:textId="77777777" w:rsidR="00FA1876" w:rsidRPr="00FA1876" w:rsidRDefault="00FA1876" w:rsidP="00837046">
      <w:pPr>
        <w:spacing w:line="480" w:lineRule="auto"/>
        <w:rPr>
          <w:rFonts w:eastAsiaTheme="majorEastAsia"/>
        </w:rPr>
      </w:pPr>
      <w:r w:rsidRPr="00FA1876">
        <w:rPr>
          <w:rFonts w:eastAsiaTheme="majorEastAsia"/>
        </w:rPr>
        <w:t>Unit V is the capstone. Students formulate an answerable descriptive question, specify a filter plan, monitor N as the population changes, select appropriate summaries or visualizations, and communicate the result with bounded language. The filter history accompanies the final work as a record of method. The capstone is therefore not a search for the most dramatic pattern. It is an exercise in producing a reproducible claim whose scope matches its evidence.</w:t>
      </w:r>
    </w:p>
    <w:p w14:paraId="4439B75B" w14:textId="38D546B8" w:rsidR="00FA1876" w:rsidRPr="00FA1876" w:rsidRDefault="00FA1876" w:rsidP="00837046">
      <w:pPr>
        <w:pStyle w:val="Heading3"/>
        <w:spacing w:line="480" w:lineRule="auto"/>
      </w:pPr>
      <w:r w:rsidRPr="00FA1876">
        <w:t>Content, Practice, Assessment, and Educator Support</w:t>
      </w:r>
    </w:p>
    <w:p w14:paraId="19D59664" w14:textId="6906CC98" w:rsidR="00FA1876" w:rsidRPr="00FA1876" w:rsidRDefault="00FA1876" w:rsidP="00837046">
      <w:pPr>
        <w:spacing w:line="480" w:lineRule="auto"/>
        <w:rPr>
          <w:rFonts w:eastAsiaTheme="majorEastAsia"/>
        </w:rPr>
      </w:pPr>
      <w:r w:rsidRPr="00FA1876">
        <w:rPr>
          <w:rFonts w:eastAsiaTheme="majorEastAsia"/>
        </w:rPr>
        <w:t>Within this progression, explanatory content supplies the concepts needed to interpret the interface. Activities require students to operationalize those concepts by constructing populations, predicting results, checking denominators, and reproducing cross-tabulation cells through filters. Checkpoints test the reasoning attached to an operation: what one row means, which population a statistic describes, why mean and median differ, or what a conditioned disparity can support.</w:t>
      </w:r>
    </w:p>
    <w:p w14:paraId="757F28A8" w14:textId="44E3D58F" w:rsidR="00FA1876" w:rsidRPr="00FA1876" w:rsidRDefault="00FA1876" w:rsidP="00837046">
      <w:pPr>
        <w:spacing w:line="480" w:lineRule="auto"/>
        <w:rPr>
          <w:rFonts w:eastAsiaTheme="majorEastAsia"/>
        </w:rPr>
      </w:pPr>
      <w:r w:rsidRPr="00FA1876">
        <w:rPr>
          <w:rFonts w:eastAsiaTheme="majorEastAsia"/>
        </w:rPr>
        <w:t>Assignments extend this work beyond a single interaction. They can ask students to preserve a filter history, compare analytical states, defend a statistical choice, or rewrite an overbroad conclusion. The capstone integrates these tasks into an independent descriptive investigation. Together, these components are intended to move students from guided recognition toward responsible analytical production.</w:t>
      </w:r>
    </w:p>
    <w:p w14:paraId="2A47A9D9" w14:textId="77777777" w:rsidR="00FA1876" w:rsidRPr="00FA1876" w:rsidRDefault="00FA1876" w:rsidP="00837046">
      <w:pPr>
        <w:spacing w:line="480" w:lineRule="auto"/>
        <w:rPr>
          <w:rFonts w:eastAsiaTheme="majorEastAsia"/>
        </w:rPr>
      </w:pPr>
      <w:r w:rsidRPr="00FA1876">
        <w:rPr>
          <w:rFonts w:eastAsiaTheme="majorEastAsia"/>
        </w:rPr>
        <w:lastRenderedPageBreak/>
        <w:t>Educator-facing components support that progression by organizing modules and assignments, recording progress or attempts, and giving educators a basis for reviewing where students encounter difficulty. Their educational purpose is formative rather than evidentiary. A completed checkpoint, a saved attempt, or a recorded progression does not by itself demonstrate conceptual mastery. These records may support feedback and future evaluation, but the project should not treat them as proof of learning gains without a completed and appropriately designed study.</w:t>
      </w:r>
    </w:p>
    <w:p w14:paraId="1A4BA434" w14:textId="77777777" w:rsidR="00FA1876" w:rsidRPr="00FA1876" w:rsidRDefault="00FA1876" w:rsidP="00837046">
      <w:pPr>
        <w:spacing w:line="480" w:lineRule="auto"/>
        <w:rPr>
          <w:rFonts w:eastAsiaTheme="majorEastAsia"/>
        </w:rPr>
      </w:pPr>
    </w:p>
    <w:p w14:paraId="589570D7" w14:textId="7384AFD4" w:rsidR="00FA1876" w:rsidRPr="00FA1876" w:rsidRDefault="00FA1876" w:rsidP="00837046">
      <w:pPr>
        <w:spacing w:line="480" w:lineRule="auto"/>
        <w:rPr>
          <w:rFonts w:eastAsiaTheme="majorEastAsia"/>
        </w:rPr>
      </w:pPr>
      <w:r w:rsidRPr="00FA1876">
        <w:rPr>
          <w:rFonts w:eastAsiaTheme="majorEastAsia"/>
        </w:rPr>
        <w:t>The same distinction separates pedagogically meaningful features from technical ones. Search controls, caches, file formats, and software frameworks help the application function. The pedagogically consequential features are those that expose the active population, preserve analytical history, require attention to N, connect output to legal context, and make bounded interpretation assessable.</w:t>
      </w:r>
    </w:p>
    <w:p w14:paraId="1F87EB25" w14:textId="2CDA764D" w:rsidR="00FA1876" w:rsidRPr="00FA1876" w:rsidRDefault="00FA1876" w:rsidP="00837046">
      <w:pPr>
        <w:pStyle w:val="Heading3"/>
        <w:spacing w:line="480" w:lineRule="auto"/>
      </w:pPr>
      <w:r w:rsidRPr="00FA1876">
        <w:t>The Artifacts as a Joint Response</w:t>
      </w:r>
    </w:p>
    <w:p w14:paraId="1688830B" w14:textId="00BAC724" w:rsidR="00FA1876" w:rsidRPr="00FA1876" w:rsidRDefault="00FA1876" w:rsidP="00837046">
      <w:pPr>
        <w:spacing w:line="480" w:lineRule="auto"/>
        <w:rPr>
          <w:rFonts w:eastAsiaTheme="majorEastAsia"/>
        </w:rPr>
      </w:pPr>
      <w:r w:rsidRPr="00FA1876">
        <w:rPr>
          <w:rFonts w:eastAsiaTheme="majorEastAsia"/>
        </w:rPr>
        <w:t>Chapter 2 identified a gap between statistical competence and responsible interpretation. A student may calculate an accurate mean while misunderstanding what `time` measures, compare unequal groups without examining denominators, or describe a sentencing disparity as discrimination. The project addresses that problem through the interaction of its artifacts.</w:t>
      </w:r>
    </w:p>
    <w:p w14:paraId="4A7940B6" w14:textId="535A3986" w:rsidR="00FA1876" w:rsidRPr="00FA1876" w:rsidRDefault="00FA1876" w:rsidP="00837046">
      <w:pPr>
        <w:spacing w:line="480" w:lineRule="auto"/>
        <w:rPr>
          <w:rFonts w:eastAsiaTheme="majorEastAsia"/>
        </w:rPr>
      </w:pPr>
      <w:r w:rsidRPr="00FA1876">
        <w:rPr>
          <w:rFonts w:eastAsiaTheme="majorEastAsia"/>
        </w:rPr>
        <w:t>The Explorer makes analytical construction visible. The curriculum supplies the administrative, legal, and methodological knowledge needed to interpret what appears. Activities and checkpoints create repeated occasions to practice the distinction between a pattern and its cause. Assignments and capstone work require students to preserve and communicate their method. Educator-facing components provide a structure for guidance and feedback.</w:t>
      </w:r>
    </w:p>
    <w:p w14:paraId="28B45F5C" w14:textId="77777777" w:rsidR="00FA1876" w:rsidRPr="00FA1876" w:rsidRDefault="00FA1876" w:rsidP="00837046">
      <w:pPr>
        <w:spacing w:line="480" w:lineRule="auto"/>
        <w:rPr>
          <w:rFonts w:eastAsiaTheme="majorEastAsia"/>
        </w:rPr>
      </w:pPr>
      <w:r w:rsidRPr="00FA1876">
        <w:rPr>
          <w:rFonts w:eastAsiaTheme="majorEastAsia"/>
        </w:rPr>
        <w:lastRenderedPageBreak/>
        <w:t>No single artifact guarantees the intended result. Their contribution lies instead in alignment. The same questions recur across explanation, interface use, assessment, and independent work: What population is being described? What does one row represent? What has been filtered or combined? What does the variable measure? Is the claim descriptive, or does it attempt to explain a cause? By building those questions into the work of analysis, the Minnesota Sentencing Explorer / Crime[dot]Education treats restraint not as an apology for what the data cannot do, but as a central capability the project is designed to cultivate.</w:t>
      </w:r>
    </w:p>
    <w:p w14:paraId="2ABB0CB6" w14:textId="77777777" w:rsidR="00FA1876" w:rsidRPr="00FA1876" w:rsidRDefault="00FA1876" w:rsidP="00837046">
      <w:pPr>
        <w:spacing w:line="480" w:lineRule="auto"/>
        <w:rPr>
          <w:rFonts w:eastAsiaTheme="majorEastAsia"/>
        </w:rPr>
      </w:pPr>
    </w:p>
    <w:p w14:paraId="053701C4" w14:textId="509FCABF" w:rsidR="00FA1876" w:rsidRPr="00FA1876" w:rsidRDefault="00FA1876" w:rsidP="00837046">
      <w:pPr>
        <w:pStyle w:val="Heading3"/>
        <w:spacing w:line="480" w:lineRule="auto"/>
      </w:pPr>
      <w:r w:rsidRPr="00FA1876">
        <w:t>Provisional References</w:t>
      </w:r>
    </w:p>
    <w:p w14:paraId="1DC89AAA" w14:textId="77777777" w:rsidR="00155266" w:rsidRDefault="00155266" w:rsidP="00837046">
      <w:pPr>
        <w:spacing w:line="480" w:lineRule="auto"/>
        <w:rPr>
          <w:rFonts w:eastAsiaTheme="majorEastAsia"/>
        </w:rPr>
      </w:pPr>
    </w:p>
    <w:p w14:paraId="2A4B7DC4" w14:textId="5AD7A458" w:rsidR="00FA1876" w:rsidRPr="00FA1876" w:rsidRDefault="00FA1876" w:rsidP="00837046">
      <w:pPr>
        <w:spacing w:line="480" w:lineRule="auto"/>
        <w:rPr>
          <w:rFonts w:eastAsiaTheme="majorEastAsia"/>
        </w:rPr>
      </w:pPr>
      <w:r w:rsidRPr="00FA1876">
        <w:rPr>
          <w:rFonts w:eastAsiaTheme="majorEastAsia"/>
        </w:rPr>
        <w:t>Connelly, R., Playford, C. J., Gayle, V., &amp; Dibben, C. (2016). The role of administrative data in the big data revolution in social science research. *Social Science Research, 59*, 1–12. https://doi.org/10.1016/j.ssresearch.2016.04.015</w:t>
      </w:r>
    </w:p>
    <w:p w14:paraId="2D249F92" w14:textId="77777777" w:rsidR="00FA1876" w:rsidRPr="00FA1876" w:rsidRDefault="00FA1876" w:rsidP="00837046">
      <w:pPr>
        <w:spacing w:line="480" w:lineRule="auto"/>
        <w:rPr>
          <w:rFonts w:eastAsiaTheme="majorEastAsia"/>
        </w:rPr>
      </w:pPr>
    </w:p>
    <w:p w14:paraId="710A75EF" w14:textId="77777777" w:rsidR="00FA1876" w:rsidRPr="00FA1876" w:rsidRDefault="00FA1876" w:rsidP="00837046">
      <w:pPr>
        <w:spacing w:line="480" w:lineRule="auto"/>
        <w:rPr>
          <w:rFonts w:eastAsiaTheme="majorEastAsia"/>
        </w:rPr>
      </w:pPr>
      <w:r w:rsidRPr="00FA1876">
        <w:rPr>
          <w:rFonts w:eastAsiaTheme="majorEastAsia"/>
        </w:rPr>
        <w:t>Minnesota Sentencing Explorer. (2026). *Raw sentencing dataset, 2001–2019* [Unpublished data set]. Crime[dot]Education. https://github.com/RobotsLoveWater/Crime_dot_Education/tree/5ead01de2140fe704f801e8cc0339a4268d66946</w:t>
      </w:r>
    </w:p>
    <w:p w14:paraId="395B401F" w14:textId="77777777" w:rsidR="00FA1876" w:rsidRPr="00FA1876" w:rsidRDefault="00FA1876" w:rsidP="00837046">
      <w:pPr>
        <w:spacing w:line="480" w:lineRule="auto"/>
        <w:rPr>
          <w:rFonts w:eastAsiaTheme="majorEastAsia"/>
        </w:rPr>
      </w:pPr>
    </w:p>
    <w:p w14:paraId="7CB7A71F" w14:textId="77777777" w:rsidR="00FA1876" w:rsidRPr="00FA1876" w:rsidRDefault="00FA1876" w:rsidP="00837046">
      <w:pPr>
        <w:spacing w:line="480" w:lineRule="auto"/>
        <w:rPr>
          <w:rFonts w:eastAsiaTheme="majorEastAsia"/>
        </w:rPr>
      </w:pPr>
      <w:r w:rsidRPr="00FA1876">
        <w:rPr>
          <w:rFonts w:eastAsiaTheme="majorEastAsia"/>
        </w:rPr>
        <w:lastRenderedPageBreak/>
        <w:t>Minnesota Sentencing Guidelines Commission. (2018). *Sentencing practices: Annual summary statistics for felony cases sentenced in 2017*. https://mn.gov/msgc-stat/documents/reports/2017/UpdatedMSGC2017AnnualSummaryStatistics.pdf</w:t>
      </w:r>
    </w:p>
    <w:p w14:paraId="2C934381" w14:textId="77777777" w:rsidR="00FA1876" w:rsidRPr="00FA1876" w:rsidRDefault="00FA1876" w:rsidP="00837046">
      <w:pPr>
        <w:spacing w:line="480" w:lineRule="auto"/>
        <w:rPr>
          <w:rFonts w:eastAsiaTheme="majorEastAsia"/>
        </w:rPr>
      </w:pPr>
    </w:p>
    <w:p w14:paraId="28916D6D" w14:textId="77777777" w:rsidR="00FA1876" w:rsidRPr="00FA1876" w:rsidRDefault="00FA1876" w:rsidP="00837046">
      <w:pPr>
        <w:spacing w:line="480" w:lineRule="auto"/>
        <w:rPr>
          <w:rFonts w:eastAsiaTheme="majorEastAsia"/>
        </w:rPr>
      </w:pPr>
      <w:r w:rsidRPr="00FA1876">
        <w:rPr>
          <w:rFonts w:eastAsiaTheme="majorEastAsia"/>
        </w:rPr>
        <w:t>Minnesota Sentencing Guidelines Commission. (2024). *Report to the legislature*. https://www.lrl.mn.gov/docs/2024/mandated/240055.pdf</w:t>
      </w:r>
    </w:p>
    <w:p w14:paraId="6E1FC5F6" w14:textId="77777777" w:rsidR="00FA1876" w:rsidRPr="00FA1876" w:rsidRDefault="00FA1876" w:rsidP="00837046">
      <w:pPr>
        <w:spacing w:line="480" w:lineRule="auto"/>
        <w:rPr>
          <w:rFonts w:eastAsiaTheme="majorEastAsia"/>
        </w:rPr>
      </w:pPr>
    </w:p>
    <w:p w14:paraId="34E51792" w14:textId="41FFFF45" w:rsidR="00155266" w:rsidRDefault="00FA1876" w:rsidP="00837046">
      <w:pPr>
        <w:spacing w:line="480" w:lineRule="auto"/>
        <w:rPr>
          <w:rFonts w:eastAsiaTheme="majorEastAsia"/>
          <w:b/>
          <w:bCs/>
        </w:rPr>
      </w:pPr>
      <w:r w:rsidRPr="00FA1876">
        <w:rPr>
          <w:rFonts w:eastAsiaTheme="majorEastAsia"/>
        </w:rPr>
        <w:t>Minnesota Sentencing Guidelines Commission. (2024). *Minnesota sentencing guidelines and commentary: Effective August 1, 2024*. https://mn.gov/sentencing-guidelines/assets/2024_Minn_Sentencing_Guidelines_Commentary_tcm30-639154.pdf</w:t>
      </w:r>
      <w:r w:rsidRPr="00FA1876">
        <w:rPr>
          <w:rFonts w:eastAsiaTheme="majorEastAsia"/>
          <w:b/>
          <w:bCs/>
        </w:rPr>
        <w:t xml:space="preserve"> </w:t>
      </w:r>
      <w:r w:rsidR="00B67E15" w:rsidRPr="00B67E15">
        <w:rPr>
          <w:rFonts w:eastAsiaTheme="majorEastAsia"/>
          <w:b/>
          <w:bCs/>
        </w:rPr>
        <w:t xml:space="preserve">Chapter </w:t>
      </w:r>
    </w:p>
    <w:p w14:paraId="756BA38C" w14:textId="77777777" w:rsidR="00EA4721" w:rsidRDefault="00EA4721" w:rsidP="00837046">
      <w:pPr>
        <w:spacing w:line="480" w:lineRule="auto"/>
        <w:rPr>
          <w:rFonts w:eastAsiaTheme="majorEastAsia"/>
          <w:b/>
          <w:bCs/>
        </w:rPr>
      </w:pPr>
    </w:p>
    <w:p w14:paraId="5B2D1E38" w14:textId="009CCCED" w:rsidR="00155266" w:rsidRPr="00155266" w:rsidRDefault="00155266" w:rsidP="00837046">
      <w:pPr>
        <w:pStyle w:val="Heading2"/>
        <w:spacing w:line="480" w:lineRule="auto"/>
      </w:pPr>
      <w:r w:rsidRPr="00155266">
        <w:t>Chapter 4: Design Method and Pedagogical Framework</w:t>
      </w:r>
    </w:p>
    <w:p w14:paraId="6166A72D" w14:textId="1C35CA76" w:rsidR="00155266" w:rsidRPr="00155266" w:rsidRDefault="00155266" w:rsidP="00837046">
      <w:pPr>
        <w:pStyle w:val="Heading3"/>
        <w:spacing w:line="480" w:lineRule="auto"/>
      </w:pPr>
      <w:r w:rsidRPr="00155266">
        <w:t>From Interpretive Problems to Measurable Capabilities</w:t>
      </w:r>
    </w:p>
    <w:p w14:paraId="35DFD786" w14:textId="0010BB65" w:rsidR="00155266" w:rsidRPr="00155266" w:rsidRDefault="00155266" w:rsidP="00837046">
      <w:pPr>
        <w:spacing w:line="480" w:lineRule="auto"/>
        <w:rPr>
          <w:rFonts w:eastAsiaTheme="majorEastAsia"/>
        </w:rPr>
      </w:pPr>
      <w:r w:rsidRPr="00155266">
        <w:rPr>
          <w:rFonts w:eastAsiaTheme="majorEastAsia"/>
        </w:rPr>
        <w:t>The curriculum was designed around a practical problem: students can learn to operate a data interface before they learn to recognize the limits of the resulting numbers. A technically correct calculation may still describe the wrong population, confuse sentencing records with people or crimes, conceal a small denominator, or imply a cause that the data cannot establish. The design task was therefore not simply to teach statistical operations. It was to make responsible interpretation part of performing those operations.</w:t>
      </w:r>
    </w:p>
    <w:p w14:paraId="4FFA4F98" w14:textId="1CF1BC41" w:rsidR="00155266" w:rsidRPr="00155266" w:rsidRDefault="00155266" w:rsidP="00837046">
      <w:pPr>
        <w:spacing w:line="480" w:lineRule="auto"/>
        <w:rPr>
          <w:rFonts w:eastAsiaTheme="majorEastAsia"/>
        </w:rPr>
      </w:pPr>
      <w:r w:rsidRPr="00155266">
        <w:rPr>
          <w:rFonts w:eastAsiaTheme="majorEastAsia"/>
        </w:rPr>
        <w:lastRenderedPageBreak/>
        <w:t>This approach reflects the administrative origin of the data. Administrative records are created to operate and monitor institutions, not to answer questions formulated by researchers (Connelly et al., 2016). Their categories and omissions follow institutional purposes. Accordingly, the curriculum treats provenance, classification, and selection as components of data literacy rather than as preliminary disclaimers. Students are asked to understand how a number was produced before deciding what it means.</w:t>
      </w:r>
    </w:p>
    <w:p w14:paraId="4896A292" w14:textId="1AB72B9C" w:rsidR="00155266" w:rsidRPr="00155266" w:rsidRDefault="00155266" w:rsidP="00837046">
      <w:pPr>
        <w:spacing w:line="480" w:lineRule="auto"/>
        <w:rPr>
          <w:rFonts w:eastAsiaTheme="majorEastAsia"/>
        </w:rPr>
      </w:pPr>
      <w:r w:rsidRPr="00155266">
        <w:rPr>
          <w:rFonts w:eastAsiaTheme="majorEastAsia"/>
        </w:rPr>
        <w:t>The intended learning outcomes are stated as observable capabilities. By the end of the curriculum, a student should be able to:</w:t>
      </w:r>
    </w:p>
    <w:p w14:paraId="55E79B05" w14:textId="77777777" w:rsidR="00155266" w:rsidRPr="00155266" w:rsidRDefault="00155266" w:rsidP="00837046">
      <w:pPr>
        <w:spacing w:line="480" w:lineRule="auto"/>
        <w:rPr>
          <w:rFonts w:eastAsiaTheme="majorEastAsia"/>
        </w:rPr>
      </w:pPr>
      <w:r w:rsidRPr="00155266">
        <w:rPr>
          <w:rFonts w:eastAsiaTheme="majorEastAsia"/>
        </w:rPr>
        <w:t>1. define the population represented by a statistic;</w:t>
      </w:r>
    </w:p>
    <w:p w14:paraId="313302CE" w14:textId="77777777" w:rsidR="00155266" w:rsidRPr="00155266" w:rsidRDefault="00155266" w:rsidP="00837046">
      <w:pPr>
        <w:spacing w:line="480" w:lineRule="auto"/>
        <w:rPr>
          <w:rFonts w:eastAsiaTheme="majorEastAsia"/>
        </w:rPr>
      </w:pPr>
      <w:r w:rsidRPr="00155266">
        <w:rPr>
          <w:rFonts w:eastAsiaTheme="majorEastAsia"/>
        </w:rPr>
        <w:t>2. identify the unit of analysis as a sentencing record;</w:t>
      </w:r>
    </w:p>
    <w:p w14:paraId="0CFF7992" w14:textId="77777777" w:rsidR="00155266" w:rsidRPr="00155266" w:rsidRDefault="00155266" w:rsidP="00837046">
      <w:pPr>
        <w:spacing w:line="480" w:lineRule="auto"/>
        <w:rPr>
          <w:rFonts w:eastAsiaTheme="majorEastAsia"/>
        </w:rPr>
      </w:pPr>
      <w:r w:rsidRPr="00155266">
        <w:rPr>
          <w:rFonts w:eastAsiaTheme="majorEastAsia"/>
        </w:rPr>
        <w:t>3. reconstruct an analysis from its ordered filter history;</w:t>
      </w:r>
    </w:p>
    <w:p w14:paraId="3FE79C9F" w14:textId="77777777" w:rsidR="00155266" w:rsidRPr="00155266" w:rsidRDefault="00155266" w:rsidP="00837046">
      <w:pPr>
        <w:spacing w:line="480" w:lineRule="auto"/>
        <w:rPr>
          <w:rFonts w:eastAsiaTheme="majorEastAsia"/>
        </w:rPr>
      </w:pPr>
      <w:r w:rsidRPr="00155266">
        <w:rPr>
          <w:rFonts w:eastAsiaTheme="majorEastAsia"/>
        </w:rPr>
        <w:t>4. select and justify an appropriate descriptive summary;</w:t>
      </w:r>
    </w:p>
    <w:p w14:paraId="33705DA6" w14:textId="77777777" w:rsidR="00155266" w:rsidRPr="00155266" w:rsidRDefault="00155266" w:rsidP="00837046">
      <w:pPr>
        <w:spacing w:line="480" w:lineRule="auto"/>
        <w:rPr>
          <w:rFonts w:eastAsiaTheme="majorEastAsia"/>
        </w:rPr>
      </w:pPr>
      <w:r w:rsidRPr="00155266">
        <w:rPr>
          <w:rFonts w:eastAsiaTheme="majorEastAsia"/>
        </w:rPr>
        <w:t>5. inspect denominators, missing values, and sample size before interpreting a result;</w:t>
      </w:r>
    </w:p>
    <w:p w14:paraId="78C573A1" w14:textId="77777777" w:rsidR="00155266" w:rsidRPr="00155266" w:rsidRDefault="00155266" w:rsidP="00837046">
      <w:pPr>
        <w:spacing w:line="480" w:lineRule="auto"/>
        <w:rPr>
          <w:rFonts w:eastAsiaTheme="majorEastAsia"/>
        </w:rPr>
      </w:pPr>
      <w:r w:rsidRPr="00155266">
        <w:rPr>
          <w:rFonts w:eastAsiaTheme="majorEastAsia"/>
        </w:rPr>
        <w:t>6. distinguish a raw comparison from a comparison conditioned on observed characteristics;</w:t>
      </w:r>
    </w:p>
    <w:p w14:paraId="49F1EEE2" w14:textId="77777777" w:rsidR="00155266" w:rsidRPr="00155266" w:rsidRDefault="00155266" w:rsidP="00837046">
      <w:pPr>
        <w:spacing w:line="480" w:lineRule="auto"/>
        <w:rPr>
          <w:rFonts w:eastAsiaTheme="majorEastAsia"/>
        </w:rPr>
      </w:pPr>
      <w:r w:rsidRPr="00155266">
        <w:rPr>
          <w:rFonts w:eastAsiaTheme="majorEastAsia"/>
        </w:rPr>
        <w:t>7. identify important information that is missing, recorded downstream, or outside the dataset; and</w:t>
      </w:r>
    </w:p>
    <w:p w14:paraId="294AB939" w14:textId="4140577B" w:rsidR="00155266" w:rsidRPr="00155266" w:rsidRDefault="00155266" w:rsidP="00837046">
      <w:pPr>
        <w:spacing w:line="480" w:lineRule="auto"/>
        <w:rPr>
          <w:rFonts w:eastAsiaTheme="majorEastAsia"/>
        </w:rPr>
      </w:pPr>
      <w:r w:rsidRPr="00155266">
        <w:rPr>
          <w:rFonts w:eastAsiaTheme="majorEastAsia"/>
        </w:rPr>
        <w:t>8. communicate a bounded, noncausal conclusion while maintaining the distinction between disparity and discrimination.</w:t>
      </w:r>
    </w:p>
    <w:p w14:paraId="3947C0D4" w14:textId="13911E33" w:rsidR="00155266" w:rsidRPr="00155266" w:rsidRDefault="00155266" w:rsidP="00837046">
      <w:pPr>
        <w:spacing w:line="480" w:lineRule="auto"/>
        <w:rPr>
          <w:rFonts w:eastAsiaTheme="majorEastAsia"/>
        </w:rPr>
      </w:pPr>
      <w:r w:rsidRPr="00155266">
        <w:rPr>
          <w:rFonts w:eastAsiaTheme="majorEastAsia"/>
        </w:rPr>
        <w:t>Each capability can be demonstrated in student work. A learner can name the rows included in a view, replay another analyst’s filter sequence, explain why a median is preferable to a mean for a particular distribution, or revise a causal headline into a descriptive claim. These performances are more informative than whether the learner can recall terminology in isolation.</w:t>
      </w:r>
    </w:p>
    <w:p w14:paraId="4BD5CA44" w14:textId="025CA172" w:rsidR="00155266" w:rsidRPr="00155266" w:rsidRDefault="00155266" w:rsidP="00837046">
      <w:pPr>
        <w:pStyle w:val="Heading3"/>
        <w:spacing w:line="480" w:lineRule="auto"/>
      </w:pPr>
      <w:r w:rsidRPr="00155266">
        <w:lastRenderedPageBreak/>
        <w:t>The Four-Question Framework</w:t>
      </w:r>
    </w:p>
    <w:p w14:paraId="7419AC41" w14:textId="7C11C724" w:rsidR="00155266" w:rsidRPr="00155266" w:rsidRDefault="00155266" w:rsidP="00837046">
      <w:pPr>
        <w:spacing w:line="480" w:lineRule="auto"/>
        <w:rPr>
          <w:rFonts w:eastAsiaTheme="majorEastAsia"/>
        </w:rPr>
      </w:pPr>
      <w:r w:rsidRPr="00155266">
        <w:rPr>
          <w:rFonts w:eastAsiaTheme="majorEastAsia"/>
        </w:rPr>
        <w:t>Four questions organize the curriculum. They recur because each guards against a different class of error.</w:t>
      </w:r>
    </w:p>
    <w:p w14:paraId="17F2218B" w14:textId="56F9DA8A" w:rsidR="00155266" w:rsidRPr="00155266" w:rsidRDefault="00155266" w:rsidP="00837046">
      <w:pPr>
        <w:pStyle w:val="Heading4"/>
        <w:spacing w:line="480" w:lineRule="auto"/>
      </w:pPr>
      <w:r w:rsidRPr="00155266">
        <w:t>1. Where in the criminal-justice funnel does this number sit?</w:t>
      </w:r>
    </w:p>
    <w:p w14:paraId="1E871A45" w14:textId="74040BD8" w:rsidR="00155266" w:rsidRPr="00155266" w:rsidRDefault="00155266" w:rsidP="00837046">
      <w:pPr>
        <w:spacing w:line="480" w:lineRule="auto"/>
        <w:rPr>
          <w:rFonts w:eastAsiaTheme="majorEastAsia"/>
        </w:rPr>
      </w:pPr>
      <w:r w:rsidRPr="00155266">
        <w:rPr>
          <w:rFonts w:eastAsiaTheme="majorEastAsia"/>
        </w:rPr>
        <w:t>This question locates the evidence institutionally. The Explorer contains records produced at felony sentencing, after reporting, investigation, arrest, charging, bargaining, and conviction have already shaped the observed population. It therefore describes a downstream group selected through earlier decisions. Asking where a number sits in the funnel prevents sentencing records from being treated as a measure of all crime or all people who offended.</w:t>
      </w:r>
    </w:p>
    <w:p w14:paraId="40078CE0" w14:textId="3EEEED14" w:rsidR="00155266" w:rsidRPr="00155266" w:rsidRDefault="00155266" w:rsidP="00837046">
      <w:pPr>
        <w:pStyle w:val="Heading4"/>
        <w:spacing w:line="480" w:lineRule="auto"/>
      </w:pPr>
      <w:r w:rsidRPr="00155266">
        <w:t>2. What is the unit of analysis?</w:t>
      </w:r>
    </w:p>
    <w:p w14:paraId="7CB455F9" w14:textId="77777777" w:rsidR="00155266" w:rsidRPr="00155266" w:rsidRDefault="00155266" w:rsidP="00837046">
      <w:pPr>
        <w:spacing w:line="480" w:lineRule="auto"/>
        <w:rPr>
          <w:rFonts w:eastAsiaTheme="majorEastAsia"/>
        </w:rPr>
      </w:pPr>
      <w:r w:rsidRPr="00155266">
        <w:rPr>
          <w:rFonts w:eastAsiaTheme="majorEastAsia"/>
        </w:rPr>
        <w:t>One row is one sentencing record, not automatically one crime or one unique person. Under the documented Commission rule, multiple offenses sentenced for the same person in the same county within a 30-day period are combined and represented by the most serious offense (Minnesota Sentencing Guidelines Commission, 2018). A count of rows consequently has a narrower meaning than a count of persons, offenses, or criminal events. Students must state that meaning before using a total or percentage.</w:t>
      </w:r>
    </w:p>
    <w:p w14:paraId="2D53212D" w14:textId="77777777" w:rsidR="00155266" w:rsidRPr="00155266" w:rsidRDefault="00155266" w:rsidP="00837046">
      <w:pPr>
        <w:spacing w:line="480" w:lineRule="auto"/>
        <w:rPr>
          <w:rFonts w:eastAsiaTheme="majorEastAsia"/>
        </w:rPr>
      </w:pPr>
    </w:p>
    <w:p w14:paraId="692C8E97" w14:textId="7B0293E3" w:rsidR="00155266" w:rsidRPr="00155266" w:rsidRDefault="00155266" w:rsidP="00837046">
      <w:pPr>
        <w:pStyle w:val="Heading4"/>
        <w:spacing w:line="480" w:lineRule="auto"/>
      </w:pPr>
      <w:r w:rsidRPr="00155266">
        <w:t>3. What has been selected, filtered, excluded, or combined?</w:t>
      </w:r>
    </w:p>
    <w:p w14:paraId="2A95B92F" w14:textId="1A2BA457" w:rsidR="00155266" w:rsidRPr="00155266" w:rsidRDefault="00155266" w:rsidP="00837046">
      <w:pPr>
        <w:spacing w:line="480" w:lineRule="auto"/>
        <w:rPr>
          <w:rFonts w:eastAsiaTheme="majorEastAsia"/>
        </w:rPr>
      </w:pPr>
      <w:r w:rsidRPr="00155266">
        <w:rPr>
          <w:rFonts w:eastAsiaTheme="majorEastAsia"/>
        </w:rPr>
        <w:t xml:space="preserve">This question makes the construction of the current population explicit. It covers filters chosen by the student, missing values excluded from a calculation, offense categories combined in a summary, and institutional selection that occurred before the dataset was created. It also directs </w:t>
      </w:r>
      <w:r w:rsidRPr="00155266">
        <w:rPr>
          <w:rFonts w:eastAsiaTheme="majorEastAsia"/>
        </w:rPr>
        <w:lastRenderedPageBreak/>
        <w:t>attention to the denominator: a percentage is interpretable only when the reader knows what population constitutes 100 percent.</w:t>
      </w:r>
    </w:p>
    <w:p w14:paraId="4CEE13C5" w14:textId="13896D1D" w:rsidR="00155266" w:rsidRPr="00BB6BAA" w:rsidRDefault="00155266" w:rsidP="00837046">
      <w:pPr>
        <w:pStyle w:val="Heading4"/>
        <w:spacing w:line="480" w:lineRule="auto"/>
      </w:pPr>
      <w:r w:rsidRPr="00BB6BAA">
        <w:t>4. Is the claim descriptive, or is it attempting to explain a cause?</w:t>
      </w:r>
    </w:p>
    <w:p w14:paraId="1AF0BC92" w14:textId="6FCF9997" w:rsidR="00155266" w:rsidRPr="00155266" w:rsidRDefault="00155266" w:rsidP="00837046">
      <w:pPr>
        <w:spacing w:line="480" w:lineRule="auto"/>
        <w:rPr>
          <w:rFonts w:eastAsiaTheme="majorEastAsia"/>
        </w:rPr>
      </w:pPr>
      <w:r w:rsidRPr="00155266">
        <w:rPr>
          <w:rFonts w:eastAsiaTheme="majorEastAsia"/>
        </w:rPr>
        <w:t>A table can establish that two groups differ within the observed sentencing records. It does not by itself establish why they differ. In particular, a racial disparity is a measured group difference, whereas discrimination is a causal claim about unequal treatment (National Research Council, 2004). Requiring students to identify the kind of claim they are making discourages causal language from entering unnoticed through verbs such as *caused*, *led to*, or *resulted from*.</w:t>
      </w:r>
    </w:p>
    <w:p w14:paraId="3DDFA07B" w14:textId="0628D217" w:rsidR="00155266" w:rsidRPr="00155266" w:rsidRDefault="00155266" w:rsidP="00837046">
      <w:pPr>
        <w:spacing w:line="480" w:lineRule="auto"/>
        <w:rPr>
          <w:rFonts w:eastAsiaTheme="majorEastAsia"/>
        </w:rPr>
      </w:pPr>
      <w:r w:rsidRPr="00155266">
        <w:rPr>
          <w:rFonts w:eastAsiaTheme="majorEastAsia"/>
        </w:rPr>
        <w:t>The questions work together. Funnel position locates the evidence; the unit identifies what is counted; the selection question defines the analytical population; and the claim question limits the conclusion. No one question substitutes for the others. A student might identify the unit correctly while overlooking that a comparison excludes missing values, or define a filtered population precisely while still making an unsupported causal claim. Repetition across different activities is therefore a deliberate part of the design.</w:t>
      </w:r>
    </w:p>
    <w:p w14:paraId="471C5C4F" w14:textId="3ABA9D56" w:rsidR="00155266" w:rsidRPr="00155266" w:rsidRDefault="00155266" w:rsidP="00837046">
      <w:pPr>
        <w:pStyle w:val="Heading3"/>
        <w:spacing w:line="480" w:lineRule="auto"/>
      </w:pPr>
      <w:r w:rsidRPr="00155266">
        <w:t>Sequencing and Scaffolding</w:t>
      </w:r>
    </w:p>
    <w:p w14:paraId="260E236F" w14:textId="77777777" w:rsidR="00155266" w:rsidRPr="00155266" w:rsidRDefault="00155266" w:rsidP="00837046">
      <w:pPr>
        <w:spacing w:line="480" w:lineRule="auto"/>
        <w:rPr>
          <w:rFonts w:eastAsiaTheme="majorEastAsia"/>
        </w:rPr>
      </w:pPr>
    </w:p>
    <w:p w14:paraId="403EE52B" w14:textId="0882349B" w:rsidR="00155266" w:rsidRPr="00155266" w:rsidRDefault="00155266" w:rsidP="00837046">
      <w:pPr>
        <w:spacing w:line="480" w:lineRule="auto"/>
        <w:rPr>
          <w:rFonts w:eastAsiaTheme="majorEastAsia"/>
        </w:rPr>
      </w:pPr>
      <w:r w:rsidRPr="00155266">
        <w:rPr>
          <w:rFonts w:eastAsiaTheme="majorEastAsia"/>
        </w:rPr>
        <w:t>The five-unit sequence moves from the conditions of interpretation to increasingly consequential applications. Unit I begins with provenance, the criminal-justice funnel, and the unit of analysis. Students then learn the Explorer’s operations and practice reading descriptive statistics. This order establishes that software output always belongs to a particular population.</w:t>
      </w:r>
    </w:p>
    <w:p w14:paraId="07628750" w14:textId="71669C2C" w:rsidR="00155266" w:rsidRPr="00155266" w:rsidRDefault="00155266" w:rsidP="00837046">
      <w:pPr>
        <w:spacing w:line="480" w:lineRule="auto"/>
        <w:rPr>
          <w:rFonts w:eastAsiaTheme="majorEastAsia"/>
        </w:rPr>
      </w:pPr>
      <w:r w:rsidRPr="00155266">
        <w:rPr>
          <w:rFonts w:eastAsiaTheme="majorEastAsia"/>
        </w:rPr>
        <w:t xml:space="preserve">Unit II introduces sentencing mechanics and administrative classification. Offense codes, severity, criminal history, and presumptive sentence duration are not presented as self-explanatory fields. </w:t>
      </w:r>
      <w:r w:rsidRPr="00155266">
        <w:rPr>
          <w:rFonts w:eastAsiaTheme="majorEastAsia"/>
        </w:rPr>
        <w:lastRenderedPageBreak/>
        <w:t>Students encounter them as products of legal and administrative systems. The severity field, for example, contains codes from different grids and historical periods; interpreting it requires attention to the coding regime rather than treating every value as a point on one continuous scale (Rothbard, 2013). Likewise, *time* is taught as presumptive sentence duration, not automatically as pronounced duration or time served.</w:t>
      </w:r>
    </w:p>
    <w:p w14:paraId="618AFFEE" w14:textId="70B52C04" w:rsidR="00155266" w:rsidRPr="00155266" w:rsidRDefault="00155266" w:rsidP="00837046">
      <w:pPr>
        <w:spacing w:line="480" w:lineRule="auto"/>
        <w:rPr>
          <w:rFonts w:eastAsiaTheme="majorEastAsia"/>
        </w:rPr>
      </w:pPr>
      <w:r w:rsidRPr="00155266">
        <w:rPr>
          <w:rFonts w:eastAsiaTheme="majorEastAsia"/>
        </w:rPr>
        <w:t>Unit III turns from individual summaries to patterns across years and groups. It introduces conditioning as a method for examining composition, followed by small-number problems and sex comparisons. Sex serves as a rehearsal for applying the full method: begin with a raw difference, examine group composition, narrow the population on observed characteristics, and describe what remains without assigning a cause.</w:t>
      </w:r>
    </w:p>
    <w:p w14:paraId="285BBC9E" w14:textId="5992D2FD" w:rsidR="00155266" w:rsidRPr="00155266" w:rsidRDefault="00155266" w:rsidP="00837046">
      <w:pPr>
        <w:spacing w:line="480" w:lineRule="auto"/>
        <w:rPr>
          <w:rFonts w:eastAsiaTheme="majorEastAsia"/>
        </w:rPr>
      </w:pPr>
      <w:r w:rsidRPr="00155266">
        <w:rPr>
          <w:rFonts w:eastAsiaTheme="majorEastAsia"/>
        </w:rPr>
        <w:t>Unit IV applies the same sequence to race and sentencing disparity, where the ethical and interpretive stakes are greater. Placing this analysis later is intentional. Students first practice denominator checks, conditional comparisons, and noncausal writing in less charged settings. The race module does not introduce a more permissive standard of evidence; it requires the same standard more visibly.</w:t>
      </w:r>
    </w:p>
    <w:p w14:paraId="0BE7FA02" w14:textId="7B6B2C63" w:rsidR="00155266" w:rsidRPr="00155266" w:rsidRDefault="00155266" w:rsidP="00837046">
      <w:pPr>
        <w:spacing w:line="480" w:lineRule="auto"/>
        <w:rPr>
          <w:rFonts w:eastAsiaTheme="majorEastAsia"/>
        </w:rPr>
      </w:pPr>
      <w:r w:rsidRPr="00155266">
        <w:rPr>
          <w:rFonts w:eastAsiaTheme="majorEastAsia"/>
        </w:rPr>
        <w:t>Unit V asks students to design and communicate an independent descriptive investigation. The capstone requires an answerable question, a prespecified filter plan, sample-size checks at each stage, a justified choice of summary, a reproducible history, and a conclusion bounded by the dataset’s limits. This progression is a design specification. It should not be read as evidence that the sequence has already produced the intended learning outcomes.</w:t>
      </w:r>
    </w:p>
    <w:p w14:paraId="7E5AD3E1" w14:textId="76719F72" w:rsidR="00155266" w:rsidRPr="00155266" w:rsidRDefault="00155266" w:rsidP="00837046">
      <w:pPr>
        <w:pStyle w:val="Heading3"/>
        <w:spacing w:line="480" w:lineRule="auto"/>
      </w:pPr>
      <w:r w:rsidRPr="00155266">
        <w:lastRenderedPageBreak/>
        <w:t>Operations as Methodological Representations</w:t>
      </w:r>
    </w:p>
    <w:p w14:paraId="1AB7B1E2" w14:textId="4C81845C" w:rsidR="00155266" w:rsidRPr="00155266" w:rsidRDefault="00155266" w:rsidP="00837046">
      <w:pPr>
        <w:spacing w:line="480" w:lineRule="auto"/>
        <w:rPr>
          <w:rFonts w:eastAsiaTheme="majorEastAsia"/>
        </w:rPr>
      </w:pPr>
      <w:r w:rsidRPr="00155266">
        <w:rPr>
          <w:rFonts w:eastAsiaTheme="majorEastAsia"/>
        </w:rPr>
        <w:t>The interface’s basic operations were selected because they can represent methodological ideas directly.</w:t>
      </w:r>
    </w:p>
    <w:p w14:paraId="0E158770" w14:textId="4B8F1E12" w:rsidR="00155266" w:rsidRPr="00155266" w:rsidRDefault="00155266" w:rsidP="00837046">
      <w:pPr>
        <w:spacing w:line="480" w:lineRule="auto"/>
        <w:rPr>
          <w:rFonts w:eastAsiaTheme="majorEastAsia"/>
        </w:rPr>
      </w:pPr>
      <w:r w:rsidRPr="00155266">
        <w:rPr>
          <w:rFonts w:eastAsiaTheme="majorEastAsia"/>
        </w:rPr>
        <w:t>A filter is taught as a definition of population. Applying `sentyear == 2018`, for example, does more than change the screen. It changes the population to which every subsequent count, median, percentage, and comparison applies. Adding another filter creates an intersection: the rows must satisfy both conditions. Reverting a filter permits students to observe how a conclusion changes when one boundary of the population is removed. Clearing the history restores the full dataset and makes the contrast between a selected population and its source population visible.</w:t>
      </w:r>
    </w:p>
    <w:p w14:paraId="0224E389" w14:textId="1E92C454" w:rsidR="00155266" w:rsidRPr="00155266" w:rsidRDefault="00155266" w:rsidP="00837046">
      <w:pPr>
        <w:spacing w:line="480" w:lineRule="auto"/>
        <w:rPr>
          <w:rFonts w:eastAsiaTheme="majorEastAsia"/>
        </w:rPr>
      </w:pPr>
      <w:r w:rsidRPr="00155266">
        <w:rPr>
          <w:rFonts w:eastAsiaTheme="majorEastAsia"/>
        </w:rPr>
        <w:t>The ordered history provides a reproducibility mechanism. Another reader can reconstruct the analysis by applying the same filters in the same order. The history therefore performs part of the work of a methods section: it records how the current population was assembled. Reproducibility here does not guarantee that an interpretation is correct, but it makes the analytical choices inspectable.</w:t>
      </w:r>
    </w:p>
    <w:p w14:paraId="2E665651" w14:textId="6E28640A" w:rsidR="00155266" w:rsidRPr="00155266" w:rsidRDefault="00155266" w:rsidP="00837046">
      <w:pPr>
        <w:spacing w:line="480" w:lineRule="auto"/>
        <w:rPr>
          <w:rFonts w:eastAsiaTheme="majorEastAsia"/>
        </w:rPr>
      </w:pPr>
      <w:r w:rsidRPr="00155266">
        <w:rPr>
          <w:rFonts w:eastAsiaTheme="majorEastAsia"/>
        </w:rPr>
        <w:t>A cross-tabulation is presented as a compact array of filtered populations. Each cell corresponds to a population that could be produced manually by applying the row and column conditions together. This interpretation prevents a cell from appearing as an isolated fact. Each cell retains a denominator, an N, a missing-data pattern, and the limits of the underlying dataset. Students practice rebuilding a selected cell with filters and checking that the resulting statistic agrees.</w:t>
      </w:r>
    </w:p>
    <w:p w14:paraId="4F344A01" w14:textId="7F82852E" w:rsidR="00155266" w:rsidRPr="00155266" w:rsidRDefault="00155266" w:rsidP="00837046">
      <w:pPr>
        <w:spacing w:line="480" w:lineRule="auto"/>
        <w:rPr>
          <w:rFonts w:eastAsiaTheme="majorEastAsia"/>
        </w:rPr>
      </w:pPr>
      <w:r w:rsidRPr="00155266">
        <w:rPr>
          <w:rFonts w:eastAsiaTheme="majorEastAsia"/>
        </w:rPr>
        <w:t xml:space="preserve">Conditioning extends the same logic. It asks: **what remains of the descriptive pattern in a population made more comparable on an observed characteristic?** The wording is intentionally narrower than “holding everything else equal.” Filtering to the same offense family, severity level, </w:t>
      </w:r>
      <w:r w:rsidRPr="00155266">
        <w:rPr>
          <w:rFonts w:eastAsiaTheme="majorEastAsia"/>
        </w:rPr>
        <w:lastRenderedPageBreak/>
        <w:t>or criminal-history score does not create identical cases. It creates records that are alike on the selected fields and may remain different in unobserved ways.</w:t>
      </w:r>
    </w:p>
    <w:p w14:paraId="5CB75F7C" w14:textId="2D4FEC48" w:rsidR="00155266" w:rsidRPr="00155266" w:rsidRDefault="00155266" w:rsidP="00837046">
      <w:pPr>
        <w:spacing w:line="480" w:lineRule="auto"/>
        <w:rPr>
          <w:rFonts w:eastAsiaTheme="majorEastAsia"/>
        </w:rPr>
      </w:pPr>
      <w:r w:rsidRPr="00155266">
        <w:rPr>
          <w:rFonts w:eastAsiaTheme="majorEastAsia"/>
        </w:rPr>
        <w:t>Students add conditions sequentially rather than jumping from a raw comparison to a final adjusted result. This produces an attenuation history showing when a gap narrows, persists, disappears, or reverses. Aggregate and conditional findings can both be correct because they describe different populations, as the literature on Simpson’s paradox demonstrates (Bickel et al., 1975). At the same time, conditioning is not automatically corrective. A variable may itself be affected by earlier institutional decisions, and conditioning on such a variable can remove or distort part of the process under examination (Rosenbaum, 1984; Elwert &amp; Winship, 2014). The curriculum therefore teaches conditioning as a descriptive comparison strategy, not as a substitute for causal identification.</w:t>
      </w:r>
    </w:p>
    <w:p w14:paraId="3057A8A0" w14:textId="6D15AF50" w:rsidR="00155266" w:rsidRPr="00155266" w:rsidRDefault="00155266" w:rsidP="00837046">
      <w:pPr>
        <w:pStyle w:val="Heading3"/>
        <w:spacing w:line="480" w:lineRule="auto"/>
      </w:pPr>
      <w:r w:rsidRPr="00155266">
        <w:t>Selection of Teaching Variables</w:t>
      </w:r>
    </w:p>
    <w:p w14:paraId="728E9D9A" w14:textId="735D71FD" w:rsidR="00155266" w:rsidRPr="00155266" w:rsidRDefault="00155266" w:rsidP="00837046">
      <w:pPr>
        <w:spacing w:line="480" w:lineRule="auto"/>
        <w:rPr>
          <w:rFonts w:eastAsiaTheme="majorEastAsia"/>
        </w:rPr>
      </w:pPr>
      <w:r w:rsidRPr="00155266">
        <w:rPr>
          <w:rFonts w:eastAsiaTheme="majorEastAsia"/>
        </w:rPr>
        <w:t>The recurring variables were chosen for the interpretive principles they expose.</w:t>
      </w:r>
    </w:p>
    <w:p w14:paraId="2E9B287D" w14:textId="3481D1E1" w:rsidR="00155266" w:rsidRPr="00155266" w:rsidRDefault="00155266" w:rsidP="00837046">
      <w:pPr>
        <w:spacing w:line="480" w:lineRule="auto"/>
        <w:rPr>
          <w:rFonts w:eastAsiaTheme="majorEastAsia"/>
        </w:rPr>
      </w:pPr>
      <w:r w:rsidRPr="00BB6BAA">
        <w:rPr>
          <w:rFonts w:eastAsiaTheme="majorEastAsia"/>
          <w:b/>
          <w:bCs/>
        </w:rPr>
        <w:t>Presumptive sentence duration</w:t>
      </w:r>
      <w:r w:rsidRPr="00155266">
        <w:rPr>
          <w:rFonts w:eastAsiaTheme="majorEastAsia"/>
        </w:rPr>
        <w:t xml:space="preserve"> (</w:t>
      </w:r>
      <w:r w:rsidR="00BB6BAA" w:rsidRPr="00BB6BAA">
        <w:rPr>
          <w:rFonts w:eastAsiaTheme="majorEastAsia"/>
          <w:i/>
          <w:iCs/>
        </w:rPr>
        <w:t>time</w:t>
      </w:r>
      <w:r w:rsidRPr="00155266">
        <w:rPr>
          <w:rFonts w:eastAsiaTheme="majorEastAsia"/>
        </w:rPr>
        <w:t>) supports instruction in distributions, mean–median differences, and the danger of applying a valid calculation to an inapplicable population. It also forces students to separate a guideline recommendation from pronounced punishment and time served.</w:t>
      </w:r>
    </w:p>
    <w:p w14:paraId="1E6D3B70" w14:textId="0A27E874" w:rsidR="00155266" w:rsidRPr="00155266" w:rsidRDefault="00155266" w:rsidP="00837046">
      <w:pPr>
        <w:spacing w:line="480" w:lineRule="auto"/>
        <w:rPr>
          <w:rFonts w:eastAsiaTheme="majorEastAsia"/>
        </w:rPr>
      </w:pPr>
      <w:r w:rsidRPr="00BB6BAA">
        <w:rPr>
          <w:rFonts w:eastAsiaTheme="majorEastAsia"/>
          <w:b/>
          <w:bCs/>
        </w:rPr>
        <w:t>Offense code</w:t>
      </w:r>
      <w:r w:rsidRPr="00155266">
        <w:rPr>
          <w:rFonts w:eastAsiaTheme="majorEastAsia"/>
        </w:rPr>
        <w:t xml:space="preserve"> shows that an administrative label records a classification decision rather than the underlying conduct in full. It is useful for teaching categorical filtering, hierarchical classification, and the limits of “same offense” comparisons.</w:t>
      </w:r>
    </w:p>
    <w:p w14:paraId="65383CC3" w14:textId="2748EE8A" w:rsidR="00155266" w:rsidRPr="00155266" w:rsidRDefault="00155266" w:rsidP="00837046">
      <w:pPr>
        <w:spacing w:line="480" w:lineRule="auto"/>
        <w:rPr>
          <w:rFonts w:eastAsiaTheme="majorEastAsia"/>
        </w:rPr>
      </w:pPr>
      <w:r w:rsidRPr="00BB6BAA">
        <w:rPr>
          <w:rFonts w:eastAsiaTheme="majorEastAsia"/>
          <w:b/>
          <w:bCs/>
        </w:rPr>
        <w:lastRenderedPageBreak/>
        <w:t>Severity</w:t>
      </w:r>
      <w:r w:rsidRPr="00155266">
        <w:rPr>
          <w:rFonts w:eastAsiaTheme="majorEastAsia"/>
        </w:rPr>
        <w:t xml:space="preserve"> reveals historical change within a single field. Its numeric, lettered, fifty-series, and off-grid values demonstrate why categories must be interpreted within the legal and administrative system that produced them.</w:t>
      </w:r>
    </w:p>
    <w:p w14:paraId="7A212449" w14:textId="5574150F" w:rsidR="00155266" w:rsidRPr="00155266" w:rsidRDefault="00155266" w:rsidP="00837046">
      <w:pPr>
        <w:spacing w:line="480" w:lineRule="auto"/>
        <w:rPr>
          <w:rFonts w:eastAsiaTheme="majorEastAsia"/>
        </w:rPr>
      </w:pPr>
      <w:r w:rsidRPr="00BB6BAA">
        <w:rPr>
          <w:rFonts w:eastAsiaTheme="majorEastAsia"/>
          <w:b/>
          <w:bCs/>
        </w:rPr>
        <w:t>Criminal-history score</w:t>
      </w:r>
      <w:r w:rsidRPr="00155266">
        <w:rPr>
          <w:rFonts w:eastAsiaTheme="majorEastAsia"/>
        </w:rPr>
        <w:t xml:space="preserve"> is both a central sentencing input and a methodological caution. It can account descriptively for part of a group difference, but it is also an accumulated downstream record that may incorporate earlier enforcement and case-processing decisions.</w:t>
      </w:r>
    </w:p>
    <w:p w14:paraId="35427F57" w14:textId="5D60E0A4" w:rsidR="00155266" w:rsidRPr="00155266" w:rsidRDefault="00155266" w:rsidP="00837046">
      <w:pPr>
        <w:spacing w:line="480" w:lineRule="auto"/>
        <w:rPr>
          <w:rFonts w:eastAsiaTheme="majorEastAsia"/>
        </w:rPr>
      </w:pPr>
      <w:r w:rsidRPr="00BB6BAA">
        <w:rPr>
          <w:rFonts w:eastAsiaTheme="majorEastAsia"/>
          <w:b/>
          <w:bCs/>
        </w:rPr>
        <w:t>Sentencing year</w:t>
      </w:r>
      <w:r w:rsidRPr="00155266">
        <w:rPr>
          <w:rFonts w:eastAsiaTheme="majorEastAsia"/>
        </w:rPr>
        <w:t xml:space="preserve"> permits students to examine change over time while separating temporal association from causal attribution. A discontinuity near a policy change may be suggestive, but changing case composition or coding practices may also contribute.</w:t>
      </w:r>
    </w:p>
    <w:p w14:paraId="531C0492" w14:textId="14D19D09" w:rsidR="00155266" w:rsidRPr="00155266" w:rsidRDefault="00155266" w:rsidP="00837046">
      <w:pPr>
        <w:spacing w:line="480" w:lineRule="auto"/>
        <w:rPr>
          <w:rFonts w:eastAsiaTheme="majorEastAsia"/>
        </w:rPr>
      </w:pPr>
      <w:r w:rsidRPr="00BB6BAA">
        <w:rPr>
          <w:rFonts w:eastAsiaTheme="majorEastAsia"/>
          <w:b/>
          <w:bCs/>
        </w:rPr>
        <w:t>Sex</w:t>
      </w:r>
      <w:r w:rsidRPr="00155266">
        <w:rPr>
          <w:rFonts w:eastAsiaTheme="majorEastAsia"/>
        </w:rPr>
        <w:t xml:space="preserve"> provides an intermediate setting for practicing unequal-denominator comparisons and the movement from raw to conditional differences. The field is treated as the administrative category recorded in the data, not as a complete representation of identity.</w:t>
      </w:r>
    </w:p>
    <w:p w14:paraId="74E83851" w14:textId="77777777" w:rsidR="00155266" w:rsidRPr="00155266" w:rsidRDefault="00155266" w:rsidP="00837046">
      <w:pPr>
        <w:spacing w:line="480" w:lineRule="auto"/>
        <w:rPr>
          <w:rFonts w:eastAsiaTheme="majorEastAsia"/>
        </w:rPr>
      </w:pPr>
    </w:p>
    <w:p w14:paraId="304496C2" w14:textId="488215E5" w:rsidR="00155266" w:rsidRPr="00155266" w:rsidRDefault="00155266" w:rsidP="00837046">
      <w:pPr>
        <w:spacing w:line="480" w:lineRule="auto"/>
        <w:rPr>
          <w:rFonts w:eastAsiaTheme="majorEastAsia"/>
        </w:rPr>
      </w:pPr>
      <w:r w:rsidRPr="00BB6BAA">
        <w:rPr>
          <w:rFonts w:eastAsiaTheme="majorEastAsia"/>
          <w:b/>
          <w:bCs/>
        </w:rPr>
        <w:t>Race</w:t>
      </w:r>
      <w:r w:rsidRPr="00155266">
        <w:rPr>
          <w:rFonts w:eastAsiaTheme="majorEastAsia"/>
        </w:rPr>
        <w:t xml:space="preserve"> brings the framework to its most sensitive application. Students must distinguish disparity from discrimination, name the observed controls, identify plausible unmeasured or upstream processes, and resist interpreting either a residual gap or a vanished gap as a verdict.</w:t>
      </w:r>
    </w:p>
    <w:p w14:paraId="24891BE2" w14:textId="4F0C3554" w:rsidR="00155266" w:rsidRPr="00155266" w:rsidRDefault="00155266" w:rsidP="00837046">
      <w:pPr>
        <w:spacing w:line="480" w:lineRule="auto"/>
        <w:rPr>
          <w:rFonts w:eastAsiaTheme="majorEastAsia"/>
        </w:rPr>
      </w:pPr>
      <w:r w:rsidRPr="00155266">
        <w:rPr>
          <w:rFonts w:eastAsiaTheme="majorEastAsia"/>
        </w:rPr>
        <w:t>These examples were not selected because they necessarily yield the most dramatic charts. Each makes a particular interpretive problem observable.</w:t>
      </w:r>
    </w:p>
    <w:p w14:paraId="77B1FFAD" w14:textId="36D97FD5" w:rsidR="00155266" w:rsidRPr="00155266" w:rsidRDefault="00155266" w:rsidP="00837046">
      <w:pPr>
        <w:pStyle w:val="Heading3"/>
        <w:spacing w:line="480" w:lineRule="auto"/>
      </w:pPr>
      <w:r w:rsidRPr="00155266">
        <w:t>Alignment of Objectives, Activities, and Assessment</w:t>
      </w:r>
    </w:p>
    <w:tbl>
      <w:tblPr>
        <w:tblW w:w="0" w:type="dxa"/>
        <w:tblCellMar>
          <w:top w:w="15" w:type="dxa"/>
          <w:left w:w="15" w:type="dxa"/>
          <w:bottom w:w="15" w:type="dxa"/>
          <w:right w:w="15" w:type="dxa"/>
        </w:tblCellMar>
        <w:tblLook w:val="04A0" w:firstRow="1" w:lastRow="0" w:firstColumn="1" w:lastColumn="0" w:noHBand="0" w:noVBand="1"/>
      </w:tblPr>
      <w:tblGrid>
        <w:gridCol w:w="1827"/>
        <w:gridCol w:w="2012"/>
        <w:gridCol w:w="1886"/>
        <w:gridCol w:w="2009"/>
        <w:gridCol w:w="1626"/>
      </w:tblGrid>
      <w:tr w:rsidR="00BB6BAA" w14:paraId="33DB091F" w14:textId="77777777">
        <w:tc>
          <w:tcPr>
            <w:tcW w:w="0" w:type="auto"/>
            <w:tcBorders>
              <w:top w:val="nil"/>
              <w:left w:val="nil"/>
              <w:bottom w:val="single" w:sz="12" w:space="0" w:color="16324F"/>
              <w:right w:val="nil"/>
            </w:tcBorders>
            <w:shd w:val="clear" w:color="000000" w:fill="2D6A6A"/>
            <w:vAlign w:val="center"/>
            <w:hideMark/>
          </w:tcPr>
          <w:p w14:paraId="43B24019" w14:textId="77777777" w:rsidR="00BB6BAA" w:rsidRDefault="00BB6BAA" w:rsidP="00837046">
            <w:pPr>
              <w:spacing w:line="480" w:lineRule="auto"/>
              <w:rPr>
                <w:rFonts w:ascii="Aptos" w:hAnsi="Aptos"/>
                <w:b/>
                <w:bCs/>
                <w:color w:val="FFFFFF"/>
                <w:sz w:val="20"/>
                <w:szCs w:val="20"/>
              </w:rPr>
            </w:pPr>
            <w:r>
              <w:rPr>
                <w:rFonts w:ascii="Aptos" w:hAnsi="Aptos"/>
                <w:b/>
                <w:bCs/>
                <w:color w:val="FFFFFF"/>
                <w:sz w:val="20"/>
                <w:szCs w:val="20"/>
              </w:rPr>
              <w:t>Student capability</w:t>
            </w:r>
          </w:p>
        </w:tc>
        <w:tc>
          <w:tcPr>
            <w:tcW w:w="0" w:type="auto"/>
            <w:tcBorders>
              <w:top w:val="nil"/>
              <w:left w:val="nil"/>
              <w:bottom w:val="single" w:sz="12" w:space="0" w:color="16324F"/>
              <w:right w:val="nil"/>
            </w:tcBorders>
            <w:shd w:val="clear" w:color="000000" w:fill="2D6A6A"/>
            <w:vAlign w:val="center"/>
            <w:hideMark/>
          </w:tcPr>
          <w:p w14:paraId="2851C631" w14:textId="77777777" w:rsidR="00BB6BAA" w:rsidRDefault="00BB6BAA" w:rsidP="00837046">
            <w:pPr>
              <w:spacing w:line="480" w:lineRule="auto"/>
              <w:rPr>
                <w:rFonts w:ascii="Aptos" w:hAnsi="Aptos"/>
                <w:b/>
                <w:bCs/>
                <w:color w:val="FFFFFF"/>
                <w:sz w:val="20"/>
                <w:szCs w:val="20"/>
              </w:rPr>
            </w:pPr>
            <w:r>
              <w:rPr>
                <w:rFonts w:ascii="Aptos" w:hAnsi="Aptos"/>
                <w:b/>
                <w:bCs/>
                <w:color w:val="FFFFFF"/>
                <w:sz w:val="20"/>
                <w:szCs w:val="20"/>
              </w:rPr>
              <w:t>Introduced and reinforced</w:t>
            </w:r>
          </w:p>
        </w:tc>
        <w:tc>
          <w:tcPr>
            <w:tcW w:w="0" w:type="auto"/>
            <w:tcBorders>
              <w:top w:val="nil"/>
              <w:left w:val="nil"/>
              <w:bottom w:val="single" w:sz="12" w:space="0" w:color="16324F"/>
              <w:right w:val="nil"/>
            </w:tcBorders>
            <w:shd w:val="clear" w:color="000000" w:fill="2D6A6A"/>
            <w:vAlign w:val="center"/>
            <w:hideMark/>
          </w:tcPr>
          <w:p w14:paraId="642D07BC" w14:textId="77777777" w:rsidR="00BB6BAA" w:rsidRDefault="00BB6BAA" w:rsidP="00837046">
            <w:pPr>
              <w:spacing w:line="480" w:lineRule="auto"/>
              <w:rPr>
                <w:rFonts w:ascii="Aptos" w:hAnsi="Aptos"/>
                <w:b/>
                <w:bCs/>
                <w:color w:val="FFFFFF"/>
                <w:sz w:val="20"/>
                <w:szCs w:val="20"/>
              </w:rPr>
            </w:pPr>
            <w:r>
              <w:rPr>
                <w:rFonts w:ascii="Aptos" w:hAnsi="Aptos"/>
                <w:b/>
                <w:bCs/>
                <w:color w:val="FFFFFF"/>
                <w:sz w:val="20"/>
                <w:szCs w:val="20"/>
              </w:rPr>
              <w:t>Explorer activity</w:t>
            </w:r>
          </w:p>
        </w:tc>
        <w:tc>
          <w:tcPr>
            <w:tcW w:w="0" w:type="auto"/>
            <w:tcBorders>
              <w:top w:val="nil"/>
              <w:left w:val="nil"/>
              <w:bottom w:val="single" w:sz="12" w:space="0" w:color="16324F"/>
              <w:right w:val="nil"/>
            </w:tcBorders>
            <w:shd w:val="clear" w:color="000000" w:fill="2D6A6A"/>
            <w:vAlign w:val="center"/>
            <w:hideMark/>
          </w:tcPr>
          <w:p w14:paraId="2E8EB182" w14:textId="77777777" w:rsidR="00BB6BAA" w:rsidRDefault="00BB6BAA" w:rsidP="00837046">
            <w:pPr>
              <w:spacing w:line="480" w:lineRule="auto"/>
              <w:rPr>
                <w:rFonts w:ascii="Aptos" w:hAnsi="Aptos"/>
                <w:b/>
                <w:bCs/>
                <w:color w:val="FFFFFF"/>
                <w:sz w:val="20"/>
                <w:szCs w:val="20"/>
              </w:rPr>
            </w:pPr>
            <w:r>
              <w:rPr>
                <w:rFonts w:ascii="Aptos" w:hAnsi="Aptos"/>
                <w:b/>
                <w:bCs/>
                <w:color w:val="FFFFFF"/>
                <w:sz w:val="20"/>
                <w:szCs w:val="20"/>
              </w:rPr>
              <w:t>Checkpoint evidence</w:t>
            </w:r>
          </w:p>
        </w:tc>
        <w:tc>
          <w:tcPr>
            <w:tcW w:w="0" w:type="auto"/>
            <w:tcBorders>
              <w:top w:val="nil"/>
              <w:left w:val="nil"/>
              <w:bottom w:val="single" w:sz="12" w:space="0" w:color="16324F"/>
              <w:right w:val="nil"/>
            </w:tcBorders>
            <w:shd w:val="clear" w:color="000000" w:fill="2D6A6A"/>
            <w:vAlign w:val="center"/>
            <w:hideMark/>
          </w:tcPr>
          <w:p w14:paraId="333C8585" w14:textId="77777777" w:rsidR="00BB6BAA" w:rsidRDefault="00BB6BAA" w:rsidP="00837046">
            <w:pPr>
              <w:spacing w:line="480" w:lineRule="auto"/>
              <w:rPr>
                <w:rFonts w:ascii="Aptos" w:hAnsi="Aptos"/>
                <w:b/>
                <w:bCs/>
                <w:color w:val="FFFFFF"/>
                <w:sz w:val="20"/>
                <w:szCs w:val="20"/>
              </w:rPr>
            </w:pPr>
            <w:r>
              <w:rPr>
                <w:rFonts w:ascii="Aptos" w:hAnsi="Aptos"/>
                <w:b/>
                <w:bCs/>
                <w:color w:val="FFFFFF"/>
                <w:sz w:val="20"/>
                <w:szCs w:val="20"/>
              </w:rPr>
              <w:t>Capstone application</w:t>
            </w:r>
          </w:p>
        </w:tc>
      </w:tr>
      <w:tr w:rsidR="00BB6BAA" w14:paraId="5264AC4D" w14:textId="77777777">
        <w:tc>
          <w:tcPr>
            <w:tcW w:w="0" w:type="auto"/>
            <w:tcBorders>
              <w:top w:val="nil"/>
              <w:left w:val="single" w:sz="12" w:space="0" w:color="D8A63C"/>
              <w:bottom w:val="single" w:sz="6" w:space="0" w:color="C7D3DC"/>
              <w:right w:val="nil"/>
            </w:tcBorders>
            <w:shd w:val="clear" w:color="000000" w:fill="EAF2F8"/>
            <w:vAlign w:val="center"/>
            <w:hideMark/>
          </w:tcPr>
          <w:p w14:paraId="74F9C0E0" w14:textId="77777777" w:rsidR="00BB6BAA" w:rsidRDefault="00BB6BAA" w:rsidP="00837046">
            <w:pPr>
              <w:spacing w:line="480" w:lineRule="auto"/>
              <w:rPr>
                <w:rFonts w:ascii="Aptos" w:hAnsi="Aptos"/>
                <w:b/>
                <w:bCs/>
                <w:color w:val="16324F"/>
                <w:sz w:val="20"/>
                <w:szCs w:val="20"/>
              </w:rPr>
            </w:pPr>
            <w:r>
              <w:rPr>
                <w:rFonts w:ascii="Aptos" w:hAnsi="Aptos"/>
                <w:b/>
                <w:bCs/>
                <w:color w:val="16324F"/>
                <w:sz w:val="20"/>
                <w:szCs w:val="20"/>
              </w:rPr>
              <w:lastRenderedPageBreak/>
              <w:t>Define the population</w:t>
            </w:r>
          </w:p>
        </w:tc>
        <w:tc>
          <w:tcPr>
            <w:tcW w:w="0" w:type="auto"/>
            <w:tcBorders>
              <w:top w:val="nil"/>
              <w:left w:val="nil"/>
              <w:bottom w:val="single" w:sz="6" w:space="0" w:color="C7D3DC"/>
              <w:right w:val="nil"/>
            </w:tcBorders>
            <w:shd w:val="clear" w:color="000000" w:fill="EAF2F8"/>
            <w:vAlign w:val="center"/>
            <w:hideMark/>
          </w:tcPr>
          <w:p w14:paraId="2C6950AE" w14:textId="77777777" w:rsidR="00BB6BAA" w:rsidRDefault="00BB6BAA" w:rsidP="00837046">
            <w:pPr>
              <w:spacing w:line="480" w:lineRule="auto"/>
              <w:rPr>
                <w:rFonts w:ascii="Aptos" w:hAnsi="Aptos"/>
                <w:color w:val="263238"/>
                <w:sz w:val="20"/>
                <w:szCs w:val="20"/>
              </w:rPr>
            </w:pPr>
            <w:r>
              <w:rPr>
                <w:rFonts w:ascii="Aptos" w:hAnsi="Aptos"/>
                <w:color w:val="263238"/>
                <w:sz w:val="20"/>
                <w:szCs w:val="20"/>
              </w:rPr>
              <w:t>Unit I: provenance and basic operations</w:t>
            </w:r>
          </w:p>
        </w:tc>
        <w:tc>
          <w:tcPr>
            <w:tcW w:w="0" w:type="auto"/>
            <w:tcBorders>
              <w:top w:val="nil"/>
              <w:left w:val="nil"/>
              <w:bottom w:val="single" w:sz="6" w:space="0" w:color="C7D3DC"/>
              <w:right w:val="nil"/>
            </w:tcBorders>
            <w:shd w:val="clear" w:color="000000" w:fill="EAF2F8"/>
            <w:vAlign w:val="center"/>
            <w:hideMark/>
          </w:tcPr>
          <w:p w14:paraId="5F48EE10" w14:textId="77777777" w:rsidR="00BB6BAA" w:rsidRDefault="00BB6BAA" w:rsidP="00837046">
            <w:pPr>
              <w:spacing w:line="480" w:lineRule="auto"/>
              <w:rPr>
                <w:rFonts w:ascii="Aptos" w:hAnsi="Aptos"/>
                <w:color w:val="263238"/>
                <w:sz w:val="20"/>
                <w:szCs w:val="20"/>
              </w:rPr>
            </w:pPr>
            <w:r>
              <w:rPr>
                <w:rFonts w:ascii="Aptos" w:hAnsi="Aptos"/>
                <w:color w:val="263238"/>
                <w:sz w:val="20"/>
                <w:szCs w:val="20"/>
              </w:rPr>
              <w:t>Apply, add, revert, and clear filters; watch N change</w:t>
            </w:r>
          </w:p>
        </w:tc>
        <w:tc>
          <w:tcPr>
            <w:tcW w:w="0" w:type="auto"/>
            <w:tcBorders>
              <w:top w:val="nil"/>
              <w:left w:val="nil"/>
              <w:bottom w:val="single" w:sz="6" w:space="0" w:color="C7D3DC"/>
              <w:right w:val="nil"/>
            </w:tcBorders>
            <w:shd w:val="clear" w:color="000000" w:fill="EAF2F8"/>
            <w:vAlign w:val="center"/>
            <w:hideMark/>
          </w:tcPr>
          <w:p w14:paraId="0BE1C743" w14:textId="77777777" w:rsidR="00BB6BAA" w:rsidRDefault="00BB6BAA" w:rsidP="00837046">
            <w:pPr>
              <w:spacing w:line="480" w:lineRule="auto"/>
              <w:rPr>
                <w:rFonts w:ascii="Aptos" w:hAnsi="Aptos"/>
                <w:color w:val="263238"/>
                <w:sz w:val="20"/>
                <w:szCs w:val="20"/>
              </w:rPr>
            </w:pPr>
            <w:r>
              <w:rPr>
                <w:rFonts w:ascii="Aptos" w:hAnsi="Aptos"/>
                <w:color w:val="263238"/>
                <w:sz w:val="20"/>
                <w:szCs w:val="20"/>
              </w:rPr>
              <w:t>Names the sentencing records included after each operation</w:t>
            </w:r>
          </w:p>
        </w:tc>
        <w:tc>
          <w:tcPr>
            <w:tcW w:w="0" w:type="auto"/>
            <w:tcBorders>
              <w:top w:val="nil"/>
              <w:left w:val="nil"/>
              <w:bottom w:val="single" w:sz="6" w:space="0" w:color="C7D3DC"/>
              <w:right w:val="single" w:sz="6" w:space="0" w:color="C7D3DC"/>
            </w:tcBorders>
            <w:shd w:val="clear" w:color="000000" w:fill="EAF2F8"/>
            <w:vAlign w:val="center"/>
            <w:hideMark/>
          </w:tcPr>
          <w:p w14:paraId="6FA61AF2" w14:textId="77777777" w:rsidR="00BB6BAA" w:rsidRDefault="00BB6BAA" w:rsidP="00837046">
            <w:pPr>
              <w:spacing w:line="480" w:lineRule="auto"/>
              <w:rPr>
                <w:rFonts w:ascii="Aptos" w:hAnsi="Aptos"/>
                <w:color w:val="263238"/>
                <w:sz w:val="20"/>
                <w:szCs w:val="20"/>
              </w:rPr>
            </w:pPr>
            <w:r>
              <w:rPr>
                <w:rFonts w:ascii="Aptos" w:hAnsi="Aptos"/>
                <w:color w:val="263238"/>
                <w:sz w:val="20"/>
                <w:szCs w:val="20"/>
              </w:rPr>
              <w:t>States the population for every result</w:t>
            </w:r>
          </w:p>
        </w:tc>
      </w:tr>
      <w:tr w:rsidR="00BB6BAA" w14:paraId="1C373D17" w14:textId="77777777">
        <w:tc>
          <w:tcPr>
            <w:tcW w:w="0" w:type="auto"/>
            <w:tcBorders>
              <w:top w:val="single" w:sz="6" w:space="0" w:color="C7D3DC"/>
              <w:left w:val="single" w:sz="12" w:space="0" w:color="D8A63C"/>
              <w:bottom w:val="single" w:sz="6" w:space="0" w:color="C7D3DC"/>
              <w:right w:val="nil"/>
            </w:tcBorders>
            <w:shd w:val="clear" w:color="000000" w:fill="EAF2F8"/>
            <w:vAlign w:val="center"/>
            <w:hideMark/>
          </w:tcPr>
          <w:p w14:paraId="7B32DF82" w14:textId="77777777" w:rsidR="00BB6BAA" w:rsidRDefault="00BB6BAA" w:rsidP="00837046">
            <w:pPr>
              <w:spacing w:line="480" w:lineRule="auto"/>
              <w:rPr>
                <w:rFonts w:ascii="Aptos" w:hAnsi="Aptos"/>
                <w:b/>
                <w:bCs/>
                <w:color w:val="16324F"/>
                <w:sz w:val="20"/>
                <w:szCs w:val="20"/>
              </w:rPr>
            </w:pPr>
            <w:r>
              <w:rPr>
                <w:rFonts w:ascii="Aptos" w:hAnsi="Aptos"/>
                <w:b/>
                <w:bCs/>
                <w:color w:val="16324F"/>
                <w:sz w:val="20"/>
                <w:szCs w:val="20"/>
              </w:rPr>
              <w:t>Identify the unit of analysis</w:t>
            </w:r>
          </w:p>
        </w:tc>
        <w:tc>
          <w:tcPr>
            <w:tcW w:w="0" w:type="auto"/>
            <w:tcBorders>
              <w:top w:val="single" w:sz="6" w:space="0" w:color="C7D3DC"/>
              <w:left w:val="nil"/>
              <w:bottom w:val="single" w:sz="6" w:space="0" w:color="C7D3DC"/>
              <w:right w:val="nil"/>
            </w:tcBorders>
            <w:shd w:val="clear" w:color="000000" w:fill="EAF2F8"/>
            <w:vAlign w:val="center"/>
            <w:hideMark/>
          </w:tcPr>
          <w:p w14:paraId="69B580C0" w14:textId="77777777" w:rsidR="00BB6BAA" w:rsidRDefault="00BB6BAA" w:rsidP="00837046">
            <w:pPr>
              <w:spacing w:line="480" w:lineRule="auto"/>
              <w:rPr>
                <w:rFonts w:ascii="Aptos" w:hAnsi="Aptos"/>
                <w:color w:val="263238"/>
                <w:sz w:val="20"/>
                <w:szCs w:val="20"/>
              </w:rPr>
            </w:pPr>
            <w:r>
              <w:rPr>
                <w:rFonts w:ascii="Aptos" w:hAnsi="Aptos"/>
                <w:color w:val="263238"/>
                <w:sz w:val="20"/>
                <w:szCs w:val="20"/>
              </w:rPr>
              <w:t>Unit I: dataset provenance</w:t>
            </w:r>
          </w:p>
        </w:tc>
        <w:tc>
          <w:tcPr>
            <w:tcW w:w="0" w:type="auto"/>
            <w:tcBorders>
              <w:top w:val="single" w:sz="6" w:space="0" w:color="C7D3DC"/>
              <w:left w:val="nil"/>
              <w:bottom w:val="single" w:sz="6" w:space="0" w:color="C7D3DC"/>
              <w:right w:val="nil"/>
            </w:tcBorders>
            <w:shd w:val="clear" w:color="000000" w:fill="EAF2F8"/>
            <w:vAlign w:val="center"/>
            <w:hideMark/>
          </w:tcPr>
          <w:p w14:paraId="73192FC5" w14:textId="77777777" w:rsidR="00BB6BAA" w:rsidRDefault="00BB6BAA" w:rsidP="00837046">
            <w:pPr>
              <w:spacing w:line="480" w:lineRule="auto"/>
              <w:rPr>
                <w:rFonts w:ascii="Aptos" w:hAnsi="Aptos"/>
                <w:color w:val="263238"/>
                <w:sz w:val="20"/>
                <w:szCs w:val="20"/>
              </w:rPr>
            </w:pPr>
            <w:r>
              <w:rPr>
                <w:rFonts w:ascii="Aptos" w:hAnsi="Aptos"/>
                <w:color w:val="263238"/>
                <w:sz w:val="20"/>
                <w:szCs w:val="20"/>
              </w:rPr>
              <w:t>Translate row totals into counts of sentencing records</w:t>
            </w:r>
          </w:p>
        </w:tc>
        <w:tc>
          <w:tcPr>
            <w:tcW w:w="0" w:type="auto"/>
            <w:tcBorders>
              <w:top w:val="single" w:sz="6" w:space="0" w:color="C7D3DC"/>
              <w:left w:val="nil"/>
              <w:bottom w:val="single" w:sz="6" w:space="0" w:color="C7D3DC"/>
              <w:right w:val="nil"/>
            </w:tcBorders>
            <w:shd w:val="clear" w:color="000000" w:fill="EAF2F8"/>
            <w:vAlign w:val="center"/>
            <w:hideMark/>
          </w:tcPr>
          <w:p w14:paraId="284A9998" w14:textId="77777777" w:rsidR="00BB6BAA" w:rsidRDefault="00BB6BAA" w:rsidP="00837046">
            <w:pPr>
              <w:spacing w:line="480" w:lineRule="auto"/>
              <w:rPr>
                <w:rFonts w:ascii="Aptos" w:hAnsi="Aptos"/>
                <w:color w:val="263238"/>
                <w:sz w:val="20"/>
                <w:szCs w:val="20"/>
              </w:rPr>
            </w:pPr>
            <w:r>
              <w:rPr>
                <w:rFonts w:ascii="Aptos" w:hAnsi="Aptos"/>
                <w:color w:val="263238"/>
                <w:sz w:val="20"/>
                <w:szCs w:val="20"/>
              </w:rPr>
              <w:t>Explains why a row is not automatically one person or one crime</w:t>
            </w:r>
          </w:p>
        </w:tc>
        <w:tc>
          <w:tcPr>
            <w:tcW w:w="0" w:type="auto"/>
            <w:tcBorders>
              <w:top w:val="single" w:sz="6" w:space="0" w:color="C7D3DC"/>
              <w:left w:val="nil"/>
              <w:bottom w:val="single" w:sz="6" w:space="0" w:color="C7D3DC"/>
              <w:right w:val="single" w:sz="6" w:space="0" w:color="C7D3DC"/>
            </w:tcBorders>
            <w:shd w:val="clear" w:color="000000" w:fill="EAF2F8"/>
            <w:vAlign w:val="center"/>
            <w:hideMark/>
          </w:tcPr>
          <w:p w14:paraId="50F32DF7" w14:textId="77777777" w:rsidR="00BB6BAA" w:rsidRDefault="00BB6BAA" w:rsidP="00837046">
            <w:pPr>
              <w:spacing w:line="480" w:lineRule="auto"/>
              <w:rPr>
                <w:rFonts w:ascii="Aptos" w:hAnsi="Aptos"/>
                <w:color w:val="263238"/>
                <w:sz w:val="20"/>
                <w:szCs w:val="20"/>
              </w:rPr>
            </w:pPr>
            <w:r>
              <w:rPr>
                <w:rFonts w:ascii="Aptos" w:hAnsi="Aptos"/>
                <w:color w:val="263238"/>
                <w:sz w:val="20"/>
                <w:szCs w:val="20"/>
              </w:rPr>
              <w:t>Uses unit-accurate language throughout</w:t>
            </w:r>
          </w:p>
        </w:tc>
      </w:tr>
      <w:tr w:rsidR="00BB6BAA" w14:paraId="4F7B09C2" w14:textId="77777777">
        <w:tc>
          <w:tcPr>
            <w:tcW w:w="0" w:type="auto"/>
            <w:tcBorders>
              <w:top w:val="single" w:sz="6" w:space="0" w:color="C7D3DC"/>
              <w:left w:val="single" w:sz="12" w:space="0" w:color="D8A63C"/>
              <w:bottom w:val="single" w:sz="6" w:space="0" w:color="C7D3DC"/>
              <w:right w:val="nil"/>
            </w:tcBorders>
            <w:shd w:val="clear" w:color="000000" w:fill="E8F3F1"/>
            <w:vAlign w:val="center"/>
            <w:hideMark/>
          </w:tcPr>
          <w:p w14:paraId="0E2F6577" w14:textId="77777777" w:rsidR="00BB6BAA" w:rsidRDefault="00BB6BAA" w:rsidP="00837046">
            <w:pPr>
              <w:spacing w:line="480" w:lineRule="auto"/>
              <w:rPr>
                <w:rFonts w:ascii="Aptos" w:hAnsi="Aptos"/>
                <w:b/>
                <w:bCs/>
                <w:color w:val="16324F"/>
                <w:sz w:val="20"/>
                <w:szCs w:val="20"/>
              </w:rPr>
            </w:pPr>
            <w:r>
              <w:rPr>
                <w:rFonts w:ascii="Aptos" w:hAnsi="Aptos"/>
                <w:b/>
                <w:bCs/>
                <w:color w:val="16324F"/>
                <w:sz w:val="20"/>
                <w:szCs w:val="20"/>
              </w:rPr>
              <w:t>Reproduce an analysis</w:t>
            </w:r>
          </w:p>
        </w:tc>
        <w:tc>
          <w:tcPr>
            <w:tcW w:w="0" w:type="auto"/>
            <w:tcBorders>
              <w:top w:val="single" w:sz="6" w:space="0" w:color="C7D3DC"/>
              <w:left w:val="nil"/>
              <w:bottom w:val="single" w:sz="6" w:space="0" w:color="C7D3DC"/>
              <w:right w:val="nil"/>
            </w:tcBorders>
            <w:shd w:val="clear" w:color="000000" w:fill="E8F3F1"/>
            <w:vAlign w:val="center"/>
            <w:hideMark/>
          </w:tcPr>
          <w:p w14:paraId="4B542BFE" w14:textId="77777777" w:rsidR="00BB6BAA" w:rsidRDefault="00BB6BAA" w:rsidP="00837046">
            <w:pPr>
              <w:spacing w:line="480" w:lineRule="auto"/>
              <w:rPr>
                <w:rFonts w:ascii="Aptos" w:hAnsi="Aptos"/>
                <w:color w:val="263238"/>
                <w:sz w:val="20"/>
                <w:szCs w:val="20"/>
              </w:rPr>
            </w:pPr>
            <w:r>
              <w:rPr>
                <w:rFonts w:ascii="Aptos" w:hAnsi="Aptos"/>
                <w:color w:val="263238"/>
                <w:sz w:val="20"/>
                <w:szCs w:val="20"/>
              </w:rPr>
              <w:t>Unit I: Explorer operations; reinforced throughout</w:t>
            </w:r>
          </w:p>
        </w:tc>
        <w:tc>
          <w:tcPr>
            <w:tcW w:w="0" w:type="auto"/>
            <w:tcBorders>
              <w:top w:val="single" w:sz="6" w:space="0" w:color="C7D3DC"/>
              <w:left w:val="nil"/>
              <w:bottom w:val="single" w:sz="6" w:space="0" w:color="C7D3DC"/>
              <w:right w:val="nil"/>
            </w:tcBorders>
            <w:shd w:val="clear" w:color="000000" w:fill="E8F3F1"/>
            <w:vAlign w:val="center"/>
            <w:hideMark/>
          </w:tcPr>
          <w:p w14:paraId="77289E17" w14:textId="77777777" w:rsidR="00BB6BAA" w:rsidRDefault="00BB6BAA" w:rsidP="00837046">
            <w:pPr>
              <w:spacing w:line="480" w:lineRule="auto"/>
              <w:rPr>
                <w:rFonts w:ascii="Aptos" w:hAnsi="Aptos"/>
                <w:color w:val="263238"/>
                <w:sz w:val="20"/>
                <w:szCs w:val="20"/>
              </w:rPr>
            </w:pPr>
            <w:r>
              <w:rPr>
                <w:rFonts w:ascii="Aptos" w:hAnsi="Aptos"/>
                <w:color w:val="263238"/>
                <w:sz w:val="20"/>
                <w:szCs w:val="20"/>
              </w:rPr>
              <w:t>Rebuild a cross-tabulation cell from its filter conditions</w:t>
            </w:r>
          </w:p>
        </w:tc>
        <w:tc>
          <w:tcPr>
            <w:tcW w:w="0" w:type="auto"/>
            <w:tcBorders>
              <w:top w:val="single" w:sz="6" w:space="0" w:color="C7D3DC"/>
              <w:left w:val="nil"/>
              <w:bottom w:val="single" w:sz="6" w:space="0" w:color="C7D3DC"/>
              <w:right w:val="nil"/>
            </w:tcBorders>
            <w:shd w:val="clear" w:color="000000" w:fill="E8F3F1"/>
            <w:vAlign w:val="center"/>
            <w:hideMark/>
          </w:tcPr>
          <w:p w14:paraId="6C45CAFE" w14:textId="77777777" w:rsidR="00BB6BAA" w:rsidRDefault="00BB6BAA" w:rsidP="00837046">
            <w:pPr>
              <w:spacing w:line="480" w:lineRule="auto"/>
              <w:rPr>
                <w:rFonts w:ascii="Aptos" w:hAnsi="Aptos"/>
                <w:color w:val="263238"/>
                <w:sz w:val="20"/>
                <w:szCs w:val="20"/>
              </w:rPr>
            </w:pPr>
            <w:r>
              <w:rPr>
                <w:rFonts w:ascii="Aptos" w:hAnsi="Aptos"/>
                <w:color w:val="263238"/>
                <w:sz w:val="20"/>
                <w:szCs w:val="20"/>
              </w:rPr>
              <w:t>Matches the manually filtered statistic to the selected cell</w:t>
            </w:r>
          </w:p>
        </w:tc>
        <w:tc>
          <w:tcPr>
            <w:tcW w:w="0" w:type="auto"/>
            <w:tcBorders>
              <w:top w:val="single" w:sz="6" w:space="0" w:color="C7D3DC"/>
              <w:left w:val="nil"/>
              <w:bottom w:val="single" w:sz="6" w:space="0" w:color="C7D3DC"/>
              <w:right w:val="single" w:sz="6" w:space="0" w:color="C7D3DC"/>
            </w:tcBorders>
            <w:shd w:val="clear" w:color="000000" w:fill="E8F3F1"/>
            <w:vAlign w:val="center"/>
            <w:hideMark/>
          </w:tcPr>
          <w:p w14:paraId="4C896F2E" w14:textId="77777777" w:rsidR="00BB6BAA" w:rsidRDefault="00BB6BAA" w:rsidP="00837046">
            <w:pPr>
              <w:spacing w:line="480" w:lineRule="auto"/>
              <w:rPr>
                <w:rFonts w:ascii="Aptos" w:hAnsi="Aptos"/>
                <w:color w:val="263238"/>
                <w:sz w:val="20"/>
                <w:szCs w:val="20"/>
              </w:rPr>
            </w:pPr>
            <w:r>
              <w:rPr>
                <w:rFonts w:ascii="Aptos" w:hAnsi="Aptos"/>
                <w:color w:val="263238"/>
                <w:sz w:val="20"/>
                <w:szCs w:val="20"/>
              </w:rPr>
              <w:t>Provides the ordered filter history</w:t>
            </w:r>
          </w:p>
        </w:tc>
      </w:tr>
      <w:tr w:rsidR="00BB6BAA" w14:paraId="66ED3EF3" w14:textId="77777777">
        <w:tc>
          <w:tcPr>
            <w:tcW w:w="0" w:type="auto"/>
            <w:tcBorders>
              <w:top w:val="single" w:sz="6" w:space="0" w:color="C7D3DC"/>
              <w:left w:val="single" w:sz="12" w:space="0" w:color="D8A63C"/>
              <w:bottom w:val="single" w:sz="6" w:space="0" w:color="C7D3DC"/>
              <w:right w:val="nil"/>
            </w:tcBorders>
            <w:shd w:val="clear" w:color="000000" w:fill="FBF4E3"/>
            <w:vAlign w:val="center"/>
            <w:hideMark/>
          </w:tcPr>
          <w:p w14:paraId="3E322D58" w14:textId="77777777" w:rsidR="00BB6BAA" w:rsidRDefault="00BB6BAA" w:rsidP="00837046">
            <w:pPr>
              <w:spacing w:line="480" w:lineRule="auto"/>
              <w:rPr>
                <w:rFonts w:ascii="Aptos" w:hAnsi="Aptos"/>
                <w:b/>
                <w:bCs/>
                <w:color w:val="16324F"/>
                <w:sz w:val="20"/>
                <w:szCs w:val="20"/>
              </w:rPr>
            </w:pPr>
            <w:r>
              <w:rPr>
                <w:rFonts w:ascii="Aptos" w:hAnsi="Aptos"/>
                <w:b/>
                <w:bCs/>
                <w:color w:val="16324F"/>
                <w:sz w:val="20"/>
                <w:szCs w:val="20"/>
              </w:rPr>
              <w:t>Choose an appropriate summary</w:t>
            </w:r>
          </w:p>
        </w:tc>
        <w:tc>
          <w:tcPr>
            <w:tcW w:w="0" w:type="auto"/>
            <w:tcBorders>
              <w:top w:val="single" w:sz="6" w:space="0" w:color="C7D3DC"/>
              <w:left w:val="nil"/>
              <w:bottom w:val="single" w:sz="6" w:space="0" w:color="C7D3DC"/>
              <w:right w:val="nil"/>
            </w:tcBorders>
            <w:shd w:val="clear" w:color="000000" w:fill="FBF4E3"/>
            <w:vAlign w:val="center"/>
            <w:hideMark/>
          </w:tcPr>
          <w:p w14:paraId="260268F4" w14:textId="77777777" w:rsidR="00BB6BAA" w:rsidRDefault="00BB6BAA" w:rsidP="00837046">
            <w:pPr>
              <w:spacing w:line="480" w:lineRule="auto"/>
              <w:rPr>
                <w:rFonts w:ascii="Aptos" w:hAnsi="Aptos"/>
                <w:color w:val="263238"/>
                <w:sz w:val="20"/>
                <w:szCs w:val="20"/>
              </w:rPr>
            </w:pPr>
            <w:r>
              <w:rPr>
                <w:rFonts w:ascii="Aptos" w:hAnsi="Aptos"/>
                <w:color w:val="263238"/>
                <w:sz w:val="20"/>
                <w:szCs w:val="20"/>
              </w:rPr>
              <w:t>Unit I: descriptive statistics; Unit II: sentencing mechanics</w:t>
            </w:r>
          </w:p>
        </w:tc>
        <w:tc>
          <w:tcPr>
            <w:tcW w:w="0" w:type="auto"/>
            <w:tcBorders>
              <w:top w:val="single" w:sz="6" w:space="0" w:color="C7D3DC"/>
              <w:left w:val="nil"/>
              <w:bottom w:val="single" w:sz="6" w:space="0" w:color="C7D3DC"/>
              <w:right w:val="nil"/>
            </w:tcBorders>
            <w:shd w:val="clear" w:color="000000" w:fill="FBF4E3"/>
            <w:vAlign w:val="center"/>
            <w:hideMark/>
          </w:tcPr>
          <w:p w14:paraId="45812644" w14:textId="77777777" w:rsidR="00BB6BAA" w:rsidRDefault="00BB6BAA" w:rsidP="00837046">
            <w:pPr>
              <w:spacing w:line="480" w:lineRule="auto"/>
              <w:rPr>
                <w:rFonts w:ascii="Aptos" w:hAnsi="Aptos"/>
                <w:color w:val="263238"/>
                <w:sz w:val="20"/>
                <w:szCs w:val="20"/>
              </w:rPr>
            </w:pPr>
            <w:r>
              <w:rPr>
                <w:rFonts w:ascii="Aptos" w:hAnsi="Aptos"/>
                <w:color w:val="263238"/>
                <w:sz w:val="20"/>
                <w:szCs w:val="20"/>
              </w:rPr>
              <w:t>Compare mean, median, mode, and spread for presumptive duration</w:t>
            </w:r>
          </w:p>
        </w:tc>
        <w:tc>
          <w:tcPr>
            <w:tcW w:w="0" w:type="auto"/>
            <w:tcBorders>
              <w:top w:val="single" w:sz="6" w:space="0" w:color="C7D3DC"/>
              <w:left w:val="nil"/>
              <w:bottom w:val="single" w:sz="6" w:space="0" w:color="C7D3DC"/>
              <w:right w:val="nil"/>
            </w:tcBorders>
            <w:shd w:val="clear" w:color="000000" w:fill="FBF4E3"/>
            <w:vAlign w:val="center"/>
            <w:hideMark/>
          </w:tcPr>
          <w:p w14:paraId="06A5DF70" w14:textId="77777777" w:rsidR="00BB6BAA" w:rsidRDefault="00BB6BAA" w:rsidP="00837046">
            <w:pPr>
              <w:spacing w:line="480" w:lineRule="auto"/>
              <w:rPr>
                <w:rFonts w:ascii="Aptos" w:hAnsi="Aptos"/>
                <w:color w:val="263238"/>
                <w:sz w:val="20"/>
                <w:szCs w:val="20"/>
              </w:rPr>
            </w:pPr>
            <w:r>
              <w:rPr>
                <w:rFonts w:ascii="Aptos" w:hAnsi="Aptos"/>
                <w:color w:val="263238"/>
                <w:sz w:val="20"/>
                <w:szCs w:val="20"/>
              </w:rPr>
              <w:t>Justifies the statistic in relation to the distribution and question</w:t>
            </w:r>
          </w:p>
        </w:tc>
        <w:tc>
          <w:tcPr>
            <w:tcW w:w="0" w:type="auto"/>
            <w:tcBorders>
              <w:top w:val="single" w:sz="6" w:space="0" w:color="C7D3DC"/>
              <w:left w:val="nil"/>
              <w:bottom w:val="single" w:sz="6" w:space="0" w:color="C7D3DC"/>
              <w:right w:val="single" w:sz="6" w:space="0" w:color="C7D3DC"/>
            </w:tcBorders>
            <w:shd w:val="clear" w:color="000000" w:fill="FBF4E3"/>
            <w:vAlign w:val="center"/>
            <w:hideMark/>
          </w:tcPr>
          <w:p w14:paraId="24799246" w14:textId="77777777" w:rsidR="00BB6BAA" w:rsidRDefault="00BB6BAA" w:rsidP="00837046">
            <w:pPr>
              <w:spacing w:line="480" w:lineRule="auto"/>
              <w:rPr>
                <w:rFonts w:ascii="Aptos" w:hAnsi="Aptos"/>
                <w:color w:val="263238"/>
                <w:sz w:val="20"/>
                <w:szCs w:val="20"/>
              </w:rPr>
            </w:pPr>
            <w:r>
              <w:rPr>
                <w:rFonts w:ascii="Aptos" w:hAnsi="Aptos"/>
                <w:color w:val="263238"/>
                <w:sz w:val="20"/>
                <w:szCs w:val="20"/>
              </w:rPr>
              <w:t>Defends the chosen summary measure</w:t>
            </w:r>
          </w:p>
        </w:tc>
      </w:tr>
      <w:tr w:rsidR="00BB6BAA" w14:paraId="69C2D13E" w14:textId="77777777">
        <w:tc>
          <w:tcPr>
            <w:tcW w:w="0" w:type="auto"/>
            <w:tcBorders>
              <w:top w:val="single" w:sz="6" w:space="0" w:color="C7D3DC"/>
              <w:left w:val="single" w:sz="12" w:space="0" w:color="D8A63C"/>
              <w:bottom w:val="single" w:sz="6" w:space="0" w:color="C7D3DC"/>
              <w:right w:val="nil"/>
            </w:tcBorders>
            <w:shd w:val="clear" w:color="000000" w:fill="FBF4E3"/>
            <w:vAlign w:val="center"/>
            <w:hideMark/>
          </w:tcPr>
          <w:p w14:paraId="3694E0F8" w14:textId="77777777" w:rsidR="00BB6BAA" w:rsidRDefault="00BB6BAA" w:rsidP="00837046">
            <w:pPr>
              <w:spacing w:line="480" w:lineRule="auto"/>
              <w:rPr>
                <w:rFonts w:ascii="Aptos" w:hAnsi="Aptos"/>
                <w:b/>
                <w:bCs/>
                <w:color w:val="16324F"/>
                <w:sz w:val="20"/>
                <w:szCs w:val="20"/>
              </w:rPr>
            </w:pPr>
            <w:r>
              <w:rPr>
                <w:rFonts w:ascii="Aptos" w:hAnsi="Aptos"/>
                <w:b/>
                <w:bCs/>
                <w:color w:val="16324F"/>
                <w:sz w:val="20"/>
                <w:szCs w:val="20"/>
              </w:rPr>
              <w:t>Check denominators, missingness, and N</w:t>
            </w:r>
          </w:p>
        </w:tc>
        <w:tc>
          <w:tcPr>
            <w:tcW w:w="0" w:type="auto"/>
            <w:tcBorders>
              <w:top w:val="single" w:sz="6" w:space="0" w:color="C7D3DC"/>
              <w:left w:val="nil"/>
              <w:bottom w:val="single" w:sz="6" w:space="0" w:color="C7D3DC"/>
              <w:right w:val="nil"/>
            </w:tcBorders>
            <w:shd w:val="clear" w:color="000000" w:fill="FBF4E3"/>
            <w:vAlign w:val="center"/>
            <w:hideMark/>
          </w:tcPr>
          <w:p w14:paraId="08876B21" w14:textId="77777777" w:rsidR="00BB6BAA" w:rsidRDefault="00BB6BAA" w:rsidP="00837046">
            <w:pPr>
              <w:spacing w:line="480" w:lineRule="auto"/>
              <w:rPr>
                <w:rFonts w:ascii="Aptos" w:hAnsi="Aptos"/>
                <w:color w:val="263238"/>
                <w:sz w:val="20"/>
                <w:szCs w:val="20"/>
              </w:rPr>
            </w:pPr>
            <w:r>
              <w:rPr>
                <w:rFonts w:ascii="Aptos" w:hAnsi="Aptos"/>
                <w:color w:val="263238"/>
                <w:sz w:val="20"/>
                <w:szCs w:val="20"/>
              </w:rPr>
              <w:t>Units I and III: descriptive statistics and small-number cautions</w:t>
            </w:r>
          </w:p>
        </w:tc>
        <w:tc>
          <w:tcPr>
            <w:tcW w:w="0" w:type="auto"/>
            <w:tcBorders>
              <w:top w:val="single" w:sz="6" w:space="0" w:color="C7D3DC"/>
              <w:left w:val="nil"/>
              <w:bottom w:val="single" w:sz="6" w:space="0" w:color="C7D3DC"/>
              <w:right w:val="nil"/>
            </w:tcBorders>
            <w:shd w:val="clear" w:color="000000" w:fill="FBF4E3"/>
            <w:vAlign w:val="center"/>
            <w:hideMark/>
          </w:tcPr>
          <w:p w14:paraId="4E258D15" w14:textId="77777777" w:rsidR="00BB6BAA" w:rsidRDefault="00BB6BAA" w:rsidP="00837046">
            <w:pPr>
              <w:spacing w:line="480" w:lineRule="auto"/>
              <w:rPr>
                <w:rFonts w:ascii="Aptos" w:hAnsi="Aptos"/>
                <w:color w:val="263238"/>
                <w:sz w:val="20"/>
                <w:szCs w:val="20"/>
              </w:rPr>
            </w:pPr>
            <w:r>
              <w:rPr>
                <w:rFonts w:ascii="Aptos" w:hAnsi="Aptos"/>
                <w:color w:val="263238"/>
                <w:sz w:val="20"/>
                <w:szCs w:val="20"/>
              </w:rPr>
              <w:t>Compare counts with within-group percentages; inspect rare cells</w:t>
            </w:r>
          </w:p>
        </w:tc>
        <w:tc>
          <w:tcPr>
            <w:tcW w:w="0" w:type="auto"/>
            <w:tcBorders>
              <w:top w:val="single" w:sz="6" w:space="0" w:color="C7D3DC"/>
              <w:left w:val="nil"/>
              <w:bottom w:val="single" w:sz="6" w:space="0" w:color="C7D3DC"/>
              <w:right w:val="nil"/>
            </w:tcBorders>
            <w:shd w:val="clear" w:color="000000" w:fill="FBF4E3"/>
            <w:vAlign w:val="center"/>
            <w:hideMark/>
          </w:tcPr>
          <w:p w14:paraId="11A22C08" w14:textId="77777777" w:rsidR="00BB6BAA" w:rsidRDefault="00BB6BAA" w:rsidP="00837046">
            <w:pPr>
              <w:spacing w:line="480" w:lineRule="auto"/>
              <w:rPr>
                <w:rFonts w:ascii="Aptos" w:hAnsi="Aptos"/>
                <w:color w:val="263238"/>
                <w:sz w:val="20"/>
                <w:szCs w:val="20"/>
              </w:rPr>
            </w:pPr>
            <w:r>
              <w:rPr>
                <w:rFonts w:ascii="Aptos" w:hAnsi="Aptos"/>
                <w:color w:val="263238"/>
                <w:sz w:val="20"/>
                <w:szCs w:val="20"/>
              </w:rPr>
              <w:t>Identifies the denominator and limits fragile small-N claims</w:t>
            </w:r>
          </w:p>
        </w:tc>
        <w:tc>
          <w:tcPr>
            <w:tcW w:w="0" w:type="auto"/>
            <w:tcBorders>
              <w:top w:val="single" w:sz="6" w:space="0" w:color="C7D3DC"/>
              <w:left w:val="nil"/>
              <w:bottom w:val="single" w:sz="6" w:space="0" w:color="C7D3DC"/>
              <w:right w:val="single" w:sz="6" w:space="0" w:color="C7D3DC"/>
            </w:tcBorders>
            <w:shd w:val="clear" w:color="000000" w:fill="FBF4E3"/>
            <w:vAlign w:val="center"/>
            <w:hideMark/>
          </w:tcPr>
          <w:p w14:paraId="157FFABD" w14:textId="77777777" w:rsidR="00BB6BAA" w:rsidRDefault="00BB6BAA" w:rsidP="00837046">
            <w:pPr>
              <w:spacing w:line="480" w:lineRule="auto"/>
              <w:rPr>
                <w:rFonts w:ascii="Aptos" w:hAnsi="Aptos"/>
                <w:color w:val="263238"/>
                <w:sz w:val="20"/>
                <w:szCs w:val="20"/>
              </w:rPr>
            </w:pPr>
            <w:r>
              <w:rPr>
                <w:rFonts w:ascii="Aptos" w:hAnsi="Aptos"/>
                <w:color w:val="263238"/>
                <w:sz w:val="20"/>
                <w:szCs w:val="20"/>
              </w:rPr>
              <w:t>Reports N at each analytical stage</w:t>
            </w:r>
          </w:p>
        </w:tc>
      </w:tr>
      <w:tr w:rsidR="00BB6BAA" w14:paraId="457CD5A8" w14:textId="77777777">
        <w:tc>
          <w:tcPr>
            <w:tcW w:w="0" w:type="auto"/>
            <w:tcBorders>
              <w:top w:val="single" w:sz="6" w:space="0" w:color="C7D3DC"/>
              <w:left w:val="single" w:sz="12" w:space="0" w:color="D8A63C"/>
              <w:bottom w:val="single" w:sz="6" w:space="0" w:color="C7D3DC"/>
              <w:right w:val="nil"/>
            </w:tcBorders>
            <w:shd w:val="clear" w:color="000000" w:fill="E8F3F1"/>
            <w:vAlign w:val="center"/>
            <w:hideMark/>
          </w:tcPr>
          <w:p w14:paraId="71E21448" w14:textId="77777777" w:rsidR="00BB6BAA" w:rsidRDefault="00BB6BAA" w:rsidP="00837046">
            <w:pPr>
              <w:spacing w:line="480" w:lineRule="auto"/>
              <w:rPr>
                <w:rFonts w:ascii="Aptos" w:hAnsi="Aptos"/>
                <w:b/>
                <w:bCs/>
                <w:color w:val="16324F"/>
                <w:sz w:val="20"/>
                <w:szCs w:val="20"/>
              </w:rPr>
            </w:pPr>
            <w:r>
              <w:rPr>
                <w:rFonts w:ascii="Aptos" w:hAnsi="Aptos"/>
                <w:b/>
                <w:bCs/>
                <w:color w:val="16324F"/>
                <w:sz w:val="20"/>
                <w:szCs w:val="20"/>
              </w:rPr>
              <w:t>Distinguish raw and conditional comparisons</w:t>
            </w:r>
          </w:p>
        </w:tc>
        <w:tc>
          <w:tcPr>
            <w:tcW w:w="0" w:type="auto"/>
            <w:tcBorders>
              <w:top w:val="single" w:sz="6" w:space="0" w:color="C7D3DC"/>
              <w:left w:val="nil"/>
              <w:bottom w:val="single" w:sz="6" w:space="0" w:color="C7D3DC"/>
              <w:right w:val="nil"/>
            </w:tcBorders>
            <w:shd w:val="clear" w:color="000000" w:fill="E8F3F1"/>
            <w:vAlign w:val="center"/>
            <w:hideMark/>
          </w:tcPr>
          <w:p w14:paraId="0931096B" w14:textId="77777777" w:rsidR="00BB6BAA" w:rsidRDefault="00BB6BAA" w:rsidP="00837046">
            <w:pPr>
              <w:spacing w:line="480" w:lineRule="auto"/>
              <w:rPr>
                <w:rFonts w:ascii="Aptos" w:hAnsi="Aptos"/>
                <w:color w:val="263238"/>
                <w:sz w:val="20"/>
                <w:szCs w:val="20"/>
              </w:rPr>
            </w:pPr>
            <w:r>
              <w:rPr>
                <w:rFonts w:ascii="Aptos" w:hAnsi="Aptos"/>
                <w:color w:val="263238"/>
                <w:sz w:val="20"/>
                <w:szCs w:val="20"/>
              </w:rPr>
              <w:t>Unit III: conditioning; Units III–IV: sex and race</w:t>
            </w:r>
          </w:p>
        </w:tc>
        <w:tc>
          <w:tcPr>
            <w:tcW w:w="0" w:type="auto"/>
            <w:tcBorders>
              <w:top w:val="single" w:sz="6" w:space="0" w:color="C7D3DC"/>
              <w:left w:val="nil"/>
              <w:bottom w:val="single" w:sz="6" w:space="0" w:color="C7D3DC"/>
              <w:right w:val="nil"/>
            </w:tcBorders>
            <w:shd w:val="clear" w:color="000000" w:fill="E8F3F1"/>
            <w:vAlign w:val="center"/>
            <w:hideMark/>
          </w:tcPr>
          <w:p w14:paraId="3942F9B4" w14:textId="77777777" w:rsidR="00BB6BAA" w:rsidRDefault="00BB6BAA" w:rsidP="00837046">
            <w:pPr>
              <w:spacing w:line="480" w:lineRule="auto"/>
              <w:rPr>
                <w:rFonts w:ascii="Aptos" w:hAnsi="Aptos"/>
                <w:color w:val="263238"/>
                <w:sz w:val="20"/>
                <w:szCs w:val="20"/>
              </w:rPr>
            </w:pPr>
            <w:r>
              <w:rPr>
                <w:rFonts w:ascii="Aptos" w:hAnsi="Aptos"/>
                <w:color w:val="263238"/>
                <w:sz w:val="20"/>
                <w:szCs w:val="20"/>
              </w:rPr>
              <w:t>Add offense, severity, and history restrictions one at a time</w:t>
            </w:r>
          </w:p>
        </w:tc>
        <w:tc>
          <w:tcPr>
            <w:tcW w:w="0" w:type="auto"/>
            <w:tcBorders>
              <w:top w:val="single" w:sz="6" w:space="0" w:color="C7D3DC"/>
              <w:left w:val="nil"/>
              <w:bottom w:val="single" w:sz="6" w:space="0" w:color="C7D3DC"/>
              <w:right w:val="nil"/>
            </w:tcBorders>
            <w:shd w:val="clear" w:color="000000" w:fill="E8F3F1"/>
            <w:vAlign w:val="center"/>
            <w:hideMark/>
          </w:tcPr>
          <w:p w14:paraId="59725232" w14:textId="77777777" w:rsidR="00BB6BAA" w:rsidRDefault="00BB6BAA" w:rsidP="00837046">
            <w:pPr>
              <w:spacing w:line="480" w:lineRule="auto"/>
              <w:rPr>
                <w:rFonts w:ascii="Aptos" w:hAnsi="Aptos"/>
                <w:color w:val="263238"/>
                <w:sz w:val="20"/>
                <w:szCs w:val="20"/>
              </w:rPr>
            </w:pPr>
            <w:r>
              <w:rPr>
                <w:rFonts w:ascii="Aptos" w:hAnsi="Aptos"/>
                <w:color w:val="263238"/>
                <w:sz w:val="20"/>
                <w:szCs w:val="20"/>
              </w:rPr>
              <w:t>Describes when a gap narrows, remains, reverses, or closes</w:t>
            </w:r>
          </w:p>
        </w:tc>
        <w:tc>
          <w:tcPr>
            <w:tcW w:w="0" w:type="auto"/>
            <w:tcBorders>
              <w:top w:val="single" w:sz="6" w:space="0" w:color="C7D3DC"/>
              <w:left w:val="nil"/>
              <w:bottom w:val="single" w:sz="6" w:space="0" w:color="C7D3DC"/>
              <w:right w:val="single" w:sz="6" w:space="0" w:color="C7D3DC"/>
            </w:tcBorders>
            <w:shd w:val="clear" w:color="000000" w:fill="E8F3F1"/>
            <w:vAlign w:val="center"/>
            <w:hideMark/>
          </w:tcPr>
          <w:p w14:paraId="11C81FE9" w14:textId="77777777" w:rsidR="00BB6BAA" w:rsidRDefault="00BB6BAA" w:rsidP="00837046">
            <w:pPr>
              <w:spacing w:line="480" w:lineRule="auto"/>
              <w:rPr>
                <w:rFonts w:ascii="Aptos" w:hAnsi="Aptos"/>
                <w:color w:val="263238"/>
                <w:sz w:val="20"/>
                <w:szCs w:val="20"/>
              </w:rPr>
            </w:pPr>
            <w:r>
              <w:rPr>
                <w:rFonts w:ascii="Aptos" w:hAnsi="Aptos"/>
                <w:color w:val="263238"/>
                <w:sz w:val="20"/>
                <w:szCs w:val="20"/>
              </w:rPr>
              <w:t>Presents raw and relevant conditional results</w:t>
            </w:r>
          </w:p>
        </w:tc>
      </w:tr>
      <w:tr w:rsidR="00BB6BAA" w14:paraId="05A25CA5" w14:textId="77777777">
        <w:tc>
          <w:tcPr>
            <w:tcW w:w="0" w:type="auto"/>
            <w:tcBorders>
              <w:top w:val="single" w:sz="6" w:space="0" w:color="C7D3DC"/>
              <w:left w:val="single" w:sz="12" w:space="0" w:color="D8A63C"/>
              <w:bottom w:val="single" w:sz="6" w:space="0" w:color="C7D3DC"/>
              <w:right w:val="nil"/>
            </w:tcBorders>
            <w:shd w:val="clear" w:color="000000" w:fill="EAF2F8"/>
            <w:vAlign w:val="center"/>
            <w:hideMark/>
          </w:tcPr>
          <w:p w14:paraId="611D67B8" w14:textId="77777777" w:rsidR="00BB6BAA" w:rsidRDefault="00BB6BAA" w:rsidP="00837046">
            <w:pPr>
              <w:spacing w:line="480" w:lineRule="auto"/>
              <w:rPr>
                <w:rFonts w:ascii="Aptos" w:hAnsi="Aptos"/>
                <w:b/>
                <w:bCs/>
                <w:color w:val="16324F"/>
                <w:sz w:val="20"/>
                <w:szCs w:val="20"/>
              </w:rPr>
            </w:pPr>
            <w:r>
              <w:rPr>
                <w:rFonts w:ascii="Aptos" w:hAnsi="Aptos"/>
                <w:b/>
                <w:bCs/>
                <w:color w:val="16324F"/>
                <w:sz w:val="20"/>
                <w:szCs w:val="20"/>
              </w:rPr>
              <w:lastRenderedPageBreak/>
              <w:t>Recognize missing and downstream information</w:t>
            </w:r>
          </w:p>
        </w:tc>
        <w:tc>
          <w:tcPr>
            <w:tcW w:w="0" w:type="auto"/>
            <w:tcBorders>
              <w:top w:val="single" w:sz="6" w:space="0" w:color="C7D3DC"/>
              <w:left w:val="nil"/>
              <w:bottom w:val="single" w:sz="6" w:space="0" w:color="C7D3DC"/>
              <w:right w:val="nil"/>
            </w:tcBorders>
            <w:shd w:val="clear" w:color="000000" w:fill="EAF2F8"/>
            <w:vAlign w:val="center"/>
            <w:hideMark/>
          </w:tcPr>
          <w:p w14:paraId="4020E7F1" w14:textId="77777777" w:rsidR="00BB6BAA" w:rsidRDefault="00BB6BAA" w:rsidP="00837046">
            <w:pPr>
              <w:spacing w:line="480" w:lineRule="auto"/>
              <w:rPr>
                <w:rFonts w:ascii="Aptos" w:hAnsi="Aptos"/>
                <w:color w:val="263238"/>
                <w:sz w:val="20"/>
                <w:szCs w:val="20"/>
              </w:rPr>
            </w:pPr>
            <w:r>
              <w:rPr>
                <w:rFonts w:ascii="Aptos" w:hAnsi="Aptos"/>
                <w:color w:val="263238"/>
                <w:sz w:val="20"/>
                <w:szCs w:val="20"/>
              </w:rPr>
              <w:t>Units II and IV: sentencing mechanics and evidentiary limits</w:t>
            </w:r>
          </w:p>
        </w:tc>
        <w:tc>
          <w:tcPr>
            <w:tcW w:w="0" w:type="auto"/>
            <w:tcBorders>
              <w:top w:val="single" w:sz="6" w:space="0" w:color="C7D3DC"/>
              <w:left w:val="nil"/>
              <w:bottom w:val="single" w:sz="6" w:space="0" w:color="C7D3DC"/>
              <w:right w:val="nil"/>
            </w:tcBorders>
            <w:shd w:val="clear" w:color="000000" w:fill="EAF2F8"/>
            <w:vAlign w:val="center"/>
            <w:hideMark/>
          </w:tcPr>
          <w:p w14:paraId="496EEA2F" w14:textId="77777777" w:rsidR="00BB6BAA" w:rsidRDefault="00BB6BAA" w:rsidP="00837046">
            <w:pPr>
              <w:spacing w:line="480" w:lineRule="auto"/>
              <w:rPr>
                <w:rFonts w:ascii="Aptos" w:hAnsi="Aptos"/>
                <w:color w:val="263238"/>
                <w:sz w:val="20"/>
                <w:szCs w:val="20"/>
              </w:rPr>
            </w:pPr>
            <w:r>
              <w:rPr>
                <w:rFonts w:ascii="Aptos" w:hAnsi="Aptos"/>
                <w:color w:val="263238"/>
                <w:sz w:val="20"/>
                <w:szCs w:val="20"/>
              </w:rPr>
              <w:t>Interpret time as presumptive duration and revisit the funnel</w:t>
            </w:r>
          </w:p>
        </w:tc>
        <w:tc>
          <w:tcPr>
            <w:tcW w:w="0" w:type="auto"/>
            <w:tcBorders>
              <w:top w:val="single" w:sz="6" w:space="0" w:color="C7D3DC"/>
              <w:left w:val="nil"/>
              <w:bottom w:val="single" w:sz="6" w:space="0" w:color="C7D3DC"/>
              <w:right w:val="nil"/>
            </w:tcBorders>
            <w:shd w:val="clear" w:color="000000" w:fill="EAF2F8"/>
            <w:vAlign w:val="center"/>
            <w:hideMark/>
          </w:tcPr>
          <w:p w14:paraId="3F1ADA8D" w14:textId="77777777" w:rsidR="00BB6BAA" w:rsidRDefault="00BB6BAA" w:rsidP="00837046">
            <w:pPr>
              <w:spacing w:line="480" w:lineRule="auto"/>
              <w:rPr>
                <w:rFonts w:ascii="Aptos" w:hAnsi="Aptos"/>
                <w:color w:val="263238"/>
                <w:sz w:val="20"/>
                <w:szCs w:val="20"/>
              </w:rPr>
            </w:pPr>
            <w:r>
              <w:rPr>
                <w:rFonts w:ascii="Aptos" w:hAnsi="Aptos"/>
                <w:color w:val="263238"/>
                <w:sz w:val="20"/>
                <w:szCs w:val="20"/>
              </w:rPr>
              <w:t>Names important information the dataset does not observe</w:t>
            </w:r>
          </w:p>
        </w:tc>
        <w:tc>
          <w:tcPr>
            <w:tcW w:w="0" w:type="auto"/>
            <w:tcBorders>
              <w:top w:val="single" w:sz="6" w:space="0" w:color="C7D3DC"/>
              <w:left w:val="nil"/>
              <w:bottom w:val="single" w:sz="6" w:space="0" w:color="C7D3DC"/>
              <w:right w:val="single" w:sz="6" w:space="0" w:color="C7D3DC"/>
            </w:tcBorders>
            <w:shd w:val="clear" w:color="000000" w:fill="EAF2F8"/>
            <w:vAlign w:val="center"/>
            <w:hideMark/>
          </w:tcPr>
          <w:p w14:paraId="043F2606" w14:textId="77777777" w:rsidR="00BB6BAA" w:rsidRDefault="00BB6BAA" w:rsidP="00837046">
            <w:pPr>
              <w:spacing w:line="480" w:lineRule="auto"/>
              <w:rPr>
                <w:rFonts w:ascii="Aptos" w:hAnsi="Aptos"/>
                <w:color w:val="263238"/>
                <w:sz w:val="20"/>
                <w:szCs w:val="20"/>
              </w:rPr>
            </w:pPr>
            <w:r>
              <w:rPr>
                <w:rFonts w:ascii="Aptos" w:hAnsi="Aptos"/>
                <w:color w:val="263238"/>
                <w:sz w:val="20"/>
                <w:szCs w:val="20"/>
              </w:rPr>
              <w:t>Includes a substantive limitations section</w:t>
            </w:r>
          </w:p>
        </w:tc>
      </w:tr>
      <w:tr w:rsidR="00BB6BAA" w14:paraId="288BBAD7" w14:textId="77777777">
        <w:tc>
          <w:tcPr>
            <w:tcW w:w="0" w:type="auto"/>
            <w:tcBorders>
              <w:top w:val="single" w:sz="6" w:space="0" w:color="C7D3DC"/>
              <w:left w:val="nil"/>
              <w:bottom w:val="single" w:sz="12" w:space="0" w:color="16324F"/>
              <w:right w:val="nil"/>
            </w:tcBorders>
            <w:shd w:val="clear" w:color="000000" w:fill="F4F6F7"/>
            <w:vAlign w:val="center"/>
            <w:hideMark/>
          </w:tcPr>
          <w:p w14:paraId="40C8DCB7" w14:textId="77777777" w:rsidR="00BB6BAA" w:rsidRDefault="00BB6BAA" w:rsidP="00837046">
            <w:pPr>
              <w:spacing w:line="480" w:lineRule="auto"/>
              <w:rPr>
                <w:rFonts w:ascii="Aptos" w:hAnsi="Aptos"/>
                <w:b/>
                <w:bCs/>
                <w:color w:val="16324F"/>
                <w:sz w:val="20"/>
                <w:szCs w:val="20"/>
              </w:rPr>
            </w:pPr>
            <w:r>
              <w:rPr>
                <w:rFonts w:ascii="Aptos" w:hAnsi="Aptos"/>
                <w:b/>
                <w:bCs/>
                <w:color w:val="16324F"/>
                <w:sz w:val="20"/>
                <w:szCs w:val="20"/>
              </w:rPr>
              <w:t>Communicate without causal leakage</w:t>
            </w:r>
          </w:p>
        </w:tc>
        <w:tc>
          <w:tcPr>
            <w:tcW w:w="0" w:type="auto"/>
            <w:tcBorders>
              <w:top w:val="single" w:sz="6" w:space="0" w:color="C7D3DC"/>
              <w:left w:val="nil"/>
              <w:bottom w:val="single" w:sz="12" w:space="0" w:color="16324F"/>
              <w:right w:val="nil"/>
            </w:tcBorders>
            <w:shd w:val="clear" w:color="000000" w:fill="F4F6F7"/>
            <w:vAlign w:val="center"/>
            <w:hideMark/>
          </w:tcPr>
          <w:p w14:paraId="74C829DA" w14:textId="77777777" w:rsidR="00BB6BAA" w:rsidRDefault="00BB6BAA" w:rsidP="00837046">
            <w:pPr>
              <w:spacing w:line="480" w:lineRule="auto"/>
              <w:rPr>
                <w:rFonts w:ascii="Aptos" w:hAnsi="Aptos"/>
                <w:color w:val="263238"/>
                <w:sz w:val="20"/>
                <w:szCs w:val="20"/>
              </w:rPr>
            </w:pPr>
            <w:r>
              <w:rPr>
                <w:rFonts w:ascii="Aptos" w:hAnsi="Aptos"/>
                <w:color w:val="263238"/>
                <w:sz w:val="20"/>
                <w:szCs w:val="20"/>
              </w:rPr>
              <w:t>Units III–V: group comparisons and capstone communication</w:t>
            </w:r>
          </w:p>
        </w:tc>
        <w:tc>
          <w:tcPr>
            <w:tcW w:w="0" w:type="auto"/>
            <w:tcBorders>
              <w:top w:val="single" w:sz="6" w:space="0" w:color="C7D3DC"/>
              <w:left w:val="nil"/>
              <w:bottom w:val="single" w:sz="12" w:space="0" w:color="16324F"/>
              <w:right w:val="nil"/>
            </w:tcBorders>
            <w:shd w:val="clear" w:color="000000" w:fill="F4F6F7"/>
            <w:vAlign w:val="center"/>
            <w:hideMark/>
          </w:tcPr>
          <w:p w14:paraId="3DFA7413" w14:textId="77777777" w:rsidR="00BB6BAA" w:rsidRDefault="00BB6BAA" w:rsidP="00837046">
            <w:pPr>
              <w:spacing w:line="480" w:lineRule="auto"/>
              <w:rPr>
                <w:rFonts w:ascii="Aptos" w:hAnsi="Aptos"/>
                <w:color w:val="263238"/>
                <w:sz w:val="20"/>
                <w:szCs w:val="20"/>
              </w:rPr>
            </w:pPr>
            <w:r>
              <w:rPr>
                <w:rFonts w:ascii="Aptos" w:hAnsi="Aptos"/>
                <w:color w:val="263238"/>
                <w:sz w:val="20"/>
                <w:szCs w:val="20"/>
              </w:rPr>
              <w:t>Rewrite broad claims as bounded descriptive findings</w:t>
            </w:r>
          </w:p>
        </w:tc>
        <w:tc>
          <w:tcPr>
            <w:tcW w:w="0" w:type="auto"/>
            <w:tcBorders>
              <w:top w:val="single" w:sz="6" w:space="0" w:color="C7D3DC"/>
              <w:left w:val="nil"/>
              <w:bottom w:val="single" w:sz="12" w:space="0" w:color="16324F"/>
              <w:right w:val="nil"/>
            </w:tcBorders>
            <w:shd w:val="clear" w:color="000000" w:fill="F4F6F7"/>
            <w:vAlign w:val="center"/>
            <w:hideMark/>
          </w:tcPr>
          <w:p w14:paraId="4C43DBB0" w14:textId="77777777" w:rsidR="00BB6BAA" w:rsidRDefault="00BB6BAA" w:rsidP="00837046">
            <w:pPr>
              <w:spacing w:line="480" w:lineRule="auto"/>
              <w:rPr>
                <w:rFonts w:ascii="Aptos" w:hAnsi="Aptos"/>
                <w:color w:val="263238"/>
                <w:sz w:val="20"/>
                <w:szCs w:val="20"/>
              </w:rPr>
            </w:pPr>
            <w:r>
              <w:rPr>
                <w:rFonts w:ascii="Aptos" w:hAnsi="Aptos"/>
                <w:color w:val="263238"/>
                <w:sz w:val="20"/>
                <w:szCs w:val="20"/>
              </w:rPr>
              <w:t>Maintains disparity versus discrimination and names the claim's ceiling</w:t>
            </w:r>
          </w:p>
        </w:tc>
        <w:tc>
          <w:tcPr>
            <w:tcW w:w="0" w:type="auto"/>
            <w:tcBorders>
              <w:top w:val="single" w:sz="6" w:space="0" w:color="C7D3DC"/>
              <w:left w:val="nil"/>
              <w:bottom w:val="single" w:sz="12" w:space="0" w:color="16324F"/>
              <w:right w:val="nil"/>
            </w:tcBorders>
            <w:shd w:val="clear" w:color="000000" w:fill="F4F6F7"/>
            <w:vAlign w:val="center"/>
            <w:hideMark/>
          </w:tcPr>
          <w:p w14:paraId="624FC028" w14:textId="77777777" w:rsidR="00BB6BAA" w:rsidRDefault="00BB6BAA" w:rsidP="00837046">
            <w:pPr>
              <w:spacing w:line="480" w:lineRule="auto"/>
              <w:rPr>
                <w:rFonts w:ascii="Aptos" w:hAnsi="Aptos"/>
                <w:color w:val="263238"/>
                <w:sz w:val="20"/>
                <w:szCs w:val="20"/>
              </w:rPr>
            </w:pPr>
            <w:r>
              <w:rPr>
                <w:rFonts w:ascii="Aptos" w:hAnsi="Aptos"/>
                <w:color w:val="263238"/>
                <w:sz w:val="20"/>
                <w:szCs w:val="20"/>
              </w:rPr>
              <w:t>Submits a reproducible, noncausal conclusion</w:t>
            </w:r>
          </w:p>
        </w:tc>
      </w:tr>
    </w:tbl>
    <w:p w14:paraId="01E84ADC" w14:textId="138B8AB2" w:rsidR="00155266" w:rsidRPr="00155266" w:rsidRDefault="00BB6BAA" w:rsidP="00837046">
      <w:pPr>
        <w:spacing w:line="480" w:lineRule="auto"/>
        <w:rPr>
          <w:rFonts w:eastAsiaTheme="majorEastAsia"/>
        </w:rPr>
      </w:pPr>
      <w:r w:rsidRPr="00155266">
        <w:rPr>
          <w:rFonts w:eastAsiaTheme="majorEastAsia"/>
        </w:rPr>
        <w:t xml:space="preserve"> </w:t>
      </w:r>
      <w:r w:rsidR="00155266" w:rsidRPr="00155266">
        <w:rPr>
          <w:rFonts w:eastAsiaTheme="majorEastAsia"/>
        </w:rPr>
        <w:t>The checkpoints are intended to reveal reasoning, not merely whether students obtained the expected number. A correct statistic paired with an incorrect population definition remains an incorrect response. Conversely, noticing that a cell is too small or that a proposed causal question cannot be answered is evidence of the capability the curriculum seeks to develop.</w:t>
      </w:r>
    </w:p>
    <w:p w14:paraId="7356338A" w14:textId="156F35D5" w:rsidR="00155266" w:rsidRPr="00155266" w:rsidRDefault="00155266" w:rsidP="00837046">
      <w:pPr>
        <w:pStyle w:val="Heading3"/>
        <w:spacing w:line="480" w:lineRule="auto"/>
      </w:pPr>
      <w:r w:rsidRPr="00155266">
        <w:t>Design Tradeoffs</w:t>
      </w:r>
    </w:p>
    <w:p w14:paraId="35931529" w14:textId="2403224D" w:rsidR="00155266" w:rsidRPr="00155266" w:rsidRDefault="00155266" w:rsidP="00837046">
      <w:pPr>
        <w:spacing w:line="480" w:lineRule="auto"/>
        <w:rPr>
          <w:rFonts w:eastAsiaTheme="majorEastAsia"/>
        </w:rPr>
      </w:pPr>
      <w:r w:rsidRPr="00155266">
        <w:rPr>
          <w:rFonts w:eastAsiaTheme="majorEastAsia"/>
        </w:rPr>
        <w:t>The sequence delays some complexity. Students use *time* descriptively before receiving the full account of presumptive, pronounced, executed, and served time. This makes early statistical practice accessible, but it risks allowing an oversimplified meaning to settle. The later module therefore explicitly revises the earlier interpretation. Delayed complexity is defensible only when the curriculum returns to the simplification and names its limits.</w:t>
      </w:r>
    </w:p>
    <w:p w14:paraId="12727B7C" w14:textId="27A94685" w:rsidR="00155266" w:rsidRPr="00155266" w:rsidRDefault="00155266" w:rsidP="00837046">
      <w:pPr>
        <w:spacing w:line="480" w:lineRule="auto"/>
        <w:rPr>
          <w:rFonts w:eastAsiaTheme="majorEastAsia"/>
        </w:rPr>
      </w:pPr>
      <w:r w:rsidRPr="00155266">
        <w:rPr>
          <w:rFonts w:eastAsiaTheme="majorEastAsia"/>
        </w:rPr>
        <w:t>Repetition creates a related tradeoff. The funnel, unit, denominator, population, and claim type recur across modules. Excessive repetition can feel formulaic; insufficient repetition leaves these checks as advice rather than habits. The design varies the context while retaining the questions. The same population check appears first in a basic filter, later in an executed-sentence calculation, and finally in a racial disparity analysis.</w:t>
      </w:r>
    </w:p>
    <w:p w14:paraId="5FEE00B4" w14:textId="1CE566E6" w:rsidR="00155266" w:rsidRPr="00155266" w:rsidRDefault="00155266" w:rsidP="00837046">
      <w:pPr>
        <w:spacing w:line="480" w:lineRule="auto"/>
        <w:rPr>
          <w:rFonts w:eastAsiaTheme="majorEastAsia"/>
        </w:rPr>
      </w:pPr>
      <w:r w:rsidRPr="00155266">
        <w:rPr>
          <w:rFonts w:eastAsiaTheme="majorEastAsia"/>
        </w:rPr>
        <w:lastRenderedPageBreak/>
        <w:t>Sensitive comparisons require an ethical progression. Race is not used as an attention-grabbing opening example. Students encounter it after practicing composition and conditioning with sentencing mechanics and sex. The design also avoids presenting categories as complete accounts of human identity or conduct. Small groups are treated cautiously, and a precise number is not allowed to conceal a fragile denominator.</w:t>
      </w:r>
    </w:p>
    <w:p w14:paraId="489DE48A" w14:textId="77777777" w:rsidR="00155266" w:rsidRPr="00155266" w:rsidRDefault="00155266" w:rsidP="00837046">
      <w:pPr>
        <w:spacing w:line="480" w:lineRule="auto"/>
        <w:rPr>
          <w:rFonts w:eastAsiaTheme="majorEastAsia"/>
        </w:rPr>
      </w:pPr>
      <w:r w:rsidRPr="00155266">
        <w:rPr>
          <w:rFonts w:eastAsiaTheme="majorEastAsia"/>
        </w:rPr>
        <w:t>Finally, accessibility must not become oversimplification. The Explorer permits meaningful investigation without requiring regression or programming, but the absence of advanced modeling does not make descriptive analysis causally decisive. Technical accessibility is paired with explicit boundaries: filters create more comparable observed populations, not experimental control; crosstabs display associations, not mechanisms; and administrative categories make analysis possible while suppressing detail.</w:t>
      </w:r>
    </w:p>
    <w:p w14:paraId="6C55523B" w14:textId="77777777" w:rsidR="00155266" w:rsidRPr="00155266" w:rsidRDefault="00155266" w:rsidP="00837046">
      <w:pPr>
        <w:spacing w:line="480" w:lineRule="auto"/>
        <w:rPr>
          <w:rFonts w:eastAsiaTheme="majorEastAsia"/>
        </w:rPr>
      </w:pPr>
    </w:p>
    <w:p w14:paraId="204081F2" w14:textId="77777777" w:rsidR="00155266" w:rsidRPr="00155266" w:rsidRDefault="00155266" w:rsidP="00837046">
      <w:pPr>
        <w:spacing w:line="480" w:lineRule="auto"/>
        <w:rPr>
          <w:rFonts w:eastAsiaTheme="majorEastAsia"/>
        </w:rPr>
      </w:pPr>
      <w:r w:rsidRPr="00155266">
        <w:rPr>
          <w:rFonts w:eastAsiaTheme="majorEastAsia"/>
        </w:rPr>
        <w:t>## Pedagogical Theory of Change: Design Rationale, Not Proven Outcome</w:t>
      </w:r>
    </w:p>
    <w:p w14:paraId="65C5D297" w14:textId="77777777" w:rsidR="00155266" w:rsidRPr="00155266" w:rsidRDefault="00155266" w:rsidP="00837046">
      <w:pPr>
        <w:spacing w:line="480" w:lineRule="auto"/>
        <w:rPr>
          <w:rFonts w:eastAsiaTheme="majorEastAsia"/>
        </w:rPr>
      </w:pPr>
    </w:p>
    <w:p w14:paraId="712CD51A" w14:textId="77777777" w:rsidR="00155266" w:rsidRPr="00155266" w:rsidRDefault="00155266" w:rsidP="00837046">
      <w:pPr>
        <w:spacing w:line="480" w:lineRule="auto"/>
        <w:rPr>
          <w:rFonts w:eastAsiaTheme="majorEastAsia"/>
        </w:rPr>
      </w:pPr>
      <w:r w:rsidRPr="00155266">
        <w:rPr>
          <w:rFonts w:eastAsiaTheme="majorEastAsia"/>
        </w:rPr>
        <w:t>The project’s theory of change is that responsible interpretation becomes more learnable when ordinarily hidden analytical decisions are made visible and repeatedly practiced. If students must define a population whenever they filter, identify the unit whenever they count, inspect N whenever they summarize, reconstruct the history whenever they report a result, and name the evidentiary ceiling whenever they compare groups, then methodological restraint becomes part of analysis rather than an afterthought.</w:t>
      </w:r>
    </w:p>
    <w:p w14:paraId="5FF83603" w14:textId="77777777" w:rsidR="00155266" w:rsidRPr="00155266" w:rsidRDefault="00155266" w:rsidP="00837046">
      <w:pPr>
        <w:spacing w:line="480" w:lineRule="auto"/>
        <w:rPr>
          <w:rFonts w:eastAsiaTheme="majorEastAsia"/>
        </w:rPr>
      </w:pPr>
    </w:p>
    <w:p w14:paraId="503CFCC3" w14:textId="77777777" w:rsidR="00155266" w:rsidRPr="00155266" w:rsidRDefault="00155266" w:rsidP="00837046">
      <w:pPr>
        <w:spacing w:line="480" w:lineRule="auto"/>
        <w:rPr>
          <w:rFonts w:eastAsiaTheme="majorEastAsia"/>
        </w:rPr>
      </w:pPr>
      <w:r w:rsidRPr="00155266">
        <w:rPr>
          <w:rFonts w:eastAsiaTheme="majorEastAsia"/>
        </w:rPr>
        <w:lastRenderedPageBreak/>
        <w:t>The Explorer supports this rationale by externalizing the construction of the analytical population. The curriculum supports it by returning to the same questions as the subject matter becomes more complex and ethically consequential. The capstone then asks students to coordinate the capabilities in an investigation of their own: pose a descriptive question, construct a reproducible population, choose suitable summaries, compare responsibly, and communicate what the sentencing records show without claiming what they cannot establish.</w:t>
      </w:r>
    </w:p>
    <w:p w14:paraId="4EB99F5A" w14:textId="77777777" w:rsidR="00155266" w:rsidRPr="00155266" w:rsidRDefault="00155266" w:rsidP="00837046">
      <w:pPr>
        <w:spacing w:line="480" w:lineRule="auto"/>
        <w:rPr>
          <w:rFonts w:eastAsiaTheme="majorEastAsia"/>
        </w:rPr>
      </w:pPr>
    </w:p>
    <w:p w14:paraId="5A045281" w14:textId="7CBCFA7E" w:rsidR="00155266" w:rsidRPr="00155266" w:rsidRDefault="00155266" w:rsidP="00837046">
      <w:pPr>
        <w:spacing w:line="480" w:lineRule="auto"/>
        <w:rPr>
          <w:rFonts w:eastAsiaTheme="majorEastAsia"/>
        </w:rPr>
      </w:pPr>
      <w:r w:rsidRPr="00155266">
        <w:rPr>
          <w:rFonts w:eastAsiaTheme="majorEastAsia"/>
        </w:rPr>
        <w:t>This is a pedagogical design rationale, not a demonstrated educational effect. Whether learners acquire these capabilities, transfer them to unfamiliar datasets, or retain them over time requires evaluation beyond the present design account. The intended contribution is therefore specific: a structured method for teaching students to make defensible claims from Minnesota sentencing records while keeping population, provenance, unit, composition, and causation in view.</w:t>
      </w:r>
    </w:p>
    <w:p w14:paraId="4D1E6F13" w14:textId="671A8DDC" w:rsidR="00155266" w:rsidRDefault="00155266" w:rsidP="00837046">
      <w:pPr>
        <w:pStyle w:val="Heading3"/>
        <w:spacing w:line="480" w:lineRule="auto"/>
      </w:pPr>
      <w:r w:rsidRPr="00155266">
        <w:t>Provisional References</w:t>
      </w:r>
    </w:p>
    <w:p w14:paraId="0B812D17" w14:textId="77777777" w:rsidR="0081420F" w:rsidRPr="0081420F" w:rsidRDefault="0081420F" w:rsidP="00837046">
      <w:pPr>
        <w:spacing w:line="480" w:lineRule="auto"/>
      </w:pPr>
    </w:p>
    <w:p w14:paraId="2397FE40" w14:textId="77777777" w:rsidR="00155266" w:rsidRPr="00155266" w:rsidRDefault="00155266" w:rsidP="00837046">
      <w:pPr>
        <w:spacing w:line="480" w:lineRule="auto"/>
        <w:rPr>
          <w:rFonts w:eastAsiaTheme="majorEastAsia"/>
        </w:rPr>
      </w:pPr>
      <w:r w:rsidRPr="00155266">
        <w:rPr>
          <w:rFonts w:eastAsiaTheme="majorEastAsia"/>
        </w:rPr>
        <w:t>Bickel, P. J., Hammel, E. A., &amp; O’Connell, J. W. (1975). Sex bias in graduate admissions: Data from Berkeley. *Science, 187*(4175), 398–404. https://doi.org/10.1126/science.187.4175.398</w:t>
      </w:r>
    </w:p>
    <w:p w14:paraId="1901A8A1" w14:textId="77777777" w:rsidR="00155266" w:rsidRPr="00155266" w:rsidRDefault="00155266" w:rsidP="00837046">
      <w:pPr>
        <w:spacing w:line="480" w:lineRule="auto"/>
        <w:rPr>
          <w:rFonts w:eastAsiaTheme="majorEastAsia"/>
        </w:rPr>
      </w:pPr>
    </w:p>
    <w:p w14:paraId="6FAEF7FC" w14:textId="77777777" w:rsidR="00155266" w:rsidRPr="00155266" w:rsidRDefault="00155266" w:rsidP="00837046">
      <w:pPr>
        <w:spacing w:line="480" w:lineRule="auto"/>
        <w:rPr>
          <w:rFonts w:eastAsiaTheme="majorEastAsia"/>
        </w:rPr>
      </w:pPr>
      <w:r w:rsidRPr="00155266">
        <w:rPr>
          <w:rFonts w:eastAsiaTheme="majorEastAsia"/>
        </w:rPr>
        <w:t>Connelly, R., Playford, C. J., Gayle, V., &amp; Dibben, C. (2016). The role of administrative data in the big data revolution in social science research. *Social Science Research, 59*, 1–12. https://doi.org/10.1016/j.ssresearch.2016.04.015</w:t>
      </w:r>
    </w:p>
    <w:p w14:paraId="266C7409" w14:textId="77777777" w:rsidR="00155266" w:rsidRPr="00155266" w:rsidRDefault="00155266" w:rsidP="00837046">
      <w:pPr>
        <w:spacing w:line="480" w:lineRule="auto"/>
        <w:rPr>
          <w:rFonts w:eastAsiaTheme="majorEastAsia"/>
        </w:rPr>
      </w:pPr>
    </w:p>
    <w:p w14:paraId="29AC4FEB" w14:textId="77777777" w:rsidR="00155266" w:rsidRPr="00155266" w:rsidRDefault="00155266" w:rsidP="00837046">
      <w:pPr>
        <w:spacing w:line="480" w:lineRule="auto"/>
        <w:rPr>
          <w:rFonts w:eastAsiaTheme="majorEastAsia"/>
        </w:rPr>
      </w:pPr>
      <w:r w:rsidRPr="00155266">
        <w:rPr>
          <w:rFonts w:eastAsiaTheme="majorEastAsia"/>
        </w:rPr>
        <w:lastRenderedPageBreak/>
        <w:t>Elwert, F., &amp; Winship, C. (2014). Endogenous selection bias: The problem of conditioning on a collider variable. *Annual Review of Sociology, 40*, 31–53. https://doi.org/10.1146/annurev-soc-071913-043455</w:t>
      </w:r>
    </w:p>
    <w:p w14:paraId="5282AB42" w14:textId="77777777" w:rsidR="00155266" w:rsidRPr="00155266" w:rsidRDefault="00155266" w:rsidP="00837046">
      <w:pPr>
        <w:spacing w:line="480" w:lineRule="auto"/>
        <w:rPr>
          <w:rFonts w:eastAsiaTheme="majorEastAsia"/>
        </w:rPr>
      </w:pPr>
    </w:p>
    <w:p w14:paraId="79F0E85A" w14:textId="77777777" w:rsidR="00155266" w:rsidRPr="00155266" w:rsidRDefault="00155266" w:rsidP="00837046">
      <w:pPr>
        <w:spacing w:line="480" w:lineRule="auto"/>
        <w:rPr>
          <w:rFonts w:eastAsiaTheme="majorEastAsia"/>
        </w:rPr>
      </w:pPr>
      <w:r w:rsidRPr="00155266">
        <w:rPr>
          <w:rFonts w:eastAsiaTheme="majorEastAsia"/>
        </w:rPr>
        <w:t>Minnesota Sentencing Guidelines Commission. (2018). *Sentencing practices: Annual summary statistics for felony cases sentenced in 2017*. https://mn.gov/msgc-stat/documents/reports/2017/UpdatedMSGC2017AnnualSummaryStatistics.pdf</w:t>
      </w:r>
    </w:p>
    <w:p w14:paraId="2A0EBBAF" w14:textId="77777777" w:rsidR="00155266" w:rsidRPr="00155266" w:rsidRDefault="00155266" w:rsidP="00837046">
      <w:pPr>
        <w:spacing w:line="480" w:lineRule="auto"/>
        <w:rPr>
          <w:rFonts w:eastAsiaTheme="majorEastAsia"/>
        </w:rPr>
      </w:pPr>
    </w:p>
    <w:p w14:paraId="1242ED23" w14:textId="77777777" w:rsidR="00155266" w:rsidRPr="00155266" w:rsidRDefault="00155266" w:rsidP="00837046">
      <w:pPr>
        <w:spacing w:line="480" w:lineRule="auto"/>
        <w:rPr>
          <w:rFonts w:eastAsiaTheme="majorEastAsia"/>
        </w:rPr>
      </w:pPr>
      <w:r w:rsidRPr="00155266">
        <w:rPr>
          <w:rFonts w:eastAsiaTheme="majorEastAsia"/>
        </w:rPr>
        <w:t>National Research Council. (2004). *Measuring racial discrimination*. National Academies Press. https://doi.org/10.17226/10887</w:t>
      </w:r>
    </w:p>
    <w:p w14:paraId="2C9012E9" w14:textId="77777777" w:rsidR="00155266" w:rsidRPr="00155266" w:rsidRDefault="00155266" w:rsidP="00837046">
      <w:pPr>
        <w:spacing w:line="480" w:lineRule="auto"/>
        <w:rPr>
          <w:rFonts w:eastAsiaTheme="majorEastAsia"/>
        </w:rPr>
      </w:pPr>
    </w:p>
    <w:p w14:paraId="2E323B27" w14:textId="77777777" w:rsidR="00155266" w:rsidRPr="00155266" w:rsidRDefault="00155266" w:rsidP="00837046">
      <w:pPr>
        <w:spacing w:line="480" w:lineRule="auto"/>
        <w:rPr>
          <w:rFonts w:eastAsiaTheme="majorEastAsia"/>
        </w:rPr>
      </w:pPr>
      <w:r w:rsidRPr="00155266">
        <w:rPr>
          <w:rFonts w:eastAsiaTheme="majorEastAsia"/>
        </w:rPr>
        <w:t>Rosenbaum, P. R. (1984). The consequences of adjustment for a concomitant variable that has been affected by the treatment. *Journal of the Royal Statistical Society: Series A (General), 147*(5), 656–666. https://doi.org/10.2307/2981697</w:t>
      </w:r>
    </w:p>
    <w:p w14:paraId="58141E15" w14:textId="77777777" w:rsidR="00155266" w:rsidRPr="00155266" w:rsidRDefault="00155266" w:rsidP="00837046">
      <w:pPr>
        <w:spacing w:line="480" w:lineRule="auto"/>
        <w:rPr>
          <w:rFonts w:eastAsiaTheme="majorEastAsia"/>
        </w:rPr>
      </w:pPr>
    </w:p>
    <w:p w14:paraId="378837D3" w14:textId="481176C3" w:rsidR="0081420F" w:rsidRDefault="00155266" w:rsidP="00837046">
      <w:pPr>
        <w:spacing w:line="480" w:lineRule="auto"/>
        <w:rPr>
          <w:rFonts w:eastAsiaTheme="majorEastAsia"/>
          <w:b/>
          <w:bCs/>
        </w:rPr>
      </w:pPr>
      <w:r w:rsidRPr="00155266">
        <w:rPr>
          <w:rFonts w:eastAsiaTheme="majorEastAsia"/>
        </w:rPr>
        <w:t>Rothbard, A. (2013). *Quality issues in the use of administrative data records*. Actionable Intelligence for Social Policy, University of Pennsylvania. https://aisp.upenn.edu/wp-content/uploads/2015/06/Data-Quality-Paper_Final.pdf</w:t>
      </w:r>
      <w:r w:rsidRPr="00155266">
        <w:rPr>
          <w:rFonts w:eastAsiaTheme="majorEastAsia"/>
          <w:b/>
          <w:bCs/>
        </w:rPr>
        <w:t xml:space="preserve"> </w:t>
      </w:r>
    </w:p>
    <w:p w14:paraId="3DD4DF07" w14:textId="77777777" w:rsidR="0081420F" w:rsidRPr="00B67E15" w:rsidRDefault="0081420F" w:rsidP="00837046">
      <w:pPr>
        <w:spacing w:line="480" w:lineRule="auto"/>
        <w:rPr>
          <w:rFonts w:eastAsiaTheme="majorEastAsia"/>
          <w:b/>
          <w:bCs/>
        </w:rPr>
      </w:pPr>
    </w:p>
    <w:p w14:paraId="1DFEA606" w14:textId="41EDE928" w:rsidR="0081420F" w:rsidRPr="0081420F" w:rsidRDefault="0081420F" w:rsidP="00837046">
      <w:pPr>
        <w:pStyle w:val="Heading2"/>
        <w:spacing w:line="480" w:lineRule="auto"/>
      </w:pPr>
      <w:r w:rsidRPr="0081420F">
        <w:lastRenderedPageBreak/>
        <w:t>Chapter 5: Demonstrating the Framework</w:t>
      </w:r>
    </w:p>
    <w:p w14:paraId="5F8F388F" w14:textId="2AA113F5" w:rsidR="0081420F" w:rsidRPr="0081420F" w:rsidRDefault="0081420F" w:rsidP="00837046">
      <w:pPr>
        <w:pStyle w:val="Heading3"/>
        <w:spacing w:line="480" w:lineRule="auto"/>
      </w:pPr>
      <w:r w:rsidRPr="0081420F">
        <w:t>Demonstration as an Argument, Not an Evaluation</w:t>
      </w:r>
    </w:p>
    <w:p w14:paraId="19EB0EEF" w14:textId="125C8E2A" w:rsidR="0081420F" w:rsidRPr="0081420F" w:rsidRDefault="0081420F" w:rsidP="00837046">
      <w:pPr>
        <w:spacing w:line="480" w:lineRule="auto"/>
        <w:rPr>
          <w:rFonts w:eastAsiaTheme="majorEastAsia"/>
        </w:rPr>
      </w:pPr>
      <w:r w:rsidRPr="0081420F">
        <w:rPr>
          <w:rFonts w:eastAsiaTheme="majorEastAsia"/>
        </w:rPr>
        <w:t>The Minnesota Sentencing Explorer is designed to make interpretive decisions visible. Its contribution is best demonstrated through a small number of analyses in which the meaning of a result changes as the population, variable, or comparison is defined more carefully. The purpose of these demonstrations is not to inventory every feature of the Explorer or reproduce every activity in the curriculum. It is to show that the project’s central framework can be applied coherently to consequential questions about sentencing data.</w:t>
      </w:r>
    </w:p>
    <w:p w14:paraId="08841BFD" w14:textId="5D369770" w:rsidR="0081420F" w:rsidRPr="0081420F" w:rsidRDefault="0081420F" w:rsidP="00837046">
      <w:pPr>
        <w:spacing w:line="480" w:lineRule="auto"/>
        <w:rPr>
          <w:rFonts w:eastAsiaTheme="majorEastAsia"/>
        </w:rPr>
      </w:pPr>
      <w:r w:rsidRPr="0081420F">
        <w:rPr>
          <w:rFonts w:eastAsiaTheme="majorEastAsia"/>
        </w:rPr>
        <w:t>Each demonstration follows the same discipline. First, it identifies the population represented by the statistic. Second, it treats the variables as products of an administrative and legal system rather than as self-explanatory measurements. Third, it separates a documented pattern from an explanation of its cause. These steps do not make descriptive analysis causal. They clarify what the descriptive evidence can support and where its authority ends.</w:t>
      </w:r>
    </w:p>
    <w:p w14:paraId="5AF3B4F7" w14:textId="0EAE8410" w:rsidR="0081420F" w:rsidRPr="0081420F" w:rsidRDefault="0081420F" w:rsidP="00837046">
      <w:pPr>
        <w:spacing w:line="480" w:lineRule="auto"/>
        <w:rPr>
          <w:rFonts w:eastAsiaTheme="majorEastAsia"/>
        </w:rPr>
      </w:pPr>
      <w:r w:rsidRPr="0081420F">
        <w:rPr>
          <w:rFonts w:eastAsiaTheme="majorEastAsia"/>
        </w:rPr>
        <w:t>The demonstrations also have an important evaluative limit. They establish that the Explorer’s operations correspond to the interpretive principles developed in the preceding chapters. They do not establish that students learn those principles, retain them, or transfer them to unfamiliar data. Those questions require separate evidence. The present chapter demonstrates framework coherence, not learning effectiveness.</w:t>
      </w:r>
    </w:p>
    <w:p w14:paraId="067DB65E" w14:textId="5C56F2D4" w:rsidR="0081420F" w:rsidRPr="0081420F" w:rsidRDefault="0081420F" w:rsidP="00837046">
      <w:pPr>
        <w:pStyle w:val="Heading3"/>
        <w:spacing w:line="480" w:lineRule="auto"/>
      </w:pPr>
      <w:r w:rsidRPr="0081420F">
        <w:t>Defining the Population Before Reading the Result</w:t>
      </w:r>
    </w:p>
    <w:p w14:paraId="1F65FB32" w14:textId="580D1382" w:rsidR="0081420F" w:rsidRPr="0081420F" w:rsidRDefault="0081420F" w:rsidP="00837046">
      <w:pPr>
        <w:spacing w:line="480" w:lineRule="auto"/>
        <w:rPr>
          <w:rFonts w:eastAsiaTheme="majorEastAsia"/>
        </w:rPr>
      </w:pPr>
      <w:r w:rsidRPr="0081420F">
        <w:rPr>
          <w:rFonts w:eastAsiaTheme="majorEastAsia"/>
        </w:rPr>
        <w:t xml:space="preserve">The unfiltered Explorer contains 294,467 Minnesota felony sentencing records from 2001 through 2019 (Minnesota Sentencing Explorer, 2026). That number is the starting population for analysis, but its meaning depends on the unit of analysis. It is not a count of crimes committed in Minnesota, </w:t>
      </w:r>
      <w:r w:rsidRPr="0081420F">
        <w:rPr>
          <w:rFonts w:eastAsiaTheme="majorEastAsia"/>
        </w:rPr>
        <w:lastRenderedPageBreak/>
        <w:t>and it is not a count of unique people. It is the number of sentencing records included in the file. The data describe cases that reached felony sentencing after passing through earlier stages of reporting, policing, charging, plea negotiation, conviction, and case processing.</w:t>
      </w:r>
    </w:p>
    <w:p w14:paraId="2AD11AD5" w14:textId="79159C12" w:rsidR="0081420F" w:rsidRPr="0081420F" w:rsidRDefault="0081420F" w:rsidP="00837046">
      <w:pPr>
        <w:spacing w:line="480" w:lineRule="auto"/>
        <w:rPr>
          <w:rFonts w:eastAsiaTheme="majorEastAsia"/>
        </w:rPr>
      </w:pPr>
      <w:r w:rsidRPr="0081420F">
        <w:rPr>
          <w:rFonts w:eastAsiaTheme="majorEastAsia"/>
        </w:rPr>
        <w:t>A first filter illustrates how an apparently simple interface operation changes the scope of every subsequent claim. Applying `sentyear &gt;= 2015` reduces the population from 294,467 to 87,597 sentencing records. A statistic calculated in this view no longer describes the full 2001–2019 file. It describes records sentenced from 2015 through 2019. The arithmetic may be identical to the arithmetic used in the unfiltered view, but the population to which it applies has changed.</w:t>
      </w:r>
    </w:p>
    <w:p w14:paraId="028C0151" w14:textId="114AAE83" w:rsidR="0081420F" w:rsidRPr="0081420F" w:rsidRDefault="0081420F" w:rsidP="00837046">
      <w:pPr>
        <w:spacing w:line="480" w:lineRule="auto"/>
        <w:rPr>
          <w:rFonts w:eastAsiaTheme="majorEastAsia"/>
        </w:rPr>
      </w:pPr>
      <w:r w:rsidRPr="0081420F">
        <w:rPr>
          <w:rFonts w:eastAsiaTheme="majorEastAsia"/>
        </w:rPr>
        <w:t>Adding `moc1 == A`, the assault branch of the Minnesota Offense Code as represented in the Explorer file, narrows the population again, from 87,597 to 12,951 sentencing records (Minnesota Sentencing Explorer, 2026). The permissible claim is now correspondingly specific: the resulting statistic describes assault-branch sentencing records from 2015 through 2019 that are present in this dataset. It does not describe all assaults during those years, all people arrested for assault, or even every assault count associated with the included sentencing events.</w:t>
      </w:r>
    </w:p>
    <w:p w14:paraId="3BE59626" w14:textId="0C1B6051" w:rsidR="0081420F" w:rsidRPr="0081420F" w:rsidRDefault="0081420F" w:rsidP="00837046">
      <w:pPr>
        <w:spacing w:line="480" w:lineRule="auto"/>
        <w:rPr>
          <w:rFonts w:eastAsiaTheme="majorEastAsia"/>
        </w:rPr>
      </w:pPr>
      <w:r w:rsidRPr="0081420F">
        <w:rPr>
          <w:rFonts w:eastAsiaTheme="majorEastAsia"/>
        </w:rPr>
        <w:t>The ordered filter history preserves these boundaries. A reader can reconstruct the movement from the full file, to the five-year period, to the offense branch. The history therefore serves as a compact record of method. It reveals not only the final population but how that population was constructed. Reverting the offense filter returns the view to 87,597 records; clearing the history returns it to 294,467. These are methodological reversals as well as software operations.</w:t>
      </w:r>
    </w:p>
    <w:p w14:paraId="215CBDF0" w14:textId="3AC7552D" w:rsidR="0081420F" w:rsidRPr="0081420F" w:rsidRDefault="0081420F" w:rsidP="00837046">
      <w:pPr>
        <w:spacing w:line="480" w:lineRule="auto"/>
        <w:rPr>
          <w:rFonts w:eastAsiaTheme="majorEastAsia"/>
        </w:rPr>
      </w:pPr>
      <w:r w:rsidRPr="0081420F">
        <w:rPr>
          <w:rFonts w:eastAsiaTheme="majorEastAsia"/>
        </w:rPr>
        <w:t xml:space="preserve">The demonstration matters because many errors occur after a calculation has been performed correctly. A mean, percentage, or median can be numerically accurate and still be attached to a population broader than the one actually analyzed. By requiring the analyst to name the current </w:t>
      </w:r>
      <w:r w:rsidRPr="0081420F">
        <w:rPr>
          <w:rFonts w:eastAsiaTheme="majorEastAsia"/>
        </w:rPr>
        <w:lastRenderedPageBreak/>
        <w:t>population and preserve the filter chain, the Explorer places population definition inside the finding rather than relegating it to an afterthought.</w:t>
      </w:r>
    </w:p>
    <w:p w14:paraId="61B9EECF" w14:textId="23981846" w:rsidR="0081420F" w:rsidRPr="0081420F" w:rsidRDefault="0081420F" w:rsidP="00837046">
      <w:pPr>
        <w:pStyle w:val="Heading3"/>
        <w:spacing w:line="480" w:lineRule="auto"/>
      </w:pPr>
      <w:r w:rsidRPr="0081420F">
        <w:t>Interpreting Presumptive Sentence Duration</w:t>
      </w:r>
    </w:p>
    <w:p w14:paraId="0EB33358" w14:textId="1050D179" w:rsidR="0081420F" w:rsidRPr="0081420F" w:rsidRDefault="0081420F" w:rsidP="00837046">
      <w:pPr>
        <w:spacing w:line="480" w:lineRule="auto"/>
        <w:rPr>
          <w:rFonts w:eastAsiaTheme="majorEastAsia"/>
        </w:rPr>
      </w:pPr>
      <w:r w:rsidRPr="0081420F">
        <w:rPr>
          <w:rFonts w:eastAsiaTheme="majorEastAsia"/>
        </w:rPr>
        <w:t>The variable `time` provides a second demonstration because it can be misread at two levels: statistically and substantively. Statistically, its distribution is skewed. Substantively, it records presumptive sentence duration, not automatically the punishment pronounced or the time served.</w:t>
      </w:r>
    </w:p>
    <w:p w14:paraId="2EB1332D" w14:textId="4F842A3D" w:rsidR="0081420F" w:rsidRPr="0081420F" w:rsidRDefault="0081420F" w:rsidP="00837046">
      <w:pPr>
        <w:spacing w:line="480" w:lineRule="auto"/>
        <w:rPr>
          <w:rFonts w:eastAsiaTheme="majorEastAsia"/>
        </w:rPr>
      </w:pPr>
      <w:r w:rsidRPr="0081420F">
        <w:rPr>
          <w:rFonts w:eastAsiaTheme="majorEastAsia"/>
        </w:rPr>
        <w:t>Among records with nonmissing `time` values in the full dataset, the mean presumptive duration is 27.20 months and the median is 17 months. The standard deviation is 29.76 months (Minnesota Sentencing Explorer, 2026). The mean is higher than the median because the file combines many kinds of felony sentencing records, including a smaller number with much longer presumptive durations. Those long values pull the arithmetic mean upward. The median, which identifies the middle record, is less sensitive to the right tail.</w:t>
      </w:r>
    </w:p>
    <w:p w14:paraId="5EE6F002" w14:textId="1C5552A9" w:rsidR="0081420F" w:rsidRPr="0081420F" w:rsidRDefault="0081420F" w:rsidP="00837046">
      <w:pPr>
        <w:spacing w:line="480" w:lineRule="auto"/>
        <w:rPr>
          <w:rFonts w:eastAsiaTheme="majorEastAsia"/>
        </w:rPr>
      </w:pPr>
      <w:r w:rsidRPr="0081420F">
        <w:rPr>
          <w:rFonts w:eastAsiaTheme="majorEastAsia"/>
        </w:rPr>
        <w:t>Neither measure is inherently superior. The median is usually more informative when the claim concerns a typical sentencing record. The mean can be useful when the question concerns the aggregate months represented by the distribution. The interpretive error is to call either value simply “the average sentence” without identifying the statistic or the population beneath it.</w:t>
      </w:r>
    </w:p>
    <w:p w14:paraId="799ED5D7" w14:textId="1EE4EDD1" w:rsidR="0081420F" w:rsidRPr="0081420F" w:rsidRDefault="0081420F" w:rsidP="00837046">
      <w:pPr>
        <w:spacing w:line="480" w:lineRule="auto"/>
        <w:rPr>
          <w:rFonts w:eastAsiaTheme="majorEastAsia"/>
        </w:rPr>
      </w:pPr>
      <w:r w:rsidRPr="0081420F">
        <w:rPr>
          <w:rFonts w:eastAsiaTheme="majorEastAsia"/>
        </w:rPr>
        <w:t>Filtering can reveal how much of the spread reflects composition. The manuscript’s terroristic-threats example applies `moc1 == A` and `moc2 == 9`, producing 12,110 sentencing records. Within that narrower population, the mean of `time` is 16.13 months, the median is 15 months, and the standard deviation is 5.59 months (Minnesota Sentencing Explorer, 2026). The mean and median are closer, and the distribution is more compact, because the view contains a more comparable group of records. The formula did not change. The population did.</w:t>
      </w:r>
    </w:p>
    <w:p w14:paraId="593466D4" w14:textId="2CA05B8D" w:rsidR="0081420F" w:rsidRPr="0081420F" w:rsidRDefault="0081420F" w:rsidP="00837046">
      <w:pPr>
        <w:spacing w:line="480" w:lineRule="auto"/>
        <w:rPr>
          <w:rFonts w:eastAsiaTheme="majorEastAsia"/>
        </w:rPr>
      </w:pPr>
      <w:r w:rsidRPr="0081420F">
        <w:rPr>
          <w:rFonts w:eastAsiaTheme="majorEastAsia"/>
        </w:rPr>
        <w:lastRenderedPageBreak/>
        <w:t>Even a statistically careful description remains incomplete unless `time` is interpreted according to the sentencing system that produced it. Minnesota’s guidelines combine offense severity and criminal-history score to produce a presumptive disposition and a presumptive duration. The resulting duration is a legally structured recommendation, not a direct measurement of confinement experienced (MSGC, 2024).</w:t>
      </w:r>
    </w:p>
    <w:p w14:paraId="4A59C1C2" w14:textId="77777777" w:rsidR="0081420F" w:rsidRPr="0081420F" w:rsidRDefault="0081420F" w:rsidP="00837046">
      <w:pPr>
        <w:spacing w:line="480" w:lineRule="auto"/>
        <w:rPr>
          <w:rFonts w:eastAsiaTheme="majorEastAsia"/>
        </w:rPr>
      </w:pPr>
      <w:r w:rsidRPr="0081420F">
        <w:rPr>
          <w:rFonts w:eastAsiaTheme="majorEastAsia"/>
        </w:rPr>
        <w:t>A presumptive duration of 15 months therefore does not establish that a person spent 15 months in prison. The sentence may have been stayed. The court may have imposed a duration within the permitted presumptive range or departed from the guideline recommendation. For an executed sentence governed by Minnesota’s ordinary two-thirds structure, the term is divided between imprisonment and supervised release; a 15-month executed sentence would ordinarily correspond to 10 months of imprisonment and 5 months of supervised release (Minn. Stat. § 244.101, 2024). Later revocation or disciplinary decisions may further alter confinement.</w:t>
      </w:r>
    </w:p>
    <w:p w14:paraId="706B1B25" w14:textId="77777777" w:rsidR="0081420F" w:rsidRPr="0081420F" w:rsidRDefault="0081420F" w:rsidP="00837046">
      <w:pPr>
        <w:spacing w:line="480" w:lineRule="auto"/>
        <w:rPr>
          <w:rFonts w:eastAsiaTheme="majorEastAsia"/>
        </w:rPr>
      </w:pPr>
    </w:p>
    <w:p w14:paraId="2DA51C73" w14:textId="76EC3352" w:rsidR="0081420F" w:rsidRPr="0081420F" w:rsidRDefault="0081420F" w:rsidP="00837046">
      <w:pPr>
        <w:spacing w:line="480" w:lineRule="auto"/>
        <w:rPr>
          <w:rFonts w:eastAsiaTheme="majorEastAsia"/>
        </w:rPr>
      </w:pPr>
      <w:r w:rsidRPr="0081420F">
        <w:rPr>
          <w:rFonts w:eastAsiaTheme="majorEastAsia"/>
        </w:rPr>
        <w:t>The terroristic-threats exercise makes the population problem concrete. Applying the two-thirds calculation to the 15-month median for all terroristic-threats records produces correct arithmetic: 10 months plus 5 months. It nevertheless applies a prison-sentence calculation to a population that includes stayed sentences. Only after limiting the view to executed prison sentences does the calculation describe the population to which the rule applies. In the manuscript’s documented exercise, the executed-only median rises to approximately 27 months, while the number of records falls sharply (Minnesota Sentencing Explorer, 2026). The change reflects selection into the executed-sentence population. It does not show that the arithmetic in the first view was faulty; it shows that arithmetic cannot repair an incorrectly defined denominator.</w:t>
      </w:r>
    </w:p>
    <w:p w14:paraId="0C9EBAA7" w14:textId="66B84DC1" w:rsidR="0081420F" w:rsidRPr="0081420F" w:rsidRDefault="0081420F" w:rsidP="00837046">
      <w:pPr>
        <w:pStyle w:val="Heading3"/>
        <w:spacing w:line="480" w:lineRule="auto"/>
      </w:pPr>
      <w:r w:rsidRPr="0081420F">
        <w:lastRenderedPageBreak/>
        <w:t>Reading a Historically Layered Administrative Category</w:t>
      </w:r>
    </w:p>
    <w:p w14:paraId="6E3865EA" w14:textId="05CE4DC1" w:rsidR="0081420F" w:rsidRPr="0081420F" w:rsidRDefault="0081420F" w:rsidP="00837046">
      <w:pPr>
        <w:spacing w:line="480" w:lineRule="auto"/>
        <w:rPr>
          <w:rFonts w:eastAsiaTheme="majorEastAsia"/>
        </w:rPr>
      </w:pPr>
      <w:r w:rsidRPr="0081420F">
        <w:rPr>
          <w:rFonts w:eastAsiaTheme="majorEastAsia"/>
        </w:rPr>
        <w:t>The `severity` field demonstrates a different kind of interpretive risk. It appears to be one variable, but it stores values produced by several sentencing structures. Within the 2001–2019 dataset, the field includes Standard Grid levels 1 through 11, Sex Offender Grid levels A through H, Drug Offender Grid codes stored as 51 through 59, and the text value “Murder 1.” These values do not form one continuous scale.</w:t>
      </w:r>
    </w:p>
    <w:p w14:paraId="23BE9C67" w14:textId="38B4A943" w:rsidR="0081420F" w:rsidRPr="0081420F" w:rsidRDefault="0081420F" w:rsidP="00837046">
      <w:pPr>
        <w:spacing w:line="480" w:lineRule="auto"/>
        <w:rPr>
          <w:rFonts w:eastAsiaTheme="majorEastAsia"/>
        </w:rPr>
      </w:pPr>
      <w:r w:rsidRPr="0081420F">
        <w:rPr>
          <w:rFonts w:eastAsiaTheme="majorEastAsia"/>
        </w:rPr>
        <w:t>The numeric levels belong to the Standard Grid. The lettered values belong to the separate Sex Offender Grid used for covered offenses committed on or after August 1, 2006. The fifty-series values appear after Minnesota’s 2016 drug-sentencing reforms and correspond in the dataset to the separate Drug Offender Grid. A bare `D` is therefore a sex-offender severity level, not a drug-grid label. First-degree murder occupies a fourth category: Minnesota law prescribes mandatory life imprisonment, so the Guidelines do not assign it an ordinary grid severity level (Minn. Stat. § 609.185, 2025; MSGC, 2019).</w:t>
      </w:r>
    </w:p>
    <w:p w14:paraId="4FC3934D" w14:textId="4023CE78" w:rsidR="0081420F" w:rsidRPr="0081420F" w:rsidRDefault="0081420F" w:rsidP="00837046">
      <w:pPr>
        <w:spacing w:line="480" w:lineRule="auto"/>
        <w:rPr>
          <w:rFonts w:eastAsiaTheme="majorEastAsia"/>
        </w:rPr>
      </w:pPr>
      <w:r w:rsidRPr="0081420F">
        <w:rPr>
          <w:rFonts w:eastAsiaTheme="majorEastAsia"/>
        </w:rPr>
        <w:t>The data reinforce this institutional reading. The field contains 354 “Murder 1” records. Sex Offender Grid level H appears 4,770 times, while the bare letter D appears 2,501 times. The fifty-series codes are overwhelmingly associated with drug records and emerge in the period when the Drug Offender Grid took effect (Minnesota Sentencing Explorer, 2026). These patterns are evidence about the field’s administrative construction, not invitations to rank numbers, letters, and text as though they shared a common metric.</w:t>
      </w:r>
    </w:p>
    <w:p w14:paraId="44EEA6CB" w14:textId="01C365C4" w:rsidR="0081420F" w:rsidRPr="0081420F" w:rsidRDefault="0081420F" w:rsidP="00837046">
      <w:pPr>
        <w:spacing w:line="480" w:lineRule="auto"/>
        <w:rPr>
          <w:rFonts w:eastAsiaTheme="majorEastAsia"/>
        </w:rPr>
      </w:pPr>
      <w:r w:rsidRPr="0081420F">
        <w:rPr>
          <w:rFonts w:eastAsiaTheme="majorEastAsia"/>
        </w:rPr>
        <w:t xml:space="preserve">The historical layering also changes how trends should be read. Severity level 2 appears in 84,511 records, or approximately 28.7 percent of the dataset. Before the separate Drug Offender Grid, high-volume drug cases were classified within the Standard Grid. After the 2016 reform, drug cases </w:t>
      </w:r>
      <w:r w:rsidRPr="0081420F">
        <w:rPr>
          <w:rFonts w:eastAsiaTheme="majorEastAsia"/>
        </w:rPr>
        <w:lastRenderedPageBreak/>
        <w:t>began appearing under the fifty-series codes. A year-by-year display can consequently show the numeric category declining as the fifty-series category appears.</w:t>
      </w:r>
    </w:p>
    <w:p w14:paraId="0E38E7FD" w14:textId="7F33D01A" w:rsidR="0081420F" w:rsidRPr="0081420F" w:rsidRDefault="0081420F" w:rsidP="00837046">
      <w:pPr>
        <w:spacing w:line="480" w:lineRule="auto"/>
        <w:rPr>
          <w:rFonts w:eastAsiaTheme="majorEastAsia"/>
        </w:rPr>
      </w:pPr>
      <w:r w:rsidRPr="0081420F">
        <w:rPr>
          <w:rFonts w:eastAsiaTheme="majorEastAsia"/>
        </w:rPr>
        <w:t>That hinge is consistent with a coding migration produced by policy change. It should not be described as proof that the underlying conduct remained constant, just as it should not be described as proof that conduct suddenly changed. Administrative data frequently preserve successive coding regimes rather than harmonizing past records into a single contemporary system (Rothbard, 2013). The defensible finding is that the recorded distribution changed in a manner aligned with a documented change in classification. Determining how much of the shift reflects conduct, charging, conviction patterns, or administrative recoding requires additional evidence.</w:t>
      </w:r>
    </w:p>
    <w:p w14:paraId="07A5DCE3" w14:textId="53C672ED" w:rsidR="0081420F" w:rsidRPr="0081420F" w:rsidRDefault="0081420F" w:rsidP="00837046">
      <w:pPr>
        <w:spacing w:line="480" w:lineRule="auto"/>
        <w:rPr>
          <w:rFonts w:eastAsiaTheme="majorEastAsia"/>
        </w:rPr>
      </w:pPr>
      <w:r w:rsidRPr="0081420F">
        <w:rPr>
          <w:rFonts w:eastAsiaTheme="majorEastAsia"/>
        </w:rPr>
        <w:t>This demonstration turns a potentially “messy” column into substantive information. Its mixed values record the history of the institution. The variation is not merely a cleaning problem; it is evidence that the categories through which sentencing is administered changed during the observation period.</w:t>
      </w:r>
    </w:p>
    <w:p w14:paraId="0557AAF0" w14:textId="3BB6D74A" w:rsidR="0081420F" w:rsidRPr="0081420F" w:rsidRDefault="0081420F" w:rsidP="00837046">
      <w:pPr>
        <w:pStyle w:val="Heading3"/>
        <w:spacing w:line="480" w:lineRule="auto"/>
      </w:pPr>
      <w:r w:rsidRPr="0081420F">
        <w:t>Conditioning a Disparity</w:t>
      </w:r>
    </w:p>
    <w:p w14:paraId="7740DD96" w14:textId="55D1C7EA" w:rsidR="0081420F" w:rsidRPr="0081420F" w:rsidRDefault="0081420F" w:rsidP="00837046">
      <w:pPr>
        <w:spacing w:line="480" w:lineRule="auto"/>
        <w:rPr>
          <w:rFonts w:eastAsiaTheme="majorEastAsia"/>
        </w:rPr>
      </w:pPr>
      <w:r w:rsidRPr="0081420F">
        <w:rPr>
          <w:rFonts w:eastAsiaTheme="majorEastAsia"/>
        </w:rPr>
        <w:t>The final demonstration applies the framework to a racial disparity in presumptive sentence duration. Here the distinction between disparity and discrimination is indispensable. A disparity is an observed difference between groups. Discrimination is a causal claim that biased treatment produced the difference (Mitchell &amp; MacKenzie, 2004). The Explorer can document the former. Its descriptive sentencing records cannot, without a stronger research design, establish the latter.</w:t>
      </w:r>
    </w:p>
    <w:p w14:paraId="0E81AE79" w14:textId="77777777" w:rsidR="0081420F" w:rsidRPr="0081420F" w:rsidRDefault="0081420F" w:rsidP="00837046">
      <w:pPr>
        <w:spacing w:line="480" w:lineRule="auto"/>
        <w:rPr>
          <w:rFonts w:eastAsiaTheme="majorEastAsia"/>
        </w:rPr>
      </w:pPr>
      <w:r w:rsidRPr="0081420F">
        <w:rPr>
          <w:rFonts w:eastAsiaTheme="majorEastAsia"/>
        </w:rPr>
        <w:t xml:space="preserve">The unconditioned comparison shows that records coded Black have a median `time` a few months longer than records coded White. That is a real descriptive difference in the pooled </w:t>
      </w:r>
      <w:r w:rsidRPr="0081420F">
        <w:rPr>
          <w:rFonts w:eastAsiaTheme="majorEastAsia"/>
        </w:rPr>
        <w:lastRenderedPageBreak/>
        <w:t>dataset. It is also a comparison across records that may differ in offense family, severity level, criminal-history score, disposition, location, and unmeasured case facts.</w:t>
      </w:r>
    </w:p>
    <w:p w14:paraId="200F2210" w14:textId="77777777" w:rsidR="0081420F" w:rsidRPr="0081420F" w:rsidRDefault="0081420F" w:rsidP="00837046">
      <w:pPr>
        <w:spacing w:line="480" w:lineRule="auto"/>
        <w:rPr>
          <w:rFonts w:eastAsiaTheme="majorEastAsia"/>
        </w:rPr>
      </w:pPr>
    </w:p>
    <w:p w14:paraId="66F76501" w14:textId="39964B41" w:rsidR="0081420F" w:rsidRPr="0081420F" w:rsidRDefault="0081420F" w:rsidP="00837046">
      <w:pPr>
        <w:spacing w:line="480" w:lineRule="auto"/>
        <w:rPr>
          <w:rFonts w:eastAsiaTheme="majorEastAsia"/>
        </w:rPr>
      </w:pPr>
      <w:r w:rsidRPr="0081420F">
        <w:rPr>
          <w:rFonts w:eastAsiaTheme="majorEastAsia"/>
        </w:rPr>
        <w:t>The demonstration therefore narrows the comparison sequentially. First, the analysis is limited to the assault branch using `moc1 == A`. Within that population, the documented median gap remains approximately three months. Adding `severity == 4` changes the gap very little. Adding `history == 0`, however, closes it to essentially zero (Minnesota Sentencing Explorer, 2026). The sequence suggests that criminal-history composition accounts for much of the observed difference in this particular filtered view.</w:t>
      </w:r>
    </w:p>
    <w:p w14:paraId="39573EA1" w14:textId="3FAF0D19" w:rsidR="0081420F" w:rsidRPr="0081420F" w:rsidRDefault="0081420F" w:rsidP="00837046">
      <w:pPr>
        <w:spacing w:line="480" w:lineRule="auto"/>
        <w:rPr>
          <w:rFonts w:eastAsiaTheme="majorEastAsia"/>
        </w:rPr>
      </w:pPr>
      <w:r w:rsidRPr="0081420F">
        <w:rPr>
          <w:rFonts w:eastAsiaTheme="majorEastAsia"/>
        </w:rPr>
        <w:t>*[Table 5.1 about here: verified counts and group medians for the unfiltered racial comparison, assault records, assault records at severity level 4, and assault records at severity level 4 with criminal-history score 0. The table should be populated only after the sequence is re-run against the final dataset version.]*</w:t>
      </w:r>
    </w:p>
    <w:p w14:paraId="210754F0" w14:textId="47C3DAD6" w:rsidR="0081420F" w:rsidRPr="0081420F" w:rsidRDefault="0081420F" w:rsidP="00837046">
      <w:pPr>
        <w:spacing w:line="480" w:lineRule="auto"/>
        <w:rPr>
          <w:rFonts w:eastAsiaTheme="majorEastAsia"/>
        </w:rPr>
      </w:pPr>
      <w:r w:rsidRPr="0081420F">
        <w:rPr>
          <w:rFonts w:eastAsiaTheme="majorEastAsia"/>
        </w:rPr>
        <w:t>The vanished gap supports a bounded conclusion: among assault sentencing records at severity level 4 and criminal-history score 0, the racial disparity in median presumptive sentence duration is essentially zero. It does not support the broader conclusion that racial discrimination is absent from Minnesota’s criminal-justice system, from assault case processing, or even from the institutional history embedded in these records.</w:t>
      </w:r>
    </w:p>
    <w:p w14:paraId="39BAF716" w14:textId="51C4B309" w:rsidR="0081420F" w:rsidRPr="0081420F" w:rsidRDefault="0081420F" w:rsidP="00837046">
      <w:pPr>
        <w:spacing w:line="480" w:lineRule="auto"/>
        <w:rPr>
          <w:rFonts w:eastAsiaTheme="majorEastAsia"/>
        </w:rPr>
      </w:pPr>
      <w:r w:rsidRPr="0081420F">
        <w:rPr>
          <w:rFonts w:eastAsiaTheme="majorEastAsia"/>
        </w:rPr>
        <w:t xml:space="preserve">Criminal history is legally relevant to presumptive sentencing, but it is not produced outside the criminal-justice system. It accumulates through prior enforcement, charging, conviction, and sentencing. Controlling for it may appropriately account for differences that the Guidelines instruct courts to consider. It may also absorb disparities generated at earlier stages. Research on federal </w:t>
      </w:r>
      <w:r w:rsidRPr="0081420F">
        <w:rPr>
          <w:rFonts w:eastAsiaTheme="majorEastAsia"/>
        </w:rPr>
        <w:lastRenderedPageBreak/>
        <w:t>sentencing has shown that charging decisions can account for substantial portions of observed sentencing differences, illustrating why conditioning on downstream legal categories can remove part of the process one hopes to study (Rehavi &amp; Starr, 2014).</w:t>
      </w:r>
    </w:p>
    <w:p w14:paraId="77340524" w14:textId="78DB4433" w:rsidR="0081420F" w:rsidRPr="0081420F" w:rsidRDefault="0081420F" w:rsidP="00837046">
      <w:pPr>
        <w:spacing w:line="480" w:lineRule="auto"/>
        <w:rPr>
          <w:rFonts w:eastAsiaTheme="majorEastAsia"/>
        </w:rPr>
      </w:pPr>
      <w:r w:rsidRPr="0081420F">
        <w:rPr>
          <w:rFonts w:eastAsiaTheme="majorEastAsia"/>
        </w:rPr>
        <w:t>The same caution applies if a disparity remains. A residual difference is not self-interpreting. It may be consistent with unequal treatment, but it may also reflect unmeasured conduct, evidentiary strength, plea negotiations, local courtroom practices, attorney resources, victim participation, or other omitted factors (Baumer, 2013). Conditioning can also introduce bias when the selected control is itself affected by the process under investigation or functions as a selection mechanism (Rosenbaum, 1984; Elwert &amp; Winship, 2014).</w:t>
      </w:r>
    </w:p>
    <w:p w14:paraId="6236E8FA" w14:textId="29CAB35A" w:rsidR="0081420F" w:rsidRPr="0081420F" w:rsidRDefault="0081420F" w:rsidP="00837046">
      <w:pPr>
        <w:spacing w:line="480" w:lineRule="auto"/>
        <w:rPr>
          <w:rFonts w:eastAsiaTheme="majorEastAsia"/>
        </w:rPr>
      </w:pPr>
      <w:r w:rsidRPr="0081420F">
        <w:rPr>
          <w:rFonts w:eastAsiaTheme="majorEastAsia"/>
        </w:rPr>
        <w:t>Finally, every comparison is conditional on reaching felony sentencing. The records do not reveal the full populations exposed to policing, charging, diversion, dismissal, or misdemeanor resolution. Selection at those earlier stages can shape the group composition observed at sentencing (Bushway et al., 2007). A residual gap therefore does not prove discrimination, and a vanished gap does not prove fairness. Both results are descriptive findings whose meanings depend on the variables conditioned upon and the institutional processes that produced them.</w:t>
      </w:r>
    </w:p>
    <w:p w14:paraId="6F94A312" w14:textId="749D7190" w:rsidR="0081420F" w:rsidRPr="0081420F" w:rsidRDefault="0081420F" w:rsidP="00837046">
      <w:pPr>
        <w:pStyle w:val="Heading3"/>
        <w:spacing w:line="480" w:lineRule="auto"/>
      </w:pPr>
      <w:r w:rsidRPr="0081420F">
        <w:t>What the Demonstrations Establish</w:t>
      </w:r>
    </w:p>
    <w:p w14:paraId="3440EB17" w14:textId="77777777" w:rsidR="0081420F" w:rsidRPr="0081420F" w:rsidRDefault="0081420F" w:rsidP="00837046">
      <w:pPr>
        <w:spacing w:line="480" w:lineRule="auto"/>
        <w:rPr>
          <w:rFonts w:eastAsiaTheme="majorEastAsia"/>
        </w:rPr>
      </w:pPr>
    </w:p>
    <w:p w14:paraId="2515AAF5" w14:textId="71717CB9" w:rsidR="0081420F" w:rsidRPr="0081420F" w:rsidRDefault="0081420F" w:rsidP="00837046">
      <w:pPr>
        <w:spacing w:line="480" w:lineRule="auto"/>
        <w:rPr>
          <w:rFonts w:eastAsiaTheme="majorEastAsia"/>
        </w:rPr>
      </w:pPr>
      <w:r w:rsidRPr="0081420F">
        <w:rPr>
          <w:rFonts w:eastAsiaTheme="majorEastAsia"/>
        </w:rPr>
        <w:t xml:space="preserve">Together, these analyses show the framework operating across four common sources of error. The population demonstration shows that every statistic inherits the boundaries of its filter history. The `time` demonstration shows that a correctly calculated statistic can be substantively misinterpreted when the variable or denominator is misunderstood. The severity demonstration shows that administrative categories carry institutional history and cannot always be treated as </w:t>
      </w:r>
      <w:r w:rsidRPr="0081420F">
        <w:rPr>
          <w:rFonts w:eastAsiaTheme="majorEastAsia"/>
        </w:rPr>
        <w:lastRenderedPageBreak/>
        <w:t>stable measurements. The disparity demonstration shows how composition can attenuate a raw difference without converting the conditioned result into a causal verdict.</w:t>
      </w:r>
    </w:p>
    <w:p w14:paraId="48BA09A9" w14:textId="2FD09F06" w:rsidR="0081420F" w:rsidRPr="0081420F" w:rsidRDefault="0081420F" w:rsidP="00837046">
      <w:pPr>
        <w:spacing w:line="480" w:lineRule="auto"/>
        <w:rPr>
          <w:rFonts w:eastAsiaTheme="majorEastAsia"/>
        </w:rPr>
      </w:pPr>
      <w:r w:rsidRPr="0081420F">
        <w:rPr>
          <w:rFonts w:eastAsiaTheme="majorEastAsia"/>
        </w:rPr>
        <w:t>The common principle is that a number cannot be separated from the process that produced it. Population definition, administrative classification, case composition, and evidentiary limits are not peripheral cautions attached after an analysis. They determine what the analysis means.</w:t>
      </w:r>
    </w:p>
    <w:p w14:paraId="4BA6017D" w14:textId="5AFCD051" w:rsidR="0081420F" w:rsidRPr="0081420F" w:rsidRDefault="0081420F" w:rsidP="00837046">
      <w:pPr>
        <w:spacing w:line="480" w:lineRule="auto"/>
        <w:rPr>
          <w:rFonts w:eastAsiaTheme="majorEastAsia"/>
        </w:rPr>
      </w:pPr>
      <w:r w:rsidRPr="0081420F">
        <w:rPr>
          <w:rFonts w:eastAsiaTheme="majorEastAsia"/>
        </w:rPr>
        <w:t>That coherence is the contribution established here. The Explorer can make an analytical population reproducible, expose the history embedded in administrative variables, and show how a comparison changes as measured composition is restricted. Whether students learn to use those capabilities independently is a different question. Chapter 6 therefore turns from demonstration to assessment, distinguishing evidence already available from the future evaluation needed to determine whether the curriculum improves responsible sentencing-data interpretation.</w:t>
      </w:r>
    </w:p>
    <w:p w14:paraId="3A93E4C3" w14:textId="0CC4A6B2" w:rsidR="0081420F" w:rsidRPr="0081420F" w:rsidRDefault="0081420F" w:rsidP="00837046">
      <w:pPr>
        <w:pStyle w:val="Heading3"/>
        <w:spacing w:line="480" w:lineRule="auto"/>
      </w:pPr>
      <w:r w:rsidRPr="0081420F">
        <w:t>Provisional References</w:t>
      </w:r>
    </w:p>
    <w:p w14:paraId="56BBEA33" w14:textId="77777777" w:rsidR="0081420F" w:rsidRPr="0081420F" w:rsidRDefault="0081420F" w:rsidP="00837046">
      <w:pPr>
        <w:spacing w:line="480" w:lineRule="auto"/>
        <w:rPr>
          <w:rFonts w:eastAsiaTheme="majorEastAsia"/>
        </w:rPr>
      </w:pPr>
    </w:p>
    <w:p w14:paraId="02148CCF" w14:textId="77777777" w:rsidR="0081420F" w:rsidRPr="0081420F" w:rsidRDefault="0081420F" w:rsidP="00837046">
      <w:pPr>
        <w:spacing w:line="480" w:lineRule="auto"/>
        <w:rPr>
          <w:rFonts w:eastAsiaTheme="majorEastAsia"/>
        </w:rPr>
      </w:pPr>
      <w:r w:rsidRPr="0081420F">
        <w:rPr>
          <w:rFonts w:eastAsiaTheme="majorEastAsia"/>
        </w:rPr>
        <w:t>Baumer, E. P. (2013). Reassessing and redirecting research on race and sentencing. *Justice Quarterly, 30*(2), 231–261. https://doi.org/10.1080/07418825.2012.682602</w:t>
      </w:r>
    </w:p>
    <w:p w14:paraId="696A925A" w14:textId="77777777" w:rsidR="0081420F" w:rsidRPr="0081420F" w:rsidRDefault="0081420F" w:rsidP="00837046">
      <w:pPr>
        <w:spacing w:line="480" w:lineRule="auto"/>
        <w:rPr>
          <w:rFonts w:eastAsiaTheme="majorEastAsia"/>
        </w:rPr>
      </w:pPr>
    </w:p>
    <w:p w14:paraId="387D6688" w14:textId="77777777" w:rsidR="0081420F" w:rsidRPr="0081420F" w:rsidRDefault="0081420F" w:rsidP="00837046">
      <w:pPr>
        <w:spacing w:line="480" w:lineRule="auto"/>
        <w:rPr>
          <w:rFonts w:eastAsiaTheme="majorEastAsia"/>
        </w:rPr>
      </w:pPr>
      <w:r w:rsidRPr="0081420F">
        <w:rPr>
          <w:rFonts w:eastAsiaTheme="majorEastAsia"/>
        </w:rPr>
        <w:t>Bushway, S., Johnson, B. D., &amp; Slocum, L. A. (2007). Is the magic still there? The use of the Heckman two-step correction for selection bias in criminology. *Journal of Quantitative Criminology, 23*(2), 151–178. https://doi.org/10.1007/s10940-007-9024-4</w:t>
      </w:r>
    </w:p>
    <w:p w14:paraId="3DD34619" w14:textId="77777777" w:rsidR="0081420F" w:rsidRPr="0081420F" w:rsidRDefault="0081420F" w:rsidP="00837046">
      <w:pPr>
        <w:spacing w:line="480" w:lineRule="auto"/>
        <w:rPr>
          <w:rFonts w:eastAsiaTheme="majorEastAsia"/>
        </w:rPr>
      </w:pPr>
    </w:p>
    <w:p w14:paraId="6D350CFD" w14:textId="77777777" w:rsidR="0081420F" w:rsidRPr="0081420F" w:rsidRDefault="0081420F" w:rsidP="00837046">
      <w:pPr>
        <w:spacing w:line="480" w:lineRule="auto"/>
        <w:rPr>
          <w:rFonts w:eastAsiaTheme="majorEastAsia"/>
        </w:rPr>
      </w:pPr>
      <w:r w:rsidRPr="0081420F">
        <w:rPr>
          <w:rFonts w:eastAsiaTheme="majorEastAsia"/>
        </w:rPr>
        <w:lastRenderedPageBreak/>
        <w:t>Elwert, F., &amp; Winship, C. (2014). Endogenous selection bias: The problem of conditioning on a collider variable. *Annual Review of Sociology, 40*, 31–53. https://doi.org/10.1146/annurev-soc-071913-043455</w:t>
      </w:r>
    </w:p>
    <w:p w14:paraId="274032EF" w14:textId="77777777" w:rsidR="0081420F" w:rsidRPr="0081420F" w:rsidRDefault="0081420F" w:rsidP="00837046">
      <w:pPr>
        <w:spacing w:line="480" w:lineRule="auto"/>
        <w:rPr>
          <w:rFonts w:eastAsiaTheme="majorEastAsia"/>
        </w:rPr>
      </w:pPr>
    </w:p>
    <w:p w14:paraId="64EEB963" w14:textId="77777777" w:rsidR="0081420F" w:rsidRPr="0081420F" w:rsidRDefault="0081420F" w:rsidP="00837046">
      <w:pPr>
        <w:spacing w:line="480" w:lineRule="auto"/>
        <w:rPr>
          <w:rFonts w:eastAsiaTheme="majorEastAsia"/>
        </w:rPr>
      </w:pPr>
      <w:r w:rsidRPr="0081420F">
        <w:rPr>
          <w:rFonts w:eastAsiaTheme="majorEastAsia"/>
        </w:rPr>
        <w:t>Minn. Stat. § 244.101 (2024). https://www.revisor.mn.gov/statutes/cite/244.101</w:t>
      </w:r>
    </w:p>
    <w:p w14:paraId="354AFE81" w14:textId="77777777" w:rsidR="0081420F" w:rsidRPr="0081420F" w:rsidRDefault="0081420F" w:rsidP="00837046">
      <w:pPr>
        <w:spacing w:line="480" w:lineRule="auto"/>
        <w:rPr>
          <w:rFonts w:eastAsiaTheme="majorEastAsia"/>
        </w:rPr>
      </w:pPr>
    </w:p>
    <w:p w14:paraId="19127827" w14:textId="77777777" w:rsidR="0081420F" w:rsidRPr="0081420F" w:rsidRDefault="0081420F" w:rsidP="00837046">
      <w:pPr>
        <w:spacing w:line="480" w:lineRule="auto"/>
        <w:rPr>
          <w:rFonts w:eastAsiaTheme="majorEastAsia"/>
        </w:rPr>
      </w:pPr>
      <w:r w:rsidRPr="0081420F">
        <w:rPr>
          <w:rFonts w:eastAsiaTheme="majorEastAsia"/>
        </w:rPr>
        <w:t>Minn. Stat. § 609.185 (2025). https://www.revisor.mn.gov/statutes/cite/609.185</w:t>
      </w:r>
    </w:p>
    <w:p w14:paraId="7498291C" w14:textId="77777777" w:rsidR="0081420F" w:rsidRPr="0081420F" w:rsidRDefault="0081420F" w:rsidP="00837046">
      <w:pPr>
        <w:spacing w:line="480" w:lineRule="auto"/>
        <w:rPr>
          <w:rFonts w:eastAsiaTheme="majorEastAsia"/>
        </w:rPr>
      </w:pPr>
    </w:p>
    <w:p w14:paraId="0C6E192D" w14:textId="77777777" w:rsidR="0081420F" w:rsidRPr="0081420F" w:rsidRDefault="0081420F" w:rsidP="00837046">
      <w:pPr>
        <w:spacing w:line="480" w:lineRule="auto"/>
        <w:rPr>
          <w:rFonts w:eastAsiaTheme="majorEastAsia"/>
        </w:rPr>
      </w:pPr>
      <w:r w:rsidRPr="0081420F">
        <w:rPr>
          <w:rFonts w:eastAsiaTheme="majorEastAsia"/>
        </w:rPr>
        <w:t>Minnesota Sentencing Explorer. (2026). *Raw sentencing dataset, 2001–2019* [Unpublished data set]. Crime[dot]Education. https://github.com/RobotsLoveWater/Crime_dot_Education/tree/5ead01de2140fe704f801e8cc0339a4268d66946</w:t>
      </w:r>
    </w:p>
    <w:p w14:paraId="76C88C84" w14:textId="77777777" w:rsidR="0081420F" w:rsidRPr="0081420F" w:rsidRDefault="0081420F" w:rsidP="00837046">
      <w:pPr>
        <w:spacing w:line="480" w:lineRule="auto"/>
        <w:rPr>
          <w:rFonts w:eastAsiaTheme="majorEastAsia"/>
        </w:rPr>
      </w:pPr>
    </w:p>
    <w:p w14:paraId="06C39480" w14:textId="77777777" w:rsidR="0081420F" w:rsidRPr="0081420F" w:rsidRDefault="0081420F" w:rsidP="00837046">
      <w:pPr>
        <w:spacing w:line="480" w:lineRule="auto"/>
        <w:rPr>
          <w:rFonts w:eastAsiaTheme="majorEastAsia"/>
        </w:rPr>
      </w:pPr>
      <w:r w:rsidRPr="0081420F">
        <w:rPr>
          <w:rFonts w:eastAsiaTheme="majorEastAsia"/>
        </w:rPr>
        <w:t>Minnesota Sentencing Guidelines Commission. (2019). *Minnesota sentencing guidelines and commentary* (effective August 1, 2019). https://mn.gov/msgc-stat/documents/Guidelines/2019/MinnSentencingGuidelinesCommentary.pdf</w:t>
      </w:r>
    </w:p>
    <w:p w14:paraId="18249F63" w14:textId="77777777" w:rsidR="0081420F" w:rsidRPr="0081420F" w:rsidRDefault="0081420F" w:rsidP="00837046">
      <w:pPr>
        <w:spacing w:line="480" w:lineRule="auto"/>
        <w:rPr>
          <w:rFonts w:eastAsiaTheme="majorEastAsia"/>
        </w:rPr>
      </w:pPr>
    </w:p>
    <w:p w14:paraId="500344DF" w14:textId="77777777" w:rsidR="0081420F" w:rsidRPr="0081420F" w:rsidRDefault="0081420F" w:rsidP="00837046">
      <w:pPr>
        <w:spacing w:line="480" w:lineRule="auto"/>
        <w:rPr>
          <w:rFonts w:eastAsiaTheme="majorEastAsia"/>
        </w:rPr>
      </w:pPr>
      <w:r w:rsidRPr="0081420F">
        <w:rPr>
          <w:rFonts w:eastAsiaTheme="majorEastAsia"/>
        </w:rPr>
        <w:t>Minnesota Sentencing Guidelines Commission. (2024). *Minnesota sentencing guidelines and commentary: Effective August 1, 2024*. https://mn.gov/sentencing-guidelines/assets/2024_Minn_Sentencing_Guidelines_Commentary_tcm30-639154.pdf</w:t>
      </w:r>
    </w:p>
    <w:p w14:paraId="287609C9" w14:textId="77777777" w:rsidR="0081420F" w:rsidRPr="0081420F" w:rsidRDefault="0081420F" w:rsidP="00837046">
      <w:pPr>
        <w:spacing w:line="480" w:lineRule="auto"/>
        <w:rPr>
          <w:rFonts w:eastAsiaTheme="majorEastAsia"/>
        </w:rPr>
      </w:pPr>
    </w:p>
    <w:p w14:paraId="536237A3" w14:textId="77777777" w:rsidR="0081420F" w:rsidRPr="0081420F" w:rsidRDefault="0081420F" w:rsidP="00837046">
      <w:pPr>
        <w:spacing w:line="480" w:lineRule="auto"/>
        <w:rPr>
          <w:rFonts w:eastAsiaTheme="majorEastAsia"/>
        </w:rPr>
      </w:pPr>
      <w:r w:rsidRPr="0081420F">
        <w:rPr>
          <w:rFonts w:eastAsiaTheme="majorEastAsia"/>
        </w:rPr>
        <w:t>Mitchell, O., &amp; MacKenzie, D. L. (2004). *The relationship between race, ethnicity, and sentencing outcomes: A meta-analysis of sentencing research* (NCJ 208129). National Institute of Justice.</w:t>
      </w:r>
    </w:p>
    <w:p w14:paraId="79FD5D53" w14:textId="77777777" w:rsidR="0081420F" w:rsidRPr="0081420F" w:rsidRDefault="0081420F" w:rsidP="00837046">
      <w:pPr>
        <w:spacing w:line="480" w:lineRule="auto"/>
        <w:rPr>
          <w:rFonts w:eastAsiaTheme="majorEastAsia"/>
        </w:rPr>
      </w:pPr>
    </w:p>
    <w:p w14:paraId="07F235B0" w14:textId="77777777" w:rsidR="0081420F" w:rsidRPr="0081420F" w:rsidRDefault="0081420F" w:rsidP="00837046">
      <w:pPr>
        <w:spacing w:line="480" w:lineRule="auto"/>
        <w:rPr>
          <w:rFonts w:eastAsiaTheme="majorEastAsia"/>
        </w:rPr>
      </w:pPr>
      <w:r w:rsidRPr="0081420F">
        <w:rPr>
          <w:rFonts w:eastAsiaTheme="majorEastAsia"/>
        </w:rPr>
        <w:t>Rehavi, M. M., &amp; Starr, S. B. (2014). Racial disparity in federal criminal sentences. *Journal of Political Economy, 122*(6), 1320–1354. https://doi.org/10.1086/677255</w:t>
      </w:r>
    </w:p>
    <w:p w14:paraId="72025037" w14:textId="77777777" w:rsidR="0081420F" w:rsidRPr="0081420F" w:rsidRDefault="0081420F" w:rsidP="00837046">
      <w:pPr>
        <w:spacing w:line="480" w:lineRule="auto"/>
        <w:rPr>
          <w:rFonts w:eastAsiaTheme="majorEastAsia"/>
        </w:rPr>
      </w:pPr>
    </w:p>
    <w:p w14:paraId="5DCC3F6C" w14:textId="77777777" w:rsidR="0081420F" w:rsidRPr="0081420F" w:rsidRDefault="0081420F" w:rsidP="00837046">
      <w:pPr>
        <w:spacing w:line="480" w:lineRule="auto"/>
        <w:rPr>
          <w:rFonts w:eastAsiaTheme="majorEastAsia"/>
        </w:rPr>
      </w:pPr>
      <w:r w:rsidRPr="0081420F">
        <w:rPr>
          <w:rFonts w:eastAsiaTheme="majorEastAsia"/>
        </w:rPr>
        <w:t>Rosenbaum, P. R. (1984). The consequences of adjustment for a concomitant variable that has been affected by the treatment. *Journal of the Royal Statistical Society: Series A (General), 147*(5), 656–666. https://doi.org/10.2307/2981697</w:t>
      </w:r>
    </w:p>
    <w:p w14:paraId="7FA9EC5F" w14:textId="77777777" w:rsidR="0081420F" w:rsidRPr="0081420F" w:rsidRDefault="0081420F" w:rsidP="00837046">
      <w:pPr>
        <w:spacing w:line="480" w:lineRule="auto"/>
        <w:rPr>
          <w:rFonts w:eastAsiaTheme="majorEastAsia"/>
        </w:rPr>
      </w:pPr>
    </w:p>
    <w:p w14:paraId="02F9E079" w14:textId="77777777" w:rsidR="0081420F" w:rsidRDefault="0081420F" w:rsidP="00837046">
      <w:pPr>
        <w:spacing w:line="480" w:lineRule="auto"/>
        <w:rPr>
          <w:rFonts w:eastAsiaTheme="majorEastAsia"/>
          <w:b/>
          <w:bCs/>
        </w:rPr>
      </w:pPr>
      <w:r w:rsidRPr="0081420F">
        <w:rPr>
          <w:rFonts w:eastAsiaTheme="majorEastAsia"/>
        </w:rPr>
        <w:t>Rothbard, A. (2013). *Quality issues in the use of administrative data records*. Actionable Intelligence for Social Policy, University of Pennsylvania. https://aisp.upenn.edu/wp-content/uploads/2015/06/Data-Quality-Paper_Final.pdf</w:t>
      </w:r>
      <w:r w:rsidRPr="0081420F">
        <w:rPr>
          <w:rFonts w:eastAsiaTheme="majorEastAsia"/>
          <w:b/>
          <w:bCs/>
        </w:rPr>
        <w:t xml:space="preserve"> </w:t>
      </w:r>
    </w:p>
    <w:p w14:paraId="76AE3575" w14:textId="77777777" w:rsidR="0081420F" w:rsidRDefault="0081420F" w:rsidP="00837046">
      <w:pPr>
        <w:spacing w:line="480" w:lineRule="auto"/>
        <w:rPr>
          <w:rFonts w:eastAsiaTheme="majorEastAsia"/>
          <w:b/>
          <w:bCs/>
        </w:rPr>
      </w:pPr>
    </w:p>
    <w:p w14:paraId="53B01C34" w14:textId="43A3A516" w:rsidR="0081420F" w:rsidRPr="0081420F" w:rsidRDefault="0081420F" w:rsidP="00837046">
      <w:pPr>
        <w:pStyle w:val="Heading2"/>
        <w:spacing w:line="480" w:lineRule="auto"/>
      </w:pPr>
      <w:r w:rsidRPr="0081420F">
        <w:t>Chapter 6: Assessment and Evaluation</w:t>
      </w:r>
    </w:p>
    <w:p w14:paraId="22736AC5" w14:textId="52FD22E0" w:rsidR="0081420F" w:rsidRPr="0081420F" w:rsidRDefault="0081420F" w:rsidP="00837046">
      <w:pPr>
        <w:pStyle w:val="Heading3"/>
        <w:spacing w:line="480" w:lineRule="auto"/>
      </w:pPr>
      <w:r w:rsidRPr="0081420F">
        <w:t>Evaluation as a Set of Distinct Claims</w:t>
      </w:r>
    </w:p>
    <w:p w14:paraId="15EC4479" w14:textId="4C5B492B" w:rsidR="0081420F" w:rsidRPr="0081420F" w:rsidRDefault="0081420F" w:rsidP="00837046">
      <w:pPr>
        <w:spacing w:line="480" w:lineRule="auto"/>
        <w:rPr>
          <w:rFonts w:eastAsiaTheme="majorEastAsia"/>
        </w:rPr>
      </w:pPr>
      <w:r w:rsidRPr="0081420F">
        <w:rPr>
          <w:rFonts w:eastAsiaTheme="majorEastAsia"/>
        </w:rPr>
        <w:t xml:space="preserve">The Minnesota Sentencing Explorer was designed to teach a demanding form of data literacy: the ability to produce a correct statistic while also understanding the population, institutional process, and evidentiary limits that give the statistic meaning. Evaluating such a project requires more than </w:t>
      </w:r>
      <w:r w:rsidRPr="0081420F">
        <w:rPr>
          <w:rFonts w:eastAsiaTheme="majorEastAsia"/>
        </w:rPr>
        <w:lastRenderedPageBreak/>
        <w:t>asking whether the application works or whether students enjoy using it. It requires separating four questions that are related but not interchangeable.</w:t>
      </w:r>
    </w:p>
    <w:p w14:paraId="6A92CE42" w14:textId="1B454B02" w:rsidR="0081420F" w:rsidRPr="0081420F" w:rsidRDefault="0081420F" w:rsidP="00837046">
      <w:pPr>
        <w:spacing w:line="480" w:lineRule="auto"/>
        <w:rPr>
          <w:rFonts w:eastAsiaTheme="majorEastAsia"/>
        </w:rPr>
      </w:pPr>
      <w:r w:rsidRPr="0081420F">
        <w:rPr>
          <w:rFonts w:eastAsiaTheme="majorEastAsia"/>
        </w:rPr>
        <w:t>The first question is whether the artifact functions as intended. Artifact verification concerns matters such as whether filters select the correct sentencing records, whether an ordered filter history can be replayed, whether summary statistics match independent calculations, and whether a checkpoint recognizes the state it was designed to recognize. The second question is whether the curriculum represents its subject accurately and assesses the reasoning it claims to teach. This is a question of content validity. The third question is whether learners and educators can use the application successfully. Usability includes navigation, comprehension of labels, recovery from mistakes, and the ability to distinguish the mechanics of the interface from the logic of the analysis. The fourth question is whether instruction with the curriculum improves student learning. That claim requires evidence that students reason more accurately, independently, or durably after instruction than they did before it.</w:t>
      </w:r>
    </w:p>
    <w:p w14:paraId="1A00A39A" w14:textId="4145511B" w:rsidR="0081420F" w:rsidRPr="0081420F" w:rsidRDefault="0081420F" w:rsidP="00837046">
      <w:pPr>
        <w:spacing w:line="480" w:lineRule="auto"/>
        <w:rPr>
          <w:rFonts w:eastAsiaTheme="majorEastAsia"/>
        </w:rPr>
      </w:pPr>
      <w:r w:rsidRPr="0081420F">
        <w:rPr>
          <w:rFonts w:eastAsiaTheme="majorEastAsia"/>
        </w:rPr>
        <w:t>These four forms of evidence should not be collapsed into a single declaration that the project has been “validated.” A technically correct checkpoint does not establish that the checkpoint measures an important learning objective. A well-aligned question does not establish that students can understand the interface. Successful navigation does not establish conceptual learning. Even improved performance immediately after a lesson does not, by itself, establish retention or transfer. Consistent with the *Standards for Educational and Psychological Testing*, claims about an assessment should be supported with evidence appropriate to the interpretation and use proposed for its scores (American Educational Research Association, American Psychological Association, &amp; National Council on Measurement in Education [AERA et al.], 2014).</w:t>
      </w:r>
    </w:p>
    <w:p w14:paraId="46916600" w14:textId="76B0E6A8" w:rsidR="0081420F" w:rsidRPr="0081420F" w:rsidRDefault="0081420F" w:rsidP="00837046">
      <w:pPr>
        <w:pStyle w:val="Heading3"/>
        <w:spacing w:line="480" w:lineRule="auto"/>
      </w:pPr>
      <w:r w:rsidRPr="0081420F">
        <w:lastRenderedPageBreak/>
        <w:t>Evidence Currently Available</w:t>
      </w:r>
    </w:p>
    <w:p w14:paraId="32E0C521" w14:textId="4B45B367" w:rsidR="0081420F" w:rsidRPr="0081420F" w:rsidRDefault="0081420F" w:rsidP="00837046">
      <w:pPr>
        <w:spacing w:line="480" w:lineRule="auto"/>
        <w:rPr>
          <w:rFonts w:eastAsiaTheme="majorEastAsia"/>
        </w:rPr>
      </w:pPr>
      <w:r w:rsidRPr="0081420F">
        <w:rPr>
          <w:rFonts w:eastAsiaTheme="majorEastAsia"/>
        </w:rPr>
        <w:t>The present project has its strongest evidence at the level of artifact construction and technical verification. The Explorer operates on 294,467 Minnesota felony sentencing records covering 2001 through 2019. Its core analytical model preserves an ordered history of filters, allowing a filtered population to be reconstructed rather than leaving the method implicit. The manuscript documents worked examples in which cross-tabulation cells are reproduced through equivalent filter chains, and the project includes automated guardrails for the immutability of the underlying data, the equivalence of direct and cached filtering, and selected statistical calculations. These checks matter. A teaching tool cannot support responsible interpretation if its own populations and calculations are unstable.</w:t>
      </w:r>
    </w:p>
    <w:p w14:paraId="73A2A355" w14:textId="6664FCDE" w:rsidR="0081420F" w:rsidRPr="0081420F" w:rsidRDefault="0081420F" w:rsidP="00837046">
      <w:pPr>
        <w:spacing w:line="480" w:lineRule="auto"/>
        <w:rPr>
          <w:rFonts w:eastAsiaTheme="majorEastAsia"/>
        </w:rPr>
      </w:pPr>
      <w:r w:rsidRPr="0081420F">
        <w:rPr>
          <w:rFonts w:eastAsiaTheme="majorEastAsia"/>
        </w:rPr>
        <w:t>This evidence establishes a limited but important proposition: the artifact has been built around reproducible analytical operations, and substantial effort has been devoted to verifying those operations. It does not establish that every possible combination of variables has been independently audited, nor does it establish that students understand what the operations mean.</w:t>
      </w:r>
    </w:p>
    <w:p w14:paraId="3CC8FAAC" w14:textId="1118258B" w:rsidR="0081420F" w:rsidRPr="0081420F" w:rsidRDefault="0081420F" w:rsidP="00837046">
      <w:pPr>
        <w:spacing w:line="480" w:lineRule="auto"/>
        <w:rPr>
          <w:rFonts w:eastAsiaTheme="majorEastAsia"/>
        </w:rPr>
      </w:pPr>
      <w:r w:rsidRPr="0081420F">
        <w:rPr>
          <w:rFonts w:eastAsiaTheme="majorEastAsia"/>
        </w:rPr>
        <w:t xml:space="preserve">There is also evidence of internal curricular coherence. The curriculum repeatedly connects objectives, activities, checkpoints, and capstone expectations. Its treatment of the dataset is grounded in the Minnesota Sentencing Guidelines Commission’s administrative purpose and counting rules. In particular, one row must be understood as one sentencing record. Under the documented Commission rule, multiple offenses sentenced for the same person in the same county within a 30-day period are combined and represented by the most serious offense (Minnesota Sentencing Guidelines Commission [MSGC], 2018). A row is therefore not automatically one crime or one unique person. The curriculum likewise defines `time` as </w:t>
      </w:r>
      <w:r w:rsidRPr="0081420F">
        <w:rPr>
          <w:rFonts w:eastAsiaTheme="majorEastAsia"/>
        </w:rPr>
        <w:lastRenderedPageBreak/>
        <w:t>presumptive sentence duration, not automatically as pronounced time or time served. These are substantive content decisions, not merely interface labels.</w:t>
      </w:r>
    </w:p>
    <w:p w14:paraId="553400D5" w14:textId="67DC7F9A" w:rsidR="0081420F" w:rsidRPr="0081420F" w:rsidRDefault="0081420F" w:rsidP="00837046">
      <w:pPr>
        <w:spacing w:line="480" w:lineRule="auto"/>
        <w:rPr>
          <w:rFonts w:eastAsiaTheme="majorEastAsia"/>
        </w:rPr>
      </w:pPr>
      <w:r w:rsidRPr="0081420F">
        <w:rPr>
          <w:rFonts w:eastAsiaTheme="majorEastAsia"/>
        </w:rPr>
        <w:t>Internal coherence, however, is not the same as independent content validation. The current manuscript does not document a completed review of the full curriculum by an external sentencing expert, measurement specialist, or classroom educator. It also does not document formal usability sessions with representative students, a classroom pilot, pre- and post-instruction comparisons, a comparison group, delayed retention measures, or demonstrated learning gains. No such activities should be inferred from the existence of lessons, dashboards, or assessment infrastructure. At present, the project is best described as a developed and technically guarded educational artifact whose educational effectiveness remains to be evaluated.</w:t>
      </w:r>
    </w:p>
    <w:p w14:paraId="6898F074" w14:textId="27705F41" w:rsidR="0081420F" w:rsidRPr="0081420F" w:rsidRDefault="0081420F" w:rsidP="00837046">
      <w:pPr>
        <w:pStyle w:val="Heading3"/>
        <w:spacing w:line="480" w:lineRule="auto"/>
      </w:pPr>
      <w:r w:rsidRPr="0081420F">
        <w:t>Criteria for Successful Student Performance</w:t>
      </w:r>
    </w:p>
    <w:p w14:paraId="0FF9F6E5" w14:textId="64B96FB6" w:rsidR="0081420F" w:rsidRPr="0081420F" w:rsidRDefault="0081420F" w:rsidP="00837046">
      <w:pPr>
        <w:spacing w:line="480" w:lineRule="auto"/>
        <w:rPr>
          <w:rFonts w:eastAsiaTheme="majorEastAsia"/>
        </w:rPr>
      </w:pPr>
      <w:r w:rsidRPr="0081420F">
        <w:rPr>
          <w:rFonts w:eastAsiaTheme="majorEastAsia"/>
        </w:rPr>
        <w:t>Evaluation should begin with explicit definitions of success. The central outcome is not whether a student can produce a number. It is whether the student can make a warranted claim from a sentencing record dataset. Eight criteria capture that outcome.</w:t>
      </w:r>
    </w:p>
    <w:p w14:paraId="179E95AE" w14:textId="677092B7" w:rsidR="0081420F" w:rsidRPr="0081420F" w:rsidRDefault="0081420F" w:rsidP="00837046">
      <w:pPr>
        <w:spacing w:line="480" w:lineRule="auto"/>
        <w:rPr>
          <w:rFonts w:eastAsiaTheme="majorEastAsia"/>
        </w:rPr>
      </w:pPr>
      <w:r w:rsidRPr="0081420F">
        <w:rPr>
          <w:rFonts w:eastAsiaTheme="majorEastAsia"/>
        </w:rPr>
        <w:t>First, the student should define the population represented by a result. A satisfactory response identifies the active filters, relevant years and categories, and the sentencing records that remain in view. It does not silently generalize from filtered records to all Minnesota crime, all people who offended, or all people who encountered the criminal-justice system.</w:t>
      </w:r>
    </w:p>
    <w:p w14:paraId="07B4539E" w14:textId="556A3B44" w:rsidR="0081420F" w:rsidRPr="0081420F" w:rsidRDefault="0081420F" w:rsidP="00837046">
      <w:pPr>
        <w:spacing w:line="480" w:lineRule="auto"/>
        <w:rPr>
          <w:rFonts w:eastAsiaTheme="majorEastAsia"/>
        </w:rPr>
      </w:pPr>
      <w:r w:rsidRPr="0081420F">
        <w:rPr>
          <w:rFonts w:eastAsiaTheme="majorEastAsia"/>
        </w:rPr>
        <w:t>Second, the student should identify the unit of analysis. The student should state that the dataset counts sentencing records and should explain why a record is not necessarily equivalent to one person, one offense, or one criminal event.</w:t>
      </w:r>
    </w:p>
    <w:p w14:paraId="78229250" w14:textId="102E25BB" w:rsidR="0081420F" w:rsidRPr="0081420F" w:rsidRDefault="0081420F" w:rsidP="00837046">
      <w:pPr>
        <w:spacing w:line="480" w:lineRule="auto"/>
        <w:rPr>
          <w:rFonts w:eastAsiaTheme="majorEastAsia"/>
        </w:rPr>
      </w:pPr>
      <w:r w:rsidRPr="0081420F">
        <w:rPr>
          <w:rFonts w:eastAsiaTheme="majorEastAsia"/>
        </w:rPr>
        <w:lastRenderedPageBreak/>
        <w:t>Third, the student should reproduce an analysis from its history. Given an ordered filter chain, the student should be able to rebuild the view and obtain the same N and substantive summary. Reproduction should require both the correct conditions and the correct interpretation of the resulting population.</w:t>
      </w:r>
    </w:p>
    <w:p w14:paraId="6CF88C48" w14:textId="039BEF0B" w:rsidR="0081420F" w:rsidRPr="0081420F" w:rsidRDefault="0081420F" w:rsidP="00837046">
      <w:pPr>
        <w:spacing w:line="480" w:lineRule="auto"/>
        <w:rPr>
          <w:rFonts w:eastAsiaTheme="majorEastAsia"/>
        </w:rPr>
      </w:pPr>
      <w:r w:rsidRPr="0081420F">
        <w:rPr>
          <w:rFonts w:eastAsiaTheme="majorEastAsia"/>
        </w:rPr>
        <w:t>Fourth, the student should choose the mean or median intentionally. For presumptive sentence duration, the student should be able to explain whether the question concerns the arithmetic burden across records or the middle record in a skewed distribution. Either statistic may be appropriate; an unlabeled “average” is not.</w:t>
      </w:r>
    </w:p>
    <w:p w14:paraId="7B4B9F9D" w14:textId="5D2C328B" w:rsidR="0081420F" w:rsidRPr="0081420F" w:rsidRDefault="0081420F" w:rsidP="00837046">
      <w:pPr>
        <w:spacing w:line="480" w:lineRule="auto"/>
        <w:rPr>
          <w:rFonts w:eastAsiaTheme="majorEastAsia"/>
        </w:rPr>
      </w:pPr>
      <w:r w:rsidRPr="0081420F">
        <w:rPr>
          <w:rFonts w:eastAsiaTheme="majorEastAsia"/>
        </w:rPr>
        <w:t>Fifth, the student should use the correct denominator. Comparisons between groups of unequal size should ordinarily report within-group percentages rather than relying on raw counts. Every reported statistic should include or clearly identify its N, and missing values should be considered when they affect the denominator.</w:t>
      </w:r>
    </w:p>
    <w:p w14:paraId="26C8FC40" w14:textId="6048C658" w:rsidR="0081420F" w:rsidRPr="0081420F" w:rsidRDefault="0081420F" w:rsidP="00837046">
      <w:pPr>
        <w:spacing w:line="480" w:lineRule="auto"/>
        <w:rPr>
          <w:rFonts w:eastAsiaTheme="majorEastAsia"/>
        </w:rPr>
      </w:pPr>
      <w:r w:rsidRPr="0081420F">
        <w:rPr>
          <w:rFonts w:eastAsiaTheme="majorEastAsia"/>
        </w:rPr>
        <w:t>Sixth, the student should distinguish disparity from discrimination. A group difference observed in sentencing records is a disparity. Discrimination is a causal claim about unequal treatment. Descriptive administrative records may document the former without establishing the latter (National Research Council, 2004).</w:t>
      </w:r>
    </w:p>
    <w:p w14:paraId="203ED3E2" w14:textId="713D85F4" w:rsidR="0081420F" w:rsidRPr="0081420F" w:rsidRDefault="0081420F" w:rsidP="00837046">
      <w:pPr>
        <w:spacing w:line="480" w:lineRule="auto"/>
        <w:rPr>
          <w:rFonts w:eastAsiaTheme="majorEastAsia"/>
        </w:rPr>
      </w:pPr>
      <w:r w:rsidRPr="0081420F">
        <w:rPr>
          <w:rFonts w:eastAsiaTheme="majorEastAsia"/>
        </w:rPr>
        <w:t>Seventh, the student should identify unobserved or upstream explanations. These may include charging and plea decisions, the conduct concealed beneath a shared offense code, strength of evidence, victim cooperation, attorney quality, local legal culture, and selection into felony sentencing. Because the dataset contains only records that reached the bottom of the criminal-justice funnel, comparisons are conditional on a selected population (Bushway, Johnson, &amp; Slocum, 2007).</w:t>
      </w:r>
    </w:p>
    <w:p w14:paraId="08998A4E" w14:textId="1143CDDE" w:rsidR="0081420F" w:rsidRPr="0081420F" w:rsidRDefault="0081420F" w:rsidP="00837046">
      <w:pPr>
        <w:spacing w:line="480" w:lineRule="auto"/>
        <w:rPr>
          <w:rFonts w:eastAsiaTheme="majorEastAsia"/>
        </w:rPr>
      </w:pPr>
      <w:r w:rsidRPr="0081420F">
        <w:rPr>
          <w:rFonts w:eastAsiaTheme="majorEastAsia"/>
        </w:rPr>
        <w:lastRenderedPageBreak/>
        <w:t>Finally, the student should write a bounded conclusion. A successful conclusion names the population, variable, statistic, and controls; distinguishes description from explanation; and states at least one important limitation. It does not turn a residual disparity into proof of discrimination or a vanished disparity into proof of fairness.</w:t>
      </w:r>
    </w:p>
    <w:p w14:paraId="26064D42" w14:textId="26EDF103" w:rsidR="0081420F" w:rsidRPr="0081420F" w:rsidRDefault="0081420F" w:rsidP="00837046">
      <w:pPr>
        <w:spacing w:line="480" w:lineRule="auto"/>
        <w:rPr>
          <w:rFonts w:eastAsiaTheme="majorEastAsia"/>
        </w:rPr>
      </w:pPr>
      <w:r w:rsidRPr="0081420F">
        <w:rPr>
          <w:rFonts w:eastAsiaTheme="majorEastAsia"/>
        </w:rPr>
        <w:t>These criteria can support an analytic rubric with separately scored dimensions. Separating the dimensions is important. A student may calculate accurately but misidentify the unit, select an appropriate statistic but use the wrong denominator, or reproduce a filter chain while making an unsupported causal claim. A single holistic score would hide precisely the error patterns the curriculum is intended to make visible.</w:t>
      </w:r>
    </w:p>
    <w:p w14:paraId="44F53C5E" w14:textId="5CCA8396" w:rsidR="0081420F" w:rsidRPr="0081420F" w:rsidRDefault="0081420F" w:rsidP="00837046">
      <w:pPr>
        <w:pStyle w:val="Heading3"/>
        <w:spacing w:line="480" w:lineRule="auto"/>
      </w:pPr>
      <w:r w:rsidRPr="0081420F">
        <w:t>Evidence Available Through the Learning Environment</w:t>
      </w:r>
    </w:p>
    <w:p w14:paraId="6A983BB5" w14:textId="4DA852A4" w:rsidR="0081420F" w:rsidRPr="0081420F" w:rsidRDefault="0081420F" w:rsidP="00837046">
      <w:pPr>
        <w:spacing w:line="480" w:lineRule="auto"/>
        <w:rPr>
          <w:rFonts w:eastAsiaTheme="majorEastAsia"/>
        </w:rPr>
      </w:pPr>
      <w:r w:rsidRPr="0081420F">
        <w:rPr>
          <w:rFonts w:eastAsiaTheme="majorEastAsia"/>
        </w:rPr>
        <w:t>The project’s instructional features could produce several kinds of evaluation evidence, provided their limits are respected. Checkpoints can verify whether a learner has constructed a required Explorer state. They are especially well suited to assessing reproducibility: the expected history, active column, and filtered population can be compared with the learner’s state. Passing such a checkpoint supports the conclusion that the learner constructed the target view. It does not, without an accompanying explanation, show that the learner understands why the view is appropriate or what conclusion it permits.</w:t>
      </w:r>
    </w:p>
    <w:p w14:paraId="055A96DD" w14:textId="4B1E45B3" w:rsidR="0081420F" w:rsidRPr="0081420F" w:rsidRDefault="0081420F" w:rsidP="00837046">
      <w:pPr>
        <w:spacing w:line="480" w:lineRule="auto"/>
        <w:rPr>
          <w:rFonts w:eastAsiaTheme="majorEastAsia"/>
        </w:rPr>
      </w:pPr>
      <w:r w:rsidRPr="0081420F">
        <w:rPr>
          <w:rFonts w:eastAsiaTheme="majorEastAsia"/>
        </w:rPr>
        <w:t xml:space="preserve">Graded question histories can provide a fuller record. The current system preserves repeated attempts separately from the most recent answer and can associate an attempt with the data state present when the answer was submitted. These histories could reveal recurring confusions about denominators, mean and median, small cells, or causal language. They could also distinguish an immediate correct response from eventual success after several attempts. Still, attempt counts </w:t>
      </w:r>
      <w:r w:rsidRPr="0081420F">
        <w:rPr>
          <w:rFonts w:eastAsiaTheme="majorEastAsia"/>
        </w:rPr>
        <w:lastRenderedPageBreak/>
        <w:t>are not self-interpreting. A high miss rate may indicate conceptual difficulty, ambiguous wording, an incorrect answer key, or an interface problem.</w:t>
      </w:r>
    </w:p>
    <w:p w14:paraId="4725B857" w14:textId="26B6BA85" w:rsidR="0081420F" w:rsidRPr="0081420F" w:rsidRDefault="0081420F" w:rsidP="00837046">
      <w:pPr>
        <w:spacing w:line="480" w:lineRule="auto"/>
        <w:rPr>
          <w:rFonts w:eastAsiaTheme="majorEastAsia"/>
        </w:rPr>
      </w:pPr>
      <w:r w:rsidRPr="0081420F">
        <w:rPr>
          <w:rFonts w:eastAsiaTheme="majorEastAsia"/>
        </w:rPr>
        <w:t>Educator dashboards can aggregate progress, attempts, and item-level miss rates across a class. Used cautiously, they can help identify questions that warrant review and students who may need support. They should be treated as diagnostic tools rather than rankings of ability. Dashboard evidence becomes more credible when it is triangulated with student explanations, observation, and capstone work.</w:t>
      </w:r>
    </w:p>
    <w:p w14:paraId="46EC6A43" w14:textId="2C99E36E" w:rsidR="0081420F" w:rsidRPr="0081420F" w:rsidRDefault="0081420F" w:rsidP="00837046">
      <w:pPr>
        <w:spacing w:line="480" w:lineRule="auto"/>
        <w:rPr>
          <w:rFonts w:eastAsiaTheme="majorEastAsia"/>
        </w:rPr>
      </w:pPr>
      <w:r w:rsidRPr="0081420F">
        <w:rPr>
          <w:rFonts w:eastAsiaTheme="majorEastAsia"/>
        </w:rPr>
        <w:t>The capstone offers the strongest opportunity for integrated performance assessment. Students are asked to pose an answerable descriptive question, specify a filter plan before examining the result, check N throughout the analysis, justify their descriptive statistics, preserve the filter history, and communicate a bounded finding. A capstone scored with the eight criteria above could show whether students can coordinate the curriculum’s skills in an investigation they did not merely copy. Scoring should be conducted with a written rubric, sample anchor responses, and at least a subset of work scored independently by two readers. Agreement and disagreement between readers would provide evidence about scoring reliability, not simply about student performance.</w:t>
      </w:r>
    </w:p>
    <w:p w14:paraId="26A81532" w14:textId="37C4A8D0" w:rsidR="0081420F" w:rsidRPr="0081420F" w:rsidRDefault="0081420F" w:rsidP="00837046">
      <w:pPr>
        <w:pStyle w:val="Heading3"/>
        <w:spacing w:line="480" w:lineRule="auto"/>
      </w:pPr>
      <w:r w:rsidRPr="0081420F">
        <w:t>A Staged Evaluation Plan</w:t>
      </w:r>
    </w:p>
    <w:p w14:paraId="12B57024" w14:textId="66DFB96F" w:rsidR="0081420F" w:rsidRPr="0081420F" w:rsidRDefault="0081420F" w:rsidP="00837046">
      <w:pPr>
        <w:spacing w:line="480" w:lineRule="auto"/>
        <w:rPr>
          <w:rFonts w:eastAsiaTheme="majorEastAsia"/>
        </w:rPr>
      </w:pPr>
      <w:r w:rsidRPr="0081420F">
        <w:rPr>
          <w:rFonts w:eastAsiaTheme="majorEastAsia"/>
        </w:rPr>
        <w:t>A credible evaluation can proceed in stages, with each stage authorizing a different conclusion.</w:t>
      </w:r>
    </w:p>
    <w:p w14:paraId="57AB5BC1" w14:textId="3B0C6DDE" w:rsidR="0081420F" w:rsidRPr="0081420F" w:rsidRDefault="0081420F" w:rsidP="00837046">
      <w:pPr>
        <w:spacing w:line="480" w:lineRule="auto"/>
        <w:rPr>
          <w:rFonts w:eastAsiaTheme="majorEastAsia"/>
        </w:rPr>
      </w:pPr>
      <w:r w:rsidRPr="0081420F">
        <w:rPr>
          <w:rFonts w:eastAsiaTheme="majorEastAsia"/>
        </w:rPr>
        <w:t xml:space="preserve">The first stage is technical verification. Known filter histories should be replayed against independently calculated results. Tests should cover N, missing-value handling, categorical percentages, mean and median, cross-tabulation cells, history reversion, checkpoint matching, and the interpretation of `time` as presumptive sentence duration. Edge cases should include </w:t>
      </w:r>
      <w:r w:rsidRPr="0081420F">
        <w:rPr>
          <w:rFonts w:eastAsiaTheme="majorEastAsia"/>
        </w:rPr>
        <w:lastRenderedPageBreak/>
        <w:t>empty views, very small cells, historically changing severity codes, and off-grid records. Successful completion would support the claim that the artifact computes and reconstructs its defined analyses accurately. It would not support a claim about usability or learning.</w:t>
      </w:r>
    </w:p>
    <w:p w14:paraId="6863F12C" w14:textId="2CA7C3B9" w:rsidR="0081420F" w:rsidRPr="0081420F" w:rsidRDefault="0081420F" w:rsidP="00837046">
      <w:pPr>
        <w:spacing w:line="480" w:lineRule="auto"/>
        <w:rPr>
          <w:rFonts w:eastAsiaTheme="majorEastAsia"/>
        </w:rPr>
      </w:pPr>
      <w:r w:rsidRPr="0081420F">
        <w:rPr>
          <w:rFonts w:eastAsiaTheme="majorEastAsia"/>
        </w:rPr>
        <w:t>The second stage is expert review. At minimum, one reviewer with Minnesota sentencing expertise and one reviewer with experience in statistics or assessment education should examine the curriculum, answer keys, worked examples, and rubric. Reviewers should evaluate factual accuracy, relevance to the learning objectives, cognitive demand, omission of essential qualifications, and the boundary between disparity and discrimination. Their judgments and resulting revisions should be documented. Favorable review would support a content-validity argument; it would not demonstrate that students can learn from the materials.</w:t>
      </w:r>
    </w:p>
    <w:p w14:paraId="6838B355" w14:textId="650284A6" w:rsidR="0081420F" w:rsidRPr="0081420F" w:rsidRDefault="0081420F" w:rsidP="00837046">
      <w:pPr>
        <w:spacing w:line="480" w:lineRule="auto"/>
        <w:rPr>
          <w:rFonts w:eastAsiaTheme="majorEastAsia"/>
        </w:rPr>
      </w:pPr>
      <w:r w:rsidRPr="0081420F">
        <w:rPr>
          <w:rFonts w:eastAsiaTheme="majorEastAsia"/>
        </w:rPr>
        <w:t>The third stage is usability testing with representative learners and educators. Participants should complete core tasks while thinking aloud: locate a column, apply and remove filters, reproduce a history, interpret a summary, complete a checkpoint, and recover from an error. Observers should record task completion, navigation errors, requests for help, misread labels, and conceptual explanations. Including a short paper or static-table task alongside interface tasks would help separate software fluency from statistical reasoning. This stage could support claims about usability under the tested conditions, not learning effectiveness.</w:t>
      </w:r>
    </w:p>
    <w:p w14:paraId="7F5D56C0" w14:textId="218ACDB6" w:rsidR="0081420F" w:rsidRPr="0081420F" w:rsidRDefault="0081420F" w:rsidP="00837046">
      <w:pPr>
        <w:spacing w:line="480" w:lineRule="auto"/>
        <w:rPr>
          <w:rFonts w:eastAsiaTheme="majorEastAsia"/>
        </w:rPr>
      </w:pPr>
      <w:r w:rsidRPr="0081420F">
        <w:rPr>
          <w:rFonts w:eastAsiaTheme="majorEastAsia"/>
        </w:rPr>
        <w:t>The fourth stage is a small classroom pilot. The pilot should collect completion data, response explanations, attempt histories, brief interviews or surveys, and capstone work. Its main purpose should be to discover failure modes and refine instruction. With a small or nonrepresentative class, the appropriate conclusion would be that the curriculum was feasible and that particular learning patterns were observed among participating students. General claims about effectiveness would remain premature.</w:t>
      </w:r>
    </w:p>
    <w:p w14:paraId="3FDB33F5" w14:textId="55867030" w:rsidR="0081420F" w:rsidRPr="0081420F" w:rsidRDefault="0081420F" w:rsidP="00837046">
      <w:pPr>
        <w:spacing w:line="480" w:lineRule="auto"/>
        <w:rPr>
          <w:rFonts w:eastAsiaTheme="majorEastAsia"/>
        </w:rPr>
      </w:pPr>
      <w:r w:rsidRPr="0081420F">
        <w:rPr>
          <w:rFonts w:eastAsiaTheme="majorEastAsia"/>
        </w:rPr>
        <w:lastRenderedPageBreak/>
        <w:t>The fifth stage is a more formal learning study. Students should complete parallel performance tasks before and after instruction, with items mapped to the eight success criteria. When feasible, a comparison condition would strengthen the design. A delayed assessment would help distinguish short-term performance from retention, while a novel dataset or unfamiliar question would test transfer. The analysis should report criterion-level changes rather than only a total score. Only at this stage, and only within the design’s limits, would claims about improved student reasoning become defensible.</w:t>
      </w:r>
    </w:p>
    <w:p w14:paraId="5A5981C5" w14:textId="256DC88F" w:rsidR="0081420F" w:rsidRPr="0081420F" w:rsidRDefault="0081420F" w:rsidP="00837046">
      <w:pPr>
        <w:spacing w:line="480" w:lineRule="auto"/>
        <w:rPr>
          <w:rFonts w:eastAsiaTheme="majorEastAsia"/>
        </w:rPr>
      </w:pPr>
      <w:r w:rsidRPr="0081420F">
        <w:rPr>
          <w:rFonts w:eastAsiaTheme="majorEastAsia"/>
        </w:rPr>
        <w:t>The final stage is revision from error patterns. Persistent denominator errors may require different examples; causal overstatement may require additional contrast cases; checkpoint failures may reveal either incomplete instruction or interface friction. Revised materials should be retested rather than assumed to be improved.</w:t>
      </w:r>
    </w:p>
    <w:p w14:paraId="0BA49F57" w14:textId="5617176F" w:rsidR="0081420F" w:rsidRPr="0081420F" w:rsidRDefault="0081420F" w:rsidP="00837046">
      <w:pPr>
        <w:pStyle w:val="Heading3"/>
        <w:spacing w:line="480" w:lineRule="auto"/>
      </w:pPr>
      <w:r w:rsidRPr="0081420F">
        <w:t>Limitations and Permissible Conclusions</w:t>
      </w:r>
    </w:p>
    <w:p w14:paraId="125DEB59" w14:textId="3DD52550" w:rsidR="0081420F" w:rsidRPr="0081420F" w:rsidRDefault="0081420F" w:rsidP="00837046">
      <w:pPr>
        <w:spacing w:line="480" w:lineRule="auto"/>
        <w:rPr>
          <w:rFonts w:eastAsiaTheme="majorEastAsia"/>
        </w:rPr>
      </w:pPr>
      <w:r w:rsidRPr="0081420F">
        <w:rPr>
          <w:rFonts w:eastAsiaTheme="majorEastAsia"/>
        </w:rPr>
        <w:t>Even a formal evaluation would face substantial limitations. A small convenience sample would not represent all college students, educators, or independent learners. Without a comparison group, improvement could reflect ordinary course exposure, maturation, repeated testing, or instructor emphasis. Instructor effects may be especially strong in a curriculum whose central lessons depend on how uncertainty and restraint are discussed.</w:t>
      </w:r>
    </w:p>
    <w:p w14:paraId="6BDF9494" w14:textId="665AA0BB" w:rsidR="0081420F" w:rsidRPr="0081420F" w:rsidRDefault="0081420F" w:rsidP="00837046">
      <w:pPr>
        <w:spacing w:line="480" w:lineRule="auto"/>
        <w:rPr>
          <w:rFonts w:eastAsiaTheme="majorEastAsia"/>
        </w:rPr>
      </w:pPr>
      <w:r w:rsidRPr="0081420F">
        <w:rPr>
          <w:rFonts w:eastAsiaTheme="majorEastAsia"/>
        </w:rPr>
        <w:t>Software fluency can also masquerade as conceptual learning. A student may memorize where to click without understanding the population being constructed, while another may understand the reasoning but struggle with navigation. Immediate performance may not survive after several weeks, and success on familiar Minnesota examples may not transfer to other administrative datasets.</w:t>
      </w:r>
    </w:p>
    <w:p w14:paraId="5DAA71F2" w14:textId="3A7645A5" w:rsidR="0081420F" w:rsidRPr="0081420F" w:rsidRDefault="0081420F" w:rsidP="00837046">
      <w:pPr>
        <w:spacing w:line="480" w:lineRule="auto"/>
        <w:rPr>
          <w:rFonts w:eastAsiaTheme="majorEastAsia"/>
        </w:rPr>
      </w:pPr>
      <w:r w:rsidRPr="0081420F">
        <w:rPr>
          <w:rFonts w:eastAsiaTheme="majorEastAsia"/>
        </w:rPr>
        <w:lastRenderedPageBreak/>
        <w:t>Privacy requires particular care because attempt histories and dashboard summaries concern identifiable students. Evaluation exports should minimize personal data, limit access, define retention periods, and avoid reporting very small groups. Scoring reliability is another limitation: conclusions about learning are only as trustworthy as the rubric and its application. Ambiguous items, unstable answer keys, or low agreement between scorers weaken any effectiveness claim.</w:t>
      </w:r>
    </w:p>
    <w:p w14:paraId="791B56EA" w14:textId="2A05C57E" w:rsidR="0081420F" w:rsidRPr="0081420F" w:rsidRDefault="0081420F" w:rsidP="00837046">
      <w:pPr>
        <w:spacing w:line="480" w:lineRule="auto"/>
        <w:rPr>
          <w:rFonts w:eastAsiaTheme="majorEastAsia"/>
        </w:rPr>
      </w:pPr>
      <w:r w:rsidRPr="0081420F">
        <w:rPr>
          <w:rFonts w:eastAsiaTheme="majorEastAsia"/>
        </w:rPr>
        <w:t>The evidentiary rule is therefore simple: conclusions should stop at the boundary of the completed stage. Technical tests permit claims about computation. Expert review permits claims about content representation. Usability sessions permit claims about observed interaction. A pilot permits bounded claims about feasibility and participant performance. A well-designed outcome study may support claims about learning under specified conditions. None of these stages, alone, establishes that the curriculum will work equally well across institutions, instructors, student populations, or time.</w:t>
      </w:r>
    </w:p>
    <w:p w14:paraId="0D4A9943" w14:textId="7AF8223D" w:rsidR="0081420F" w:rsidRPr="0081420F" w:rsidRDefault="0081420F" w:rsidP="00837046">
      <w:pPr>
        <w:pStyle w:val="Heading3"/>
        <w:spacing w:line="480" w:lineRule="auto"/>
      </w:pPr>
      <w:r w:rsidRPr="0081420F">
        <w:t>Current Status and Next Credible Step</w:t>
      </w:r>
    </w:p>
    <w:p w14:paraId="7F6AE669" w14:textId="63B1BB86" w:rsidR="0081420F" w:rsidRPr="0081420F" w:rsidRDefault="0081420F" w:rsidP="00837046">
      <w:pPr>
        <w:spacing w:line="480" w:lineRule="auto"/>
        <w:rPr>
          <w:rFonts w:eastAsiaTheme="majorEastAsia"/>
        </w:rPr>
      </w:pPr>
      <w:r w:rsidRPr="0081420F">
        <w:rPr>
          <w:rFonts w:eastAsiaTheme="majorEastAsia"/>
        </w:rPr>
        <w:t>The current evidence supports describing the Minnesota Sentencing Explorer as a functioning, reproducibility-centered educational artifact with documented analytical guardrails and a curriculum aligned to explicit interpretive objectives. It does not yet support a claim that the curriculum improves student learning. That absence should be stated directly, not concealed in a general limitations paragraph.</w:t>
      </w:r>
    </w:p>
    <w:p w14:paraId="431634D8" w14:textId="77777777" w:rsidR="0081420F" w:rsidRPr="0081420F" w:rsidRDefault="0081420F" w:rsidP="00837046">
      <w:pPr>
        <w:spacing w:line="480" w:lineRule="auto"/>
        <w:rPr>
          <w:rFonts w:eastAsiaTheme="majorEastAsia"/>
        </w:rPr>
      </w:pPr>
      <w:r w:rsidRPr="0081420F">
        <w:rPr>
          <w:rFonts w:eastAsiaTheme="majorEastAsia"/>
        </w:rPr>
        <w:t xml:space="preserve">The next credible step is an external content-and-assessment review followed by a small usability study. Expert review should come first because classroom evidence is difficult to interpret if the legal content, answer keys, or scoring criteria remain unexamined. Usability testing can then determine whether representative learners can reach and explain the intended analytical states. Those stages would produce actionable evidence while preserving the distinction at the heart of </w:t>
      </w:r>
      <w:r w:rsidRPr="0081420F">
        <w:rPr>
          <w:rFonts w:eastAsiaTheme="majorEastAsia"/>
        </w:rPr>
        <w:lastRenderedPageBreak/>
        <w:t>the project: a result becomes trustworthy not because it looks precise, but because its population, method, meaning, and limits can all be shown.</w:t>
      </w:r>
    </w:p>
    <w:p w14:paraId="45F62633" w14:textId="77777777" w:rsidR="0081420F" w:rsidRPr="0081420F" w:rsidRDefault="0081420F" w:rsidP="00837046">
      <w:pPr>
        <w:spacing w:line="480" w:lineRule="auto"/>
        <w:rPr>
          <w:rFonts w:eastAsiaTheme="majorEastAsia"/>
        </w:rPr>
      </w:pPr>
    </w:p>
    <w:p w14:paraId="0F24434E" w14:textId="33AF1A02" w:rsidR="0081420F" w:rsidRPr="0081420F" w:rsidRDefault="0081420F" w:rsidP="00837046">
      <w:pPr>
        <w:pStyle w:val="Heading3"/>
        <w:spacing w:line="480" w:lineRule="auto"/>
      </w:pPr>
      <w:r w:rsidRPr="0081420F">
        <w:t>Provisional References</w:t>
      </w:r>
    </w:p>
    <w:p w14:paraId="7D36B377" w14:textId="77777777" w:rsidR="0081420F" w:rsidRPr="0081420F" w:rsidRDefault="0081420F" w:rsidP="00837046">
      <w:pPr>
        <w:spacing w:line="480" w:lineRule="auto"/>
        <w:rPr>
          <w:rFonts w:eastAsiaTheme="majorEastAsia"/>
        </w:rPr>
      </w:pPr>
    </w:p>
    <w:p w14:paraId="368FDBE9" w14:textId="77777777" w:rsidR="0081420F" w:rsidRPr="0081420F" w:rsidRDefault="0081420F" w:rsidP="00837046">
      <w:pPr>
        <w:spacing w:line="480" w:lineRule="auto"/>
        <w:rPr>
          <w:rFonts w:eastAsiaTheme="majorEastAsia"/>
        </w:rPr>
      </w:pPr>
      <w:r w:rsidRPr="0081420F">
        <w:rPr>
          <w:rFonts w:eastAsiaTheme="majorEastAsia"/>
        </w:rPr>
        <w:t>American Educational Research Association, American Psychological Association, &amp; National Council on Measurement in Education. (2014). [*Standards for educational and psychological testing*](https://www.testingstandards.net/uploads/7/6/6/4/76643089/standards_2014edition.pdf). American Educational Research Association.</w:t>
      </w:r>
    </w:p>
    <w:p w14:paraId="47F440E7" w14:textId="77777777" w:rsidR="0081420F" w:rsidRPr="0081420F" w:rsidRDefault="0081420F" w:rsidP="00837046">
      <w:pPr>
        <w:spacing w:line="480" w:lineRule="auto"/>
        <w:rPr>
          <w:rFonts w:eastAsiaTheme="majorEastAsia"/>
        </w:rPr>
      </w:pPr>
    </w:p>
    <w:p w14:paraId="006AADCC" w14:textId="77777777" w:rsidR="0081420F" w:rsidRPr="0081420F" w:rsidRDefault="0081420F" w:rsidP="00837046">
      <w:pPr>
        <w:spacing w:line="480" w:lineRule="auto"/>
        <w:rPr>
          <w:rFonts w:eastAsiaTheme="majorEastAsia"/>
        </w:rPr>
      </w:pPr>
      <w:r w:rsidRPr="0081420F">
        <w:rPr>
          <w:rFonts w:eastAsiaTheme="majorEastAsia"/>
        </w:rPr>
        <w:t>Bushway, S., Johnson, B. D., &amp; Slocum, L. A. (2007). Is the magic still there? The use of the Heckman two-step correction for selection bias in criminology. *Journal of Quantitative Criminology, 23*(2), 151–178. https://doi.org/10.1007/s10940-007-9024-4</w:t>
      </w:r>
    </w:p>
    <w:p w14:paraId="179A105A" w14:textId="77777777" w:rsidR="0081420F" w:rsidRPr="0081420F" w:rsidRDefault="0081420F" w:rsidP="00837046">
      <w:pPr>
        <w:spacing w:line="480" w:lineRule="auto"/>
        <w:rPr>
          <w:rFonts w:eastAsiaTheme="majorEastAsia"/>
        </w:rPr>
      </w:pPr>
    </w:p>
    <w:p w14:paraId="0C720ABE" w14:textId="77777777" w:rsidR="0081420F" w:rsidRPr="0081420F" w:rsidRDefault="0081420F" w:rsidP="00837046">
      <w:pPr>
        <w:spacing w:line="480" w:lineRule="auto"/>
        <w:rPr>
          <w:rFonts w:eastAsiaTheme="majorEastAsia"/>
        </w:rPr>
      </w:pPr>
      <w:r w:rsidRPr="0081420F">
        <w:rPr>
          <w:rFonts w:eastAsiaTheme="majorEastAsia"/>
        </w:rPr>
        <w:t>Minnesota Sentencing Guidelines Commission. (2018). *Sentencing practices: Annual summary statistics for felony cases sentenced in 2017*. https://mn.gov/msgc-stat/documents/reports/2017/UpdatedMSGC2017AnnualSummaryStatistics.pdf</w:t>
      </w:r>
    </w:p>
    <w:p w14:paraId="0E12C2ED" w14:textId="77777777" w:rsidR="0081420F" w:rsidRPr="0081420F" w:rsidRDefault="0081420F" w:rsidP="00837046">
      <w:pPr>
        <w:spacing w:line="480" w:lineRule="auto"/>
        <w:rPr>
          <w:rFonts w:eastAsiaTheme="majorEastAsia"/>
        </w:rPr>
      </w:pPr>
    </w:p>
    <w:p w14:paraId="3EB27631" w14:textId="77777777" w:rsidR="0081420F" w:rsidRDefault="0081420F" w:rsidP="00837046">
      <w:pPr>
        <w:spacing w:line="480" w:lineRule="auto"/>
        <w:rPr>
          <w:rFonts w:eastAsiaTheme="majorEastAsia"/>
          <w:b/>
          <w:bCs/>
        </w:rPr>
      </w:pPr>
      <w:r w:rsidRPr="0081420F">
        <w:rPr>
          <w:rFonts w:eastAsiaTheme="majorEastAsia"/>
        </w:rPr>
        <w:t>National Research Council. (2004). *Measuring racial discrimination*. National Academies Press. https://doi.org/10.17226/10887</w:t>
      </w:r>
      <w:r w:rsidRPr="0081420F">
        <w:rPr>
          <w:rFonts w:eastAsiaTheme="majorEastAsia"/>
          <w:b/>
          <w:bCs/>
        </w:rPr>
        <w:t xml:space="preserve"> </w:t>
      </w:r>
    </w:p>
    <w:p w14:paraId="7323B919" w14:textId="77777777" w:rsidR="0081420F" w:rsidRDefault="0081420F" w:rsidP="00837046">
      <w:pPr>
        <w:spacing w:line="480" w:lineRule="auto"/>
        <w:rPr>
          <w:rFonts w:eastAsiaTheme="majorEastAsia"/>
          <w:b/>
          <w:bCs/>
        </w:rPr>
      </w:pPr>
    </w:p>
    <w:p w14:paraId="149D2FB6" w14:textId="568F49E6" w:rsidR="0081420F" w:rsidRPr="0081420F" w:rsidRDefault="0081420F" w:rsidP="00837046">
      <w:pPr>
        <w:pStyle w:val="Heading2"/>
        <w:spacing w:line="480" w:lineRule="auto"/>
      </w:pPr>
      <w:r w:rsidRPr="0081420F">
        <w:lastRenderedPageBreak/>
        <w:t>Chapter 7: Discussion and Conclusion</w:t>
      </w:r>
    </w:p>
    <w:p w14:paraId="33E9F2D3" w14:textId="308A14C5" w:rsidR="0081420F" w:rsidRPr="0081420F" w:rsidRDefault="0081420F" w:rsidP="00837046">
      <w:pPr>
        <w:pStyle w:val="Heading3"/>
        <w:spacing w:line="480" w:lineRule="auto"/>
      </w:pPr>
      <w:r w:rsidRPr="0081420F">
        <w:t>From Access to Responsible Interpretation</w:t>
      </w:r>
    </w:p>
    <w:p w14:paraId="1842FD8F" w14:textId="7277BF4C" w:rsidR="0081420F" w:rsidRPr="0081420F" w:rsidRDefault="0081420F" w:rsidP="00837046">
      <w:pPr>
        <w:spacing w:line="480" w:lineRule="auto"/>
      </w:pPr>
      <w:r w:rsidRPr="0081420F">
        <w:t>The Minnesota Sentencing Explorer addresses a problem that is larger than access to data. Public administrative records can be extensive, precise, and institutionally authoritative while remaining difficult to interpret responsibly. A reader may calculate an accurate mean, percentage, or cross-tabulation and still attach it to the wrong population, misunderstand what one row represents, or treat a descriptive relationship as evidence of cause. The central problem is therefore not whether students can obtain a number. It is whether they can determine what that number describes and how far its evidentiary reach extends.</w:t>
      </w:r>
    </w:p>
    <w:p w14:paraId="4B800CA2" w14:textId="1B9DF6AE" w:rsidR="0081420F" w:rsidRPr="0081420F" w:rsidRDefault="0081420F" w:rsidP="00837046">
      <w:pPr>
        <w:spacing w:line="480" w:lineRule="auto"/>
      </w:pPr>
      <w:r w:rsidRPr="0081420F">
        <w:t>This project responds by joining an interactive Explorer to a curriculum about the production and interpretation of Minnesota felony sentencing records. The underlying dataset contains approximately 294,000 sentencing records from 2001 through 2019. It is administrative data: information produced through the operation and monitoring of a sentencing system rather than collected to answer a particular research question (Connelly et al., 2016). Its institutional origin gives it substantial descriptive value, but that value is bounded by the definitions, classifications, counting rules, and omissions of the system that created it.</w:t>
      </w:r>
    </w:p>
    <w:p w14:paraId="3D877275" w14:textId="1D27E947" w:rsidR="0081420F" w:rsidRPr="0081420F" w:rsidRDefault="0081420F" w:rsidP="00837046">
      <w:pPr>
        <w:spacing w:line="480" w:lineRule="auto"/>
      </w:pPr>
      <w:r w:rsidRPr="0081420F">
        <w:t xml:space="preserve">Accordingly, the project does not treat statistical technique as separable from institutional knowledge. Students must understand the criminal-justice funnel, the Minnesota sentencing grids, offense classification, criminal-history scoring, and presumptive sentence duration before they can interpret the corresponding variables. They must also understand that one row is one sentencing record under the Commission’s counting rules—not one crime and not one unique person (Minnesota Sentencing Guidelines Commission, 2018). A dataset can be computationally </w:t>
      </w:r>
      <w:r w:rsidRPr="0081420F">
        <w:lastRenderedPageBreak/>
        <w:t>accessible while remaining conceptually opaque. The Explorer and curriculum are designed to reduce that opacity.</w:t>
      </w:r>
    </w:p>
    <w:p w14:paraId="544EDC59" w14:textId="23054B56" w:rsidR="0081420F" w:rsidRPr="0081420F" w:rsidRDefault="0081420F" w:rsidP="00837046">
      <w:pPr>
        <w:pStyle w:val="Heading3"/>
        <w:spacing w:line="480" w:lineRule="auto"/>
      </w:pPr>
      <w:r w:rsidRPr="0081420F">
        <w:t xml:space="preserve">The Project’s </w:t>
      </w:r>
      <w:r w:rsidRPr="006A6D83">
        <w:t>Contribution</w:t>
      </w:r>
    </w:p>
    <w:p w14:paraId="648F1B58" w14:textId="239780BC" w:rsidR="0081420F" w:rsidRPr="0081420F" w:rsidRDefault="0081420F" w:rsidP="00837046">
      <w:pPr>
        <w:spacing w:line="480" w:lineRule="auto"/>
      </w:pPr>
      <w:r w:rsidRPr="0081420F">
        <w:t>The project’s principal contribution is the integration of four forms of reasoning that are too easily taught apart: knowledge of the sentencing system, descriptive statistical literacy, causal restraint, and history-driven interaction.</w:t>
      </w:r>
    </w:p>
    <w:p w14:paraId="15641F48" w14:textId="0C7FF2EF" w:rsidR="0081420F" w:rsidRPr="0081420F" w:rsidRDefault="0081420F" w:rsidP="00837046">
      <w:pPr>
        <w:spacing w:line="480" w:lineRule="auto"/>
      </w:pPr>
      <w:r w:rsidRPr="0081420F">
        <w:t>Sentencing-system knowledge supplies the meaning of the variables. A severity code is not merely a value to be sorted; it belongs to an institutional classification that has changed over time. Criminal history is not simply a personal attribute; it is a score assembled from prior system contact according to legal rules. The variable *time* is presumptive sentence duration in months, not automatically the sentence pronounced, time spent in prison, or time served. These distinctions determine what an analysis is actually about.</w:t>
      </w:r>
    </w:p>
    <w:p w14:paraId="352FF969" w14:textId="77777777" w:rsidR="0081420F" w:rsidRDefault="0081420F" w:rsidP="00837046">
      <w:pPr>
        <w:spacing w:line="480" w:lineRule="auto"/>
      </w:pPr>
      <w:r w:rsidRPr="0081420F">
        <w:t>Descriptive statistics provide the means to summarize the records in view. Counts, percentages, means, medians, modes, and measures of spread each answer different questions. Their usefulness depends on the denominator, the distribution, and the population defined by the current filters. The project therefore presents statistical judgment as a practice of matching a measure to a claim, not as the mechanical selection of whichever number appears most prominent.</w:t>
      </w:r>
    </w:p>
    <w:p w14:paraId="7F46DE35" w14:textId="4C74BAD2" w:rsidR="0081420F" w:rsidRPr="0081420F" w:rsidRDefault="0081420F" w:rsidP="00837046">
      <w:pPr>
        <w:spacing w:line="480" w:lineRule="auto"/>
      </w:pPr>
      <w:r w:rsidRPr="0081420F">
        <w:t xml:space="preserve">Causal restraint supplies the boundary around those summaries. Administrative records can identify differences across recorded groups, offense categories, years, and sentencing characteristics. They cannot ordinarily determine why those differences arose. The records sit at the end of a process shaped by reporting, policing, charging, plea negotiation, conviction, and </w:t>
      </w:r>
      <w:r w:rsidRPr="0081420F">
        <w:lastRenderedPageBreak/>
        <w:t>sentencing. Selection occurs throughout that process, while many relevant circumstances remain unmeasured (Bushway et al., 2007). Conditioning on recorded variables may clarify composition, but it does not automatically reproduce the counterfactual comparison required for a causal conclusion. Some apparent controls are themselves products of earlier institutional decisions, and conditioning on selected or downstream variables can introduce additional interpretive problems (Elwert &amp; Winship, 2014).</w:t>
      </w:r>
    </w:p>
    <w:p w14:paraId="70EA6B29" w14:textId="36568ABB" w:rsidR="0081420F" w:rsidRPr="0081420F" w:rsidRDefault="0081420F" w:rsidP="00837046">
      <w:pPr>
        <w:spacing w:line="480" w:lineRule="auto"/>
      </w:pPr>
      <w:r w:rsidRPr="0081420F">
        <w:t xml:space="preserve">This is especially important when students examine group differences. The Explorer can document disparity: a measured difference in the sentencing records. It cannot, by itself, prove either the presence or the absence of discrimination. Discrimination is a causal claim about unequal treatment, and descriptive administrative records do not manufacture an “all else equal” comparison simply because multiple filters have been applied (National Research Council, 2004). </w:t>
      </w:r>
      <w:proofErr w:type="gramStart"/>
      <w:r w:rsidRPr="0081420F">
        <w:t>A gap</w:t>
      </w:r>
      <w:proofErr w:type="gramEnd"/>
      <w:r w:rsidRPr="0081420F">
        <w:t xml:space="preserve"> that remains after conditioning is not self-explanatory. A gap that disappears is not a finding that the system is fair. In both cases, the result remains conditional on the observed variables, the selected population, and the decisions that preceded the sentencing record.</w:t>
      </w:r>
    </w:p>
    <w:p w14:paraId="555C7297" w14:textId="342ED025" w:rsidR="0081420F" w:rsidRPr="0081420F" w:rsidRDefault="0081420F" w:rsidP="00837046">
      <w:pPr>
        <w:spacing w:line="480" w:lineRule="auto"/>
      </w:pPr>
      <w:r w:rsidRPr="0081420F">
        <w:t>Taken together, these four elements make the Explorer more than a convenient interface to a large file. The project treats responsible interpretation as a substantive capability: defining a population, understanding how its records were produced, choosing an appropriate summary, preserving the distinction between disparity and discrimination, and stating a conclusion that remains within the evidence.</w:t>
      </w:r>
    </w:p>
    <w:p w14:paraId="11AF3244" w14:textId="69EC9576" w:rsidR="0081420F" w:rsidRPr="0081420F" w:rsidRDefault="0081420F" w:rsidP="00837046">
      <w:pPr>
        <w:pStyle w:val="Heading3"/>
        <w:spacing w:line="480" w:lineRule="auto"/>
      </w:pPr>
      <w:r w:rsidRPr="0081420F">
        <w:t>Analytical History as a Visible Method</w:t>
      </w:r>
    </w:p>
    <w:p w14:paraId="62B4755C" w14:textId="3233C403" w:rsidR="0081420F" w:rsidRPr="0081420F" w:rsidRDefault="0081420F" w:rsidP="00837046">
      <w:pPr>
        <w:spacing w:line="480" w:lineRule="auto"/>
      </w:pPr>
      <w:r w:rsidRPr="0081420F">
        <w:t>The history-driven structure of the Explorer is central to that contribution. Each filter becomes an ordered entry in the analysis history. The current result is therefore accompanied by a visible account of how the population was constructed.</w:t>
      </w:r>
    </w:p>
    <w:p w14:paraId="72033697" w14:textId="525C18E4" w:rsidR="0081420F" w:rsidRPr="0081420F" w:rsidRDefault="0081420F" w:rsidP="00837046">
      <w:pPr>
        <w:spacing w:line="480" w:lineRule="auto"/>
      </w:pPr>
      <w:r w:rsidRPr="0081420F">
        <w:lastRenderedPageBreak/>
        <w:t>This design changes the meaning of filtering. In many interfaces, filters disappear into menus or remain visible only as scattered control settings. The resulting table can appear detached from the decisions that produced it. In the Explorer, the sequence remains part of the result. A student can see that the current population contains, for example, records from a specified period, within a selected offense category, at a particular severity level and criminal-history score. The number is displayed together with its analytical boundaries.</w:t>
      </w:r>
    </w:p>
    <w:p w14:paraId="6A396302" w14:textId="689C61AD" w:rsidR="0081420F" w:rsidRPr="0081420F" w:rsidRDefault="0081420F" w:rsidP="00837046">
      <w:pPr>
        <w:spacing w:line="480" w:lineRule="auto"/>
      </w:pPr>
      <w:proofErr w:type="gramStart"/>
      <w:r w:rsidRPr="0081420F">
        <w:t>The history</w:t>
      </w:r>
      <w:proofErr w:type="gramEnd"/>
      <w:r w:rsidRPr="0081420F">
        <w:t xml:space="preserve"> also supports reproducibility at an appropriate classroom scale. Another reader can replay the same sequence, inspect the remaining number of records at each step, and determine whether the result can be reconstructed. Revert makes it possible to </w:t>
      </w:r>
      <w:proofErr w:type="gramStart"/>
      <w:r w:rsidRPr="0081420F">
        <w:t>remove</w:t>
      </w:r>
      <w:proofErr w:type="gramEnd"/>
      <w:r w:rsidRPr="0081420F">
        <w:t xml:space="preserve"> a step and observe how the population changes. Clear returns the analysis to the full dataset. These operations make population construction reversible and inspectable.</w:t>
      </w:r>
    </w:p>
    <w:p w14:paraId="0AC63DC6" w14:textId="607AF881" w:rsidR="0081420F" w:rsidRPr="0081420F" w:rsidRDefault="0081420F" w:rsidP="00837046">
      <w:pPr>
        <w:spacing w:line="480" w:lineRule="auto"/>
      </w:pPr>
      <w:r w:rsidRPr="0081420F">
        <w:t xml:space="preserve">The resulting history is not a substitute for a complete scholarly methods section. Reproducibility also depends on the dataset version, variable definitions, software behavior, and preservation of the underlying records. Nevertheless, </w:t>
      </w:r>
      <w:proofErr w:type="gramStart"/>
      <w:r w:rsidRPr="0081420F">
        <w:t>the history</w:t>
      </w:r>
      <w:proofErr w:type="gramEnd"/>
      <w:r w:rsidRPr="0081420F">
        <w:t xml:space="preserve"> </w:t>
      </w:r>
      <w:proofErr w:type="gramStart"/>
      <w:r w:rsidRPr="0081420F">
        <w:t>performs</w:t>
      </w:r>
      <w:proofErr w:type="gramEnd"/>
      <w:r w:rsidRPr="0081420F">
        <w:t xml:space="preserve"> an important part of methodological documentation: it records which rows the analyst chose to include. The manuscript’s formulation that “the filter history is the methods section” is best understood in this bounded sense. </w:t>
      </w:r>
      <w:proofErr w:type="gramStart"/>
      <w:r w:rsidRPr="0081420F">
        <w:t>The history</w:t>
      </w:r>
      <w:proofErr w:type="gramEnd"/>
      <w:r w:rsidRPr="0081420F">
        <w:t xml:space="preserve"> makes an otherwise hidden component of method visible enough to inspect, question, and reproduce.</w:t>
      </w:r>
    </w:p>
    <w:p w14:paraId="15D70024" w14:textId="001C8084" w:rsidR="0081420F" w:rsidRPr="0081420F" w:rsidRDefault="0081420F" w:rsidP="00837046">
      <w:pPr>
        <w:spacing w:line="480" w:lineRule="auto"/>
      </w:pPr>
      <w:r w:rsidRPr="0081420F">
        <w:t>This visibility has pedagogical value because it places responsibility at the moment a decision is made. A limitation is not appended after the analysis as a ritual disclaimer. When a filter is applied, students can see that they have changed the population and therefore changed the permissible claim. Reproducibility becomes part of interpretation rather than a separate technical requirement.</w:t>
      </w:r>
    </w:p>
    <w:p w14:paraId="00339B59" w14:textId="285AC645" w:rsidR="0081420F" w:rsidRPr="0081420F" w:rsidRDefault="0081420F" w:rsidP="00837046">
      <w:pPr>
        <w:pStyle w:val="Heading3"/>
        <w:spacing w:line="480" w:lineRule="auto"/>
      </w:pPr>
      <w:r w:rsidRPr="0081420F">
        <w:lastRenderedPageBreak/>
        <w:t>Implications Beyond Minnesota Sentencing</w:t>
      </w:r>
    </w:p>
    <w:p w14:paraId="3A07368F" w14:textId="7346E859" w:rsidR="0081420F" w:rsidRPr="0081420F" w:rsidRDefault="0081420F" w:rsidP="00837046">
      <w:pPr>
        <w:spacing w:line="480" w:lineRule="auto"/>
      </w:pPr>
      <w:r w:rsidRPr="0081420F">
        <w:t>Although the project concerns Minnesota felony sentencing, its instructional framework is applicable to other forms of administrative data. Schools, hospitals, social-service agencies, courts, and public-benefit systems all generate records primarily to carry out institutional work. In each setting, the resulting data reflects operational definitions, eligibility rules, classification practices, reporting procedures, and decisions about what is worth recording.</w:t>
      </w:r>
    </w:p>
    <w:p w14:paraId="3AA77CEF" w14:textId="0E5F2624" w:rsidR="0081420F" w:rsidRPr="0081420F" w:rsidRDefault="0081420F" w:rsidP="00837046">
      <w:pPr>
        <w:spacing w:line="480" w:lineRule="auto"/>
      </w:pPr>
      <w:r w:rsidRPr="0081420F">
        <w:t>Teaching with such data should therefore begin before computation. Students should ask who created the records, for what purpose, at what stage of an institutional process, and under what counting rules. They should identify the unit of analysis and distinguish the population present in the file from the broader population about which they may wish to speak. They should inspect whether categories changed over time and whether apparently comparable values were produced under different rules. These are not preliminary chores. They determine whether later calculations have coherent meanings.</w:t>
      </w:r>
    </w:p>
    <w:p w14:paraId="6BAC79FB" w14:textId="6136CCE4" w:rsidR="0081420F" w:rsidRPr="0081420F" w:rsidRDefault="0081420F" w:rsidP="00837046">
      <w:pPr>
        <w:spacing w:line="480" w:lineRule="auto"/>
      </w:pPr>
      <w:r w:rsidRPr="0081420F">
        <w:t xml:space="preserve">The Explorer’s history-driven model also offers a broader design principle. Interfaces for administrative data can expose analytical decisions instead of presenting results as if they emerged automatically. Visible filters, denominators, category definitions, and reversible steps can help learners understand that a population is constructed through choices. Such transparency does not prevent </w:t>
      </w:r>
      <w:proofErr w:type="gramStart"/>
      <w:r w:rsidRPr="0081420F">
        <w:t>error</w:t>
      </w:r>
      <w:proofErr w:type="gramEnd"/>
      <w:r w:rsidRPr="0081420F">
        <w:t>, but it makes errors more available for inspection.</w:t>
      </w:r>
    </w:p>
    <w:p w14:paraId="250B830B" w14:textId="399DB274" w:rsidR="0081420F" w:rsidRPr="0081420F" w:rsidRDefault="0081420F" w:rsidP="00837046">
      <w:pPr>
        <w:spacing w:line="480" w:lineRule="auto"/>
      </w:pPr>
      <w:r w:rsidRPr="0081420F">
        <w:t xml:space="preserve">The broader lesson is that data literacy should include institutional literacy. A person who can calculate a </w:t>
      </w:r>
      <w:proofErr w:type="gramStart"/>
      <w:r w:rsidRPr="0081420F">
        <w:t>mean</w:t>
      </w:r>
      <w:proofErr w:type="gramEnd"/>
      <w:r w:rsidRPr="0081420F">
        <w:t xml:space="preserve"> but cannot identify the population or the process that produced its records is not yet prepared to interpret administrative evidence. Conversely, substantive expertise without attention to denominators, distributions, and comparison groups can produce claims that are contextually informed but statistically weak. Responsible analysis requires both.</w:t>
      </w:r>
    </w:p>
    <w:p w14:paraId="668ADE40" w14:textId="1DCCFBF9" w:rsidR="0081420F" w:rsidRPr="0081420F" w:rsidRDefault="0081420F" w:rsidP="00837046">
      <w:pPr>
        <w:pStyle w:val="Heading3"/>
        <w:spacing w:line="480" w:lineRule="auto"/>
      </w:pPr>
      <w:r w:rsidRPr="0081420F">
        <w:lastRenderedPageBreak/>
        <w:t>Limits and Nonclaims</w:t>
      </w:r>
    </w:p>
    <w:p w14:paraId="7758008F" w14:textId="0D78559F" w:rsidR="0081420F" w:rsidRPr="0081420F" w:rsidRDefault="0081420F" w:rsidP="00837046">
      <w:pPr>
        <w:spacing w:line="480" w:lineRule="auto"/>
      </w:pPr>
      <w:r w:rsidRPr="0081420F">
        <w:t>The project’s scope is deliberately narrow. The dataset represents felony sentencing records within the relevant Minnesota system and observation period. It does not represent all crimes, all criminal cases, all people who offended, or all people who encountered the criminal-justice system. It omits unreported conduct and cases that ended before felony sentencing, including matters that produced no arrest, charge, felony conviction, or sentencing record. It also does not provide a complete account of the social circumstances surrounding each case.</w:t>
      </w:r>
    </w:p>
    <w:p w14:paraId="3F9BD8EE" w14:textId="28E5A85A" w:rsidR="0081420F" w:rsidRPr="0081420F" w:rsidRDefault="0081420F" w:rsidP="00837046">
      <w:pPr>
        <w:spacing w:line="480" w:lineRule="auto"/>
      </w:pPr>
      <w:r w:rsidRPr="0081420F">
        <w:t>Administrative classifications impose an additional limit. Offense codes, severity levels, criminal-history scores, and other fields are institutional products. They are useful because they standardize records, but they also compress complex cases into categories selected for administrative purposes. Coding systems and sentencing structures can change across time, making identical-looking values potentially non-equivalent unless their historical context is considered (Rothbard, 2013). The dataset records the system’s classifications more directly than it records the underlying conduct or lived experience.</w:t>
      </w:r>
    </w:p>
    <w:p w14:paraId="59442F33" w14:textId="0544510A" w:rsidR="0081420F" w:rsidRPr="0081420F" w:rsidRDefault="0081420F" w:rsidP="00837046">
      <w:pPr>
        <w:spacing w:line="480" w:lineRule="auto"/>
      </w:pPr>
      <w:r w:rsidRPr="0081420F">
        <w:t>The project’s analytical reach is descriptive. Filtering and cross-tabulation can reveal composition, conditional differences, and changes in a pattern as the population is narrowed. They cannot recover missing upstream decisions or unrecorded social context. They cannot establish that any individual sentence was fair or unfair. They cannot determine the true amount or distribution of offending. They cannot establish that discrimination is present, and they cannot establish that it is absent. They are not a substitute for research designs capable of addressing specific causal questions.</w:t>
      </w:r>
    </w:p>
    <w:p w14:paraId="7E6D876C" w14:textId="73A4685B" w:rsidR="0081420F" w:rsidRPr="0081420F" w:rsidRDefault="0081420F" w:rsidP="00837046">
      <w:pPr>
        <w:spacing w:line="480" w:lineRule="auto"/>
      </w:pPr>
      <w:r w:rsidRPr="0081420F">
        <w:lastRenderedPageBreak/>
        <w:t>The Explorer is also not a prediction system. Historical sentencing records do not justify a claim about what sentence a future case will or should receive. The application is intended to support investigation of recorded patterns, not individualized forecasting or legal advice.</w:t>
      </w:r>
    </w:p>
    <w:p w14:paraId="24FC799C" w14:textId="667D654F" w:rsidR="0081420F" w:rsidRPr="0081420F" w:rsidRDefault="0081420F" w:rsidP="00837046">
      <w:pPr>
        <w:spacing w:line="480" w:lineRule="auto"/>
      </w:pPr>
      <w:r w:rsidRPr="0081420F">
        <w:t>Software introduces further limits. A browser-based instructional environment depends on reliable access to compatible devices and on an interface students can navigate successfully. Accessibility across keyboards, screen readers, varied displays, and differing levels of digital fluency must be verified rather than presumed. Visualizations can clarify distributions and comparisons, but they can also obscure denominators or encourage attention to dramatic shapes at the expense of definitions. Continued visual and accessibility review is therefore part of the project’s substantive integrity, not merely its presentation.</w:t>
      </w:r>
    </w:p>
    <w:p w14:paraId="0B144D31" w14:textId="76175184" w:rsidR="0081420F" w:rsidRPr="0081420F" w:rsidRDefault="0081420F" w:rsidP="00837046">
      <w:pPr>
        <w:spacing w:line="480" w:lineRule="auto"/>
      </w:pPr>
      <w:r w:rsidRPr="0081420F">
        <w:t xml:space="preserve">Finally, the educational evaluation remains </w:t>
      </w:r>
      <w:proofErr w:type="gramStart"/>
      <w:r w:rsidRPr="0081420F">
        <w:t>bounded</w:t>
      </w:r>
      <w:proofErr w:type="gramEnd"/>
      <w:r w:rsidRPr="0081420F">
        <w:t xml:space="preserve">. The current manuscript does not document a completed formal evaluation sufficient to establish learning gains. The project should not claim that students have improved their statistical reasoning, retained the material, or transferred the framework to new datasets unless future evidence supports those conclusions. Design intentions, functional features, and plausible learning opportunities are not the same as </w:t>
      </w:r>
      <w:proofErr w:type="gramStart"/>
      <w:r w:rsidRPr="0081420F">
        <w:t>demonstrated educational effects</w:t>
      </w:r>
      <w:proofErr w:type="gramEnd"/>
      <w:r w:rsidRPr="0081420F">
        <w:t>.</w:t>
      </w:r>
    </w:p>
    <w:p w14:paraId="0FA53421" w14:textId="36DF8D96" w:rsidR="0081420F" w:rsidRPr="0081420F" w:rsidRDefault="0081420F" w:rsidP="00837046">
      <w:pPr>
        <w:pStyle w:val="Heading3"/>
        <w:spacing w:line="480" w:lineRule="auto"/>
      </w:pPr>
      <w:r w:rsidRPr="0081420F">
        <w:t>Future Development and Evaluation</w:t>
      </w:r>
    </w:p>
    <w:p w14:paraId="1CA37A72" w14:textId="2064BA2F" w:rsidR="0081420F" w:rsidRPr="0081420F" w:rsidRDefault="0081420F" w:rsidP="00837046">
      <w:pPr>
        <w:spacing w:line="480" w:lineRule="auto"/>
      </w:pPr>
      <w:r w:rsidRPr="0081420F">
        <w:t xml:space="preserve">Future work should begin with completion and verification. Several curriculum modules and empirical examples remain in draft form. Each Explorer activity should be checked against the current dataset, the relevant sentencing rules, and the application’s actual output. Examples should be retained because they illuminate an interpretive principle, not merely because they produce striking contrasts. Terminology should remain consistent across the scholarly discussion, </w:t>
      </w:r>
      <w:r w:rsidRPr="0081420F">
        <w:lastRenderedPageBreak/>
        <w:t>the interface, and the curriculum—especially the meanings of sentencing record, presumptive sentence duration, disparity, and discrimination.</w:t>
      </w:r>
    </w:p>
    <w:p w14:paraId="16E92E4D" w14:textId="67576FB1" w:rsidR="0081420F" w:rsidRPr="0081420F" w:rsidRDefault="0081420F" w:rsidP="00837046">
      <w:pPr>
        <w:spacing w:line="480" w:lineRule="auto"/>
      </w:pPr>
      <w:r w:rsidRPr="0081420F">
        <w:t>The visual system should continue to be refined through accessibility review and observation of how learners interpret charts, tables, maps, and filter histories. The relevant question is not simply whether a visualization renders correctly, but whether it helps students identify the population, denominator, distribution, and uncertainty without inviting a stronger claim than the evidence supports.</w:t>
      </w:r>
    </w:p>
    <w:p w14:paraId="0366E48C" w14:textId="2B9AA923" w:rsidR="0081420F" w:rsidRPr="0081420F" w:rsidRDefault="0081420F" w:rsidP="00837046">
      <w:pPr>
        <w:spacing w:line="480" w:lineRule="auto"/>
      </w:pPr>
      <w:r w:rsidRPr="0081420F">
        <w:t>The project would also benefit from structured review by sentencing experts, data-methods faculty, educators, and accessibility specialists. Their roles would differ. Sentencing experts could verify institutional and legal explanations; methodological reviewers could identify places where descriptive language drifts toward causal inference; educators could assess sequencing and workload; and accessibility reviewers could evaluate whether the interface and curriculum are usable by learners with varied needs.</w:t>
      </w:r>
    </w:p>
    <w:p w14:paraId="32FC5DCA" w14:textId="290478CA" w:rsidR="0081420F" w:rsidRPr="0081420F" w:rsidRDefault="0081420F" w:rsidP="00837046">
      <w:pPr>
        <w:spacing w:line="480" w:lineRule="auto"/>
      </w:pPr>
      <w:r w:rsidRPr="0081420F">
        <w:t xml:space="preserve">Classroom pilots should be framed as evaluation rather than demonstration. Initial studies might examine whether students can define the population represented by a result, identify the unit of analysis, reproduce an analysis from its history, choose </w:t>
      </w:r>
      <w:proofErr w:type="gramStart"/>
      <w:r w:rsidRPr="0081420F">
        <w:t>a descriptive statistic</w:t>
      </w:r>
      <w:proofErr w:type="gramEnd"/>
      <w:r w:rsidRPr="0081420F">
        <w:t xml:space="preserve"> intentionally, distinguish disparity from discrimination, and write a bounded conclusion. Later work could examine retention and transfer: whether students can apply the same reasoning after time has passed and whether they can use it with an unfamiliar administrative dataset. Such evaluation should distinguish conceptual learning from increased familiarity with the software.</w:t>
      </w:r>
    </w:p>
    <w:p w14:paraId="185EEFF7" w14:textId="44D48BD0" w:rsidR="0081420F" w:rsidRPr="0081420F" w:rsidRDefault="0081420F" w:rsidP="00837046">
      <w:pPr>
        <w:spacing w:line="480" w:lineRule="auto"/>
      </w:pPr>
      <w:r w:rsidRPr="0081420F">
        <w:t xml:space="preserve">Maintenance is equally important. Administrative categories, documentation, browsers, accessibility expectations, and software dependencies change. A teaching tool that emphasizes </w:t>
      </w:r>
      <w:r w:rsidRPr="0081420F">
        <w:lastRenderedPageBreak/>
        <w:t>provenance must maintain its own provenance by recording dataset versions, updating explanations when source rules change, and preserving the reproducibility of existing lessons.</w:t>
      </w:r>
    </w:p>
    <w:p w14:paraId="6861B861" w14:textId="667409A2" w:rsidR="0081420F" w:rsidRPr="0081420F" w:rsidRDefault="0081420F" w:rsidP="00837046">
      <w:pPr>
        <w:pStyle w:val="Heading3"/>
        <w:spacing w:line="480" w:lineRule="auto"/>
      </w:pPr>
      <w:r w:rsidRPr="0081420F">
        <w:t>Transparency as a Learning Outcome</w:t>
      </w:r>
    </w:p>
    <w:p w14:paraId="698ABA4D" w14:textId="3ACBF0E8" w:rsidR="0081420F" w:rsidRPr="0081420F" w:rsidRDefault="0081420F" w:rsidP="00837046">
      <w:pPr>
        <w:spacing w:line="480" w:lineRule="auto"/>
      </w:pPr>
      <w:r w:rsidRPr="0081420F">
        <w:t>Transparency about population, selection, and evidentiary limits is not simply a precaution surrounding the project. It is one of the outcomes the project is designed to teach. A student who can state what a dataset excludes, reconstruct how a filtered population was built, and identify why a descriptive pattern does not establish cause has learned something substantive about evidence.</w:t>
      </w:r>
    </w:p>
    <w:p w14:paraId="25282DFF" w14:textId="64FC36B7" w:rsidR="0081420F" w:rsidRPr="0081420F" w:rsidRDefault="0081420F" w:rsidP="00837046">
      <w:pPr>
        <w:spacing w:line="480" w:lineRule="auto"/>
      </w:pPr>
      <w:proofErr w:type="gramStart"/>
      <w:r w:rsidRPr="0081420F">
        <w:t>That learning</w:t>
      </w:r>
      <w:proofErr w:type="gramEnd"/>
      <w:r w:rsidRPr="0081420F">
        <w:t xml:space="preserve"> does not require distrust of numbers. It requires proportionate trust. Administrative data can support careful, consequential descriptions when its provenance and limits are understood. The roughly 294,000 records in this project can reveal patterns in Minnesota felony sentencing across the years and variables represented in the file. Their limitations do not erase those patterns. They determine the language in which the patterns can honestly be reported.</w:t>
      </w:r>
    </w:p>
    <w:p w14:paraId="795A644B" w14:textId="6C2F1316" w:rsidR="0081420F" w:rsidRPr="0081420F" w:rsidRDefault="0081420F" w:rsidP="00837046">
      <w:pPr>
        <w:spacing w:line="480" w:lineRule="auto"/>
      </w:pPr>
      <w:r w:rsidRPr="0081420F">
        <w:t>Part II now turns from the argument to its instructional application. Its five units guide learners through the provenance of the data, the operation of the Explorer, the machinery of Minnesota sentencing, the interpretation of patterns and disparities, and the design and communication of an independent descriptive investigation. The curriculum is where the framework developed in Part I is taught, practiced, and—through future evaluation—made available for revision.</w:t>
      </w:r>
    </w:p>
    <w:p w14:paraId="2848C2AC" w14:textId="759834AF" w:rsidR="0081420F" w:rsidRPr="0081420F" w:rsidRDefault="0081420F" w:rsidP="00837046">
      <w:pPr>
        <w:spacing w:line="480" w:lineRule="auto"/>
      </w:pPr>
      <w:r w:rsidRPr="0081420F">
        <w:t>The project’s final aim is therefore restrained but consequential. It is not to make students confident that a number settles a question. It is to help them develop disciplined confidence about what a number can support.</w:t>
      </w:r>
    </w:p>
    <w:p w14:paraId="46C37BC9" w14:textId="74906812" w:rsidR="0081420F" w:rsidRPr="0081420F" w:rsidRDefault="0081420F" w:rsidP="00837046">
      <w:pPr>
        <w:pStyle w:val="Heading3"/>
        <w:spacing w:line="480" w:lineRule="auto"/>
      </w:pPr>
      <w:r w:rsidRPr="0081420F">
        <w:lastRenderedPageBreak/>
        <w:t>Provisional References</w:t>
      </w:r>
    </w:p>
    <w:p w14:paraId="5470AED3" w14:textId="77777777" w:rsidR="0081420F" w:rsidRPr="0081420F" w:rsidRDefault="0081420F" w:rsidP="00837046">
      <w:pPr>
        <w:spacing w:line="480" w:lineRule="auto"/>
      </w:pPr>
      <w:r w:rsidRPr="0081420F">
        <w:t>Bushway, S., Johnson, B. D., &amp; Slocum, L. A. (2007). Is the magic still there? The use of the Heckman two-step correction for selection bias in criminology. *Journal of Quantitative Criminology, 23*(2), 151–178. https://doi.org/10.1007/s10940-007-9024-4</w:t>
      </w:r>
    </w:p>
    <w:p w14:paraId="01EFC892" w14:textId="77777777" w:rsidR="0081420F" w:rsidRPr="0081420F" w:rsidRDefault="0081420F" w:rsidP="00837046">
      <w:pPr>
        <w:spacing w:line="480" w:lineRule="auto"/>
      </w:pPr>
    </w:p>
    <w:p w14:paraId="66EE3C70" w14:textId="77777777" w:rsidR="0081420F" w:rsidRPr="0081420F" w:rsidRDefault="0081420F" w:rsidP="00837046">
      <w:pPr>
        <w:spacing w:line="480" w:lineRule="auto"/>
      </w:pPr>
      <w:r w:rsidRPr="0081420F">
        <w:t>Connelly, R., Playford, C. J., Gayle, V., &amp; Dibben, C. (2016). The role of administrative data in the big data revolution in social science research. *Social Science Research, 59*, 1–12. https://doi.org/10.1016/j.ssresearch.2016.04.015</w:t>
      </w:r>
    </w:p>
    <w:p w14:paraId="5C9185C1" w14:textId="77777777" w:rsidR="0081420F" w:rsidRPr="0081420F" w:rsidRDefault="0081420F" w:rsidP="00837046">
      <w:pPr>
        <w:spacing w:line="480" w:lineRule="auto"/>
      </w:pPr>
    </w:p>
    <w:p w14:paraId="55C531A0" w14:textId="77777777" w:rsidR="0081420F" w:rsidRPr="0081420F" w:rsidRDefault="0081420F" w:rsidP="00837046">
      <w:pPr>
        <w:spacing w:line="480" w:lineRule="auto"/>
      </w:pPr>
      <w:r w:rsidRPr="0081420F">
        <w:t>Elwert, F., &amp; Winship, C. (2014). Endogenous selection bias: The problem of conditioning on a collider variable. *Annual Review of Sociology, 40*, 31–53. https://doi.org/10.1146/annurev-soc-071913-043455</w:t>
      </w:r>
    </w:p>
    <w:p w14:paraId="090DB247" w14:textId="77777777" w:rsidR="0081420F" w:rsidRPr="0081420F" w:rsidRDefault="0081420F" w:rsidP="00837046">
      <w:pPr>
        <w:spacing w:line="480" w:lineRule="auto"/>
      </w:pPr>
    </w:p>
    <w:p w14:paraId="6D7CF787" w14:textId="77777777" w:rsidR="0081420F" w:rsidRPr="0081420F" w:rsidRDefault="0081420F" w:rsidP="00837046">
      <w:pPr>
        <w:spacing w:line="480" w:lineRule="auto"/>
      </w:pPr>
      <w:r w:rsidRPr="0081420F">
        <w:t>Minnesota Sentencing Guidelines Commission. (2018). *Sentencing practices: Annual summary statistics for felony cases sentenced in 2017*. https://mn.gov/msgc-stat/documents/reports/2017/UpdatedMSGC2017AnnualSummaryStatistics.pdf</w:t>
      </w:r>
    </w:p>
    <w:p w14:paraId="6E30D68C" w14:textId="77777777" w:rsidR="0081420F" w:rsidRPr="0081420F" w:rsidRDefault="0081420F" w:rsidP="00837046">
      <w:pPr>
        <w:spacing w:line="480" w:lineRule="auto"/>
      </w:pPr>
    </w:p>
    <w:p w14:paraId="62A3B743" w14:textId="77777777" w:rsidR="0081420F" w:rsidRPr="0081420F" w:rsidRDefault="0081420F" w:rsidP="00837046">
      <w:pPr>
        <w:spacing w:line="480" w:lineRule="auto"/>
      </w:pPr>
      <w:r w:rsidRPr="0081420F">
        <w:t>National Research Council. (2004). *Measuring racial discrimination*. National Academies Press. https://doi.org/10.17226/10887</w:t>
      </w:r>
    </w:p>
    <w:p w14:paraId="3DBA6FAA" w14:textId="77777777" w:rsidR="0081420F" w:rsidRPr="0081420F" w:rsidRDefault="0081420F" w:rsidP="00837046">
      <w:pPr>
        <w:spacing w:line="480" w:lineRule="auto"/>
      </w:pPr>
    </w:p>
    <w:p w14:paraId="0116D5B9" w14:textId="6C4C2D3A" w:rsidR="0081420F" w:rsidRDefault="0081420F" w:rsidP="00837046">
      <w:pPr>
        <w:spacing w:line="480" w:lineRule="auto"/>
      </w:pPr>
      <w:r w:rsidRPr="0081420F">
        <w:lastRenderedPageBreak/>
        <w:t xml:space="preserve">Rothbard, A. (2013). *Quality issues in the use of administrative data records*. Actionable Intelligence for Social Policy, University of Pennsylvania. </w:t>
      </w:r>
      <w:hyperlink r:id="rId13" w:history="1">
        <w:r w:rsidRPr="00271A47">
          <w:rPr>
            <w:rStyle w:val="Hyperlink"/>
          </w:rPr>
          <w:t>https://aisp.upenn.edu/wp-content/uploads/2015/06/Data-Quality-Paper_Final.pdf</w:t>
        </w:r>
      </w:hyperlink>
      <w:r>
        <w:t xml:space="preserve"> </w:t>
      </w:r>
    </w:p>
    <w:p w14:paraId="2AF1DBB7" w14:textId="0E83AB38" w:rsidR="00726BD3" w:rsidRPr="00726BD3" w:rsidRDefault="00FE7FE0" w:rsidP="00837046">
      <w:pPr>
        <w:pStyle w:val="Heading1"/>
        <w:spacing w:line="480" w:lineRule="auto"/>
      </w:pPr>
      <w:r w:rsidRPr="00FE7FE0">
        <w:t>Unit I</w:t>
      </w:r>
      <w:r>
        <w:t>:</w:t>
      </w:r>
      <w:r w:rsidRPr="00FE7FE0">
        <w:t xml:space="preserve"> </w:t>
      </w:r>
      <w:r w:rsidRPr="005430EE">
        <w:t>Foundations</w:t>
      </w:r>
    </w:p>
    <w:p w14:paraId="1017B6CA" w14:textId="77777777" w:rsidR="007A6CC6" w:rsidRPr="007A6CC6" w:rsidRDefault="007A6CC6" w:rsidP="00837046">
      <w:pPr>
        <w:pStyle w:val="Heading2"/>
        <w:spacing w:line="480" w:lineRule="auto"/>
      </w:pPr>
      <w:r w:rsidRPr="007A6CC6">
        <w:t>Module 1: What This Data Is (and Is Not)</w:t>
      </w:r>
    </w:p>
    <w:p w14:paraId="78CC2FBB" w14:textId="44078569" w:rsidR="007A6CC6" w:rsidRPr="007A6CC6" w:rsidRDefault="007A6CC6" w:rsidP="00837046">
      <w:pPr>
        <w:pStyle w:val="Heading3"/>
        <w:spacing w:line="480" w:lineRule="auto"/>
      </w:pPr>
      <w:r w:rsidRPr="007A6CC6">
        <w:t>Situating the Minnesota Felony Sentencing Dataset</w:t>
      </w:r>
    </w:p>
    <w:p w14:paraId="4C501CA8" w14:textId="77777777" w:rsidR="007A6CC6" w:rsidRPr="007A6CC6" w:rsidRDefault="007A6CC6" w:rsidP="00837046">
      <w:pPr>
        <w:spacing w:line="480" w:lineRule="auto"/>
        <w:rPr>
          <w:rFonts w:eastAsiaTheme="majorEastAsia"/>
        </w:rPr>
      </w:pPr>
      <w:r w:rsidRPr="007A6CC6">
        <w:rPr>
          <w:rFonts w:eastAsiaTheme="majorEastAsia"/>
        </w:rPr>
        <w:t>Every analytic task that follows, whether filtering, summarizing, or comparing groups, depends on a prior question: what is the dataset students are exploring, and what can it honestly tell them? That question is not a formality. Numbers about crime are among the most frequently misread statistics in public life. In 23 of 27 national surveys conducted since 1993, a majority of Americans reported believing that crime was rising, even across long periods in which recorded crime was falling (Gramlich, 2024). A statistic is only as trustworthy as the reader’s understanding of where it came from and what it leaves out (Best, 2001).</w:t>
      </w:r>
    </w:p>
    <w:p w14:paraId="38683F76" w14:textId="77777777" w:rsidR="007A6CC6" w:rsidRPr="007A6CC6" w:rsidRDefault="007A6CC6" w:rsidP="00837046">
      <w:pPr>
        <w:spacing w:line="480" w:lineRule="auto"/>
        <w:rPr>
          <w:rFonts w:eastAsiaTheme="majorEastAsia"/>
        </w:rPr>
      </w:pPr>
      <w:r w:rsidRPr="007A6CC6">
        <w:rPr>
          <w:rFonts w:eastAsiaTheme="majorEastAsia"/>
        </w:rPr>
        <w:t>This chapter therefore begins where careful analysis must begin: with provenance. It traces the Minnesota felony sentencing dataset back to its institutional origin, asking who created it, why it was created, and where in the life of a criminal case the record was produced. The purpose is not merely to introduce the data. It is to make clear which questions the roughly 294,000 felony sentencing records covering 2001 through 2019 can answer, and which questions they cannot.</w:t>
      </w:r>
    </w:p>
    <w:p w14:paraId="125750F6" w14:textId="77777777" w:rsidR="007A6CC6" w:rsidRPr="007A6CC6" w:rsidRDefault="007A6CC6" w:rsidP="00837046">
      <w:pPr>
        <w:pStyle w:val="Heading3"/>
        <w:spacing w:line="480" w:lineRule="auto"/>
      </w:pPr>
      <w:r w:rsidRPr="007A6CC6">
        <w:lastRenderedPageBreak/>
        <w:t>Administrative Data: Built to Run a System, Not to Answer a Question</w:t>
      </w:r>
    </w:p>
    <w:p w14:paraId="3AC99E99" w14:textId="77777777" w:rsidR="007A6CC6" w:rsidRPr="007A6CC6" w:rsidRDefault="007A6CC6" w:rsidP="00837046">
      <w:pPr>
        <w:spacing w:line="480" w:lineRule="auto"/>
        <w:rPr>
          <w:rFonts w:eastAsiaTheme="majorEastAsia"/>
        </w:rPr>
      </w:pPr>
      <w:r w:rsidRPr="007A6CC6">
        <w:rPr>
          <w:rFonts w:eastAsiaTheme="majorEastAsia"/>
        </w:rPr>
        <w:t>The dataset is administrative data: information generated as a by-product of running an organization rather than collected to answer a research question (Connelly et al., 2016). Courts and the Minnesota Sentencing Guidelines Commission record sentences because the state must document and monitor how people are sentenced. They do not record them because a researcher first designed a study.</w:t>
      </w:r>
    </w:p>
    <w:p w14:paraId="63D61405" w14:textId="77777777" w:rsidR="007A6CC6" w:rsidRPr="007A6CC6" w:rsidRDefault="007A6CC6" w:rsidP="00837046">
      <w:pPr>
        <w:spacing w:line="480" w:lineRule="auto"/>
        <w:rPr>
          <w:rFonts w:eastAsiaTheme="majorEastAsia"/>
        </w:rPr>
      </w:pPr>
      <w:r w:rsidRPr="007A6CC6">
        <w:rPr>
          <w:rFonts w:eastAsiaTheme="majorEastAsia"/>
        </w:rPr>
        <w:t>That origin is both a strength and a limitation. Administrative records can cover nearly every case, span decades, and avoid the sampling error that accompanies surveys. Yet because the data was shaped by the needs of the system that produced it, using it for research requires reconstructing how each field was defined and recorded. The categories, rules, and exceptions were chosen by administrators, not by the analyst (Connelly et al., 2016).</w:t>
      </w:r>
    </w:p>
    <w:p w14:paraId="26CAE5C0" w14:textId="77777777" w:rsidR="007A6CC6" w:rsidRPr="007A6CC6" w:rsidRDefault="007A6CC6" w:rsidP="00837046">
      <w:pPr>
        <w:spacing w:line="480" w:lineRule="auto"/>
        <w:rPr>
          <w:rFonts w:eastAsiaTheme="majorEastAsia"/>
        </w:rPr>
      </w:pPr>
      <w:r w:rsidRPr="007A6CC6">
        <w:rPr>
          <w:rFonts w:eastAsiaTheme="majorEastAsia"/>
        </w:rPr>
        <w:t>The first habit, then, is to treat every column as an administrative decision before treating it as a measurement. The question is not only what value appears in the field. The question is why the system would record that value in that way. That discipline prevents many of the mistakes that follow when institutional records are read as if they were neutral windows onto social reality.</w:t>
      </w:r>
    </w:p>
    <w:p w14:paraId="50DCB9BC" w14:textId="77777777" w:rsidR="007A6CC6" w:rsidRPr="007A6CC6" w:rsidRDefault="007A6CC6" w:rsidP="00837046">
      <w:pPr>
        <w:pStyle w:val="Heading3"/>
        <w:spacing w:line="480" w:lineRule="auto"/>
      </w:pPr>
      <w:r w:rsidRPr="007A6CC6">
        <w:t>The Source: The Minnesota Sentencing Guidelines Commission</w:t>
      </w:r>
    </w:p>
    <w:p w14:paraId="3ECE49F9" w14:textId="77777777" w:rsidR="007A6CC6" w:rsidRPr="007A6CC6" w:rsidRDefault="007A6CC6" w:rsidP="00837046">
      <w:pPr>
        <w:spacing w:line="480" w:lineRule="auto"/>
        <w:rPr>
          <w:rFonts w:eastAsiaTheme="majorEastAsia"/>
        </w:rPr>
      </w:pPr>
      <w:r w:rsidRPr="007A6CC6">
        <w:rPr>
          <w:rFonts w:eastAsiaTheme="majorEastAsia"/>
        </w:rPr>
        <w:t>In 1978, the Minnesota Legislature created the Minnesota Sentencing Guidelines Commission, and in 1980 Minnesota became the first state to sentence felonies under presumptive guidelines developed by such a commission (Frase, 2005; Minnesota Sentencing Guidelines Commission, n.d.). The guidelines derive a presumptive sentence for each case from two facts: the severity of the offense and the sentenced person’s criminal-history score. The structure was intended to make punishment more uniform and principled (Frase, 2013).</w:t>
      </w:r>
    </w:p>
    <w:p w14:paraId="0AF8A5C9" w14:textId="77777777" w:rsidR="007A6CC6" w:rsidRPr="007A6CC6" w:rsidRDefault="007A6CC6" w:rsidP="00837046">
      <w:pPr>
        <w:spacing w:line="480" w:lineRule="auto"/>
        <w:rPr>
          <w:rFonts w:eastAsiaTheme="majorEastAsia"/>
        </w:rPr>
      </w:pPr>
      <w:r w:rsidRPr="007A6CC6">
        <w:rPr>
          <w:rFonts w:eastAsiaTheme="majorEastAsia"/>
        </w:rPr>
        <w:lastRenderedPageBreak/>
        <w:t>To monitor whether courts follow the guidelines, the Commission maintains a record of every person convicted of a felony in adult court and sentenced under them. Those records are assembled from probation officers’ sentencing worksheets and court data (Minnesota Sentencing Guidelines Commission, 2024). The present dataset is a slice of that monitoring system. For scale, annual felony case volumes have ranged from roughly 5,500 in 1981 to a peak of 18,288 in 2017 (Minnesota Sentencing Guidelines Commission, 2023).</w:t>
      </w:r>
    </w:p>
    <w:p w14:paraId="7FFCB8B4" w14:textId="77777777" w:rsidR="007A6CC6" w:rsidRPr="007A6CC6" w:rsidRDefault="007A6CC6" w:rsidP="00837046">
      <w:pPr>
        <w:spacing w:line="480" w:lineRule="auto"/>
        <w:rPr>
          <w:rFonts w:eastAsiaTheme="majorEastAsia"/>
        </w:rPr>
      </w:pPr>
      <w:r w:rsidRPr="007A6CC6">
        <w:rPr>
          <w:rFonts w:eastAsiaTheme="majorEastAsia"/>
        </w:rPr>
        <w:t>This provenance matters for interpretation. The data exists to answer the Commission’s question: are sentences following the guidelines? It was not designed to measure how much crime Minnesota experiences, or why. The dataset is powerful when it is used for the purpose its structure can support. It becomes fragile when it is asked to answer questions it was never built to answer.</w:t>
      </w:r>
    </w:p>
    <w:p w14:paraId="1D46C36F" w14:textId="77777777" w:rsidR="007A6CC6" w:rsidRPr="007A6CC6" w:rsidRDefault="007A6CC6" w:rsidP="00837046">
      <w:pPr>
        <w:pStyle w:val="Heading3"/>
        <w:spacing w:line="480" w:lineRule="auto"/>
      </w:pPr>
      <w:r w:rsidRPr="007A6CC6">
        <w:t>The Criminal-Justice Funnel</w:t>
      </w:r>
    </w:p>
    <w:p w14:paraId="3EC43E7C" w14:textId="77777777" w:rsidR="007A6CC6" w:rsidRPr="007A6CC6" w:rsidRDefault="007A6CC6" w:rsidP="00837046">
      <w:pPr>
        <w:spacing w:line="480" w:lineRule="auto"/>
        <w:rPr>
          <w:rFonts w:eastAsiaTheme="majorEastAsia"/>
        </w:rPr>
      </w:pPr>
      <w:r w:rsidRPr="007A6CC6">
        <w:rPr>
          <w:rFonts w:eastAsiaTheme="majorEastAsia"/>
        </w:rPr>
        <w:t>A sentence is the last event in a long sequence. For a felony sentence to exist, a crime must have been committed, noticed, reported, recorded by police, and investigated. An arrest must have been made, charges must have been filed, guilt must have been established, and a felony-level sentence must have been imposed.</w:t>
      </w:r>
    </w:p>
    <w:p w14:paraId="099DE7A1" w14:textId="77777777" w:rsidR="007A6CC6" w:rsidRPr="007A6CC6" w:rsidRDefault="007A6CC6" w:rsidP="00837046">
      <w:pPr>
        <w:spacing w:line="480" w:lineRule="auto"/>
        <w:rPr>
          <w:rFonts w:eastAsiaTheme="majorEastAsia"/>
        </w:rPr>
      </w:pPr>
      <w:r w:rsidRPr="007A6CC6">
        <w:rPr>
          <w:rFonts w:eastAsiaTheme="majorEastAsia"/>
        </w:rPr>
        <w:t>Criminologists often describe this progression as a funnel: many events enter at the top, and only a fraction reach the bottom. The conception of criminal justice as a connected system, with cases dropping out at each stage, was articulated by the President’s Commission on Law Enforcement and Administration of Justice (1967).</w:t>
      </w:r>
    </w:p>
    <w:p w14:paraId="09CBB108" w14:textId="77777777" w:rsidR="007A6CC6" w:rsidRPr="007A6CC6" w:rsidRDefault="007A6CC6" w:rsidP="00837046">
      <w:pPr>
        <w:spacing w:line="480" w:lineRule="auto"/>
        <w:rPr>
          <w:rFonts w:eastAsiaTheme="majorEastAsia"/>
        </w:rPr>
      </w:pPr>
      <w:r w:rsidRPr="007A6CC6">
        <w:rPr>
          <w:rFonts w:eastAsiaTheme="majorEastAsia"/>
        </w:rPr>
        <w:t xml:space="preserve">The Minnesota felony sentencing dataset sits at the very bottom of that funnel. It contains only cases that survived every prior stage and ended in a felony sentence. It therefore says nothing </w:t>
      </w:r>
      <w:r w:rsidRPr="007A6CC6">
        <w:rPr>
          <w:rFonts w:eastAsiaTheme="majorEastAsia"/>
        </w:rPr>
        <w:lastRenderedPageBreak/>
        <w:t>directly about crimes no one reported, reported crimes that produced no arrest, arrests that produced no charge or conviction, or offenses resolved as misdemeanors or dismissed. Each of those is a stage the dataset never observes. The record begins late in the story.</w:t>
      </w:r>
    </w:p>
    <w:p w14:paraId="66533374" w14:textId="77777777" w:rsidR="007A6CC6" w:rsidRPr="007A6CC6" w:rsidRDefault="007A6CC6" w:rsidP="00837046">
      <w:pPr>
        <w:pStyle w:val="Heading3"/>
        <w:spacing w:line="480" w:lineRule="auto"/>
      </w:pPr>
      <w:r w:rsidRPr="007A6CC6">
        <w:t>The Dark Figure of Crime</w:t>
      </w:r>
    </w:p>
    <w:p w14:paraId="20E9E825" w14:textId="77777777" w:rsidR="007A6CC6" w:rsidRPr="007A6CC6" w:rsidRDefault="007A6CC6" w:rsidP="00837046">
      <w:pPr>
        <w:spacing w:line="480" w:lineRule="auto"/>
        <w:rPr>
          <w:rFonts w:eastAsiaTheme="majorEastAsia"/>
        </w:rPr>
      </w:pPr>
      <w:r w:rsidRPr="007A6CC6">
        <w:rPr>
          <w:rFonts w:eastAsiaTheme="majorEastAsia"/>
        </w:rPr>
        <w:t>Criminologists call the crime that never appears in official records the dark figure of crime: conduct treated as crime but registered in no agency’s statistics (Biderman &amp; Reiss, 1967). The dark figure is not small. In the National Crime Victimization Survey, only about 42% of violent victimizations were reported to police in 2022, meaning nearly six in ten went unreported (Morgan &amp; Thompson, 2023).</w:t>
      </w:r>
    </w:p>
    <w:p w14:paraId="487BA8B6" w14:textId="77777777" w:rsidR="007A6CC6" w:rsidRPr="007A6CC6" w:rsidRDefault="007A6CC6" w:rsidP="00837046">
      <w:pPr>
        <w:spacing w:line="480" w:lineRule="auto"/>
        <w:rPr>
          <w:rFonts w:eastAsiaTheme="majorEastAsia"/>
        </w:rPr>
      </w:pPr>
      <w:r w:rsidRPr="007A6CC6">
        <w:rPr>
          <w:rFonts w:eastAsiaTheme="majorEastAsia"/>
        </w:rPr>
        <w:t>Nor is unreported crime a random sample of all crime. It tends to skew toward less serious incidents, smaller losses, and less injury (Skogan, 1977). The crimes that move through the funnel toward a felony sentence are therefore systematically different from those that do not.</w:t>
      </w:r>
    </w:p>
    <w:p w14:paraId="4B041CB7" w14:textId="77777777" w:rsidR="007A6CC6" w:rsidRPr="007A6CC6" w:rsidRDefault="007A6CC6" w:rsidP="00837046">
      <w:pPr>
        <w:spacing w:line="480" w:lineRule="auto"/>
        <w:rPr>
          <w:rFonts w:eastAsiaTheme="majorEastAsia"/>
        </w:rPr>
      </w:pPr>
      <w:r w:rsidRPr="007A6CC6">
        <w:rPr>
          <w:rFonts w:eastAsiaTheme="majorEastAsia"/>
        </w:rPr>
        <w:t>Before a single row of the Minnesota sentencing dataset was recorded, most crime had already dropped out of view. It had also dropped out selectively. No filter applied later can recover what the system never recorded.</w:t>
      </w:r>
    </w:p>
    <w:p w14:paraId="77CE8712" w14:textId="77777777" w:rsidR="007A6CC6" w:rsidRPr="007A6CC6" w:rsidRDefault="007A6CC6" w:rsidP="00837046">
      <w:pPr>
        <w:pStyle w:val="Heading3"/>
        <w:spacing w:line="480" w:lineRule="auto"/>
      </w:pPr>
      <w:r w:rsidRPr="007A6CC6">
        <w:t>Sellin’s Dictum: Distance From the Act</w:t>
      </w:r>
    </w:p>
    <w:p w14:paraId="4920C1A3" w14:textId="77777777" w:rsidR="007A6CC6" w:rsidRPr="007A6CC6" w:rsidRDefault="007A6CC6" w:rsidP="00837046">
      <w:pPr>
        <w:spacing w:line="480" w:lineRule="auto"/>
        <w:rPr>
          <w:rFonts w:eastAsiaTheme="majorEastAsia"/>
        </w:rPr>
      </w:pPr>
      <w:r w:rsidRPr="007A6CC6">
        <w:rPr>
          <w:rFonts w:eastAsiaTheme="majorEastAsia"/>
        </w:rPr>
        <w:t>In 1931, criminologist Thorsten Sellin articulated a principle now known as Sellin’s dictum: the farther a statistic is collected from the criminal act itself, measured in procedural steps, the less reliable it is as an index of crime (Sellin, 1931). Police reports sit closer to the event than arrests. Arrests sit closer than convictions. Convictions sit closer than sentences. Sentences lie as far down the procedural chain as it is possible to go.</w:t>
      </w:r>
    </w:p>
    <w:p w14:paraId="08B16D0D" w14:textId="77777777" w:rsidR="007A6CC6" w:rsidRPr="007A6CC6" w:rsidRDefault="007A6CC6" w:rsidP="00837046">
      <w:pPr>
        <w:spacing w:line="480" w:lineRule="auto"/>
        <w:rPr>
          <w:rFonts w:eastAsiaTheme="majorEastAsia"/>
        </w:rPr>
      </w:pPr>
      <w:r w:rsidRPr="007A6CC6">
        <w:rPr>
          <w:rFonts w:eastAsiaTheme="majorEastAsia"/>
        </w:rPr>
        <w:t xml:space="preserve">By Sellin’s rule, felony sentencing data is an excellent record of one thing: what the system decided to do. It is a weak proxy for another: how much crime actually occurred. This distinction reframes </w:t>
      </w:r>
      <w:r w:rsidRPr="007A6CC6">
        <w:rPr>
          <w:rFonts w:eastAsiaTheme="majorEastAsia"/>
        </w:rPr>
        <w:lastRenderedPageBreak/>
        <w:t>the entire enterprise. The roughly 294,000 records provide a rich and reliable account of Minnesota sentencing decisions. Read as a map of crime itself, they are among the weakest measures available.</w:t>
      </w:r>
    </w:p>
    <w:p w14:paraId="19B12F3E" w14:textId="77777777" w:rsidR="007A6CC6" w:rsidRPr="007A6CC6" w:rsidRDefault="007A6CC6" w:rsidP="00837046">
      <w:pPr>
        <w:spacing w:line="480" w:lineRule="auto"/>
        <w:rPr>
          <w:rFonts w:eastAsiaTheme="majorEastAsia"/>
        </w:rPr>
      </w:pPr>
      <w:r w:rsidRPr="007A6CC6">
        <w:rPr>
          <w:rFonts w:eastAsiaTheme="majorEastAsia"/>
        </w:rPr>
        <w:t>The mistake is understandable. Sentencing records are official, detailed, and numerically precise. But precision is not the same as proximity. Almost every error in interpreting the data begins by confusing a downstream sentencing record with an upstream criminal event.</w:t>
      </w:r>
    </w:p>
    <w:p w14:paraId="3D6E14BF" w14:textId="77777777" w:rsidR="007A6CC6" w:rsidRPr="007A6CC6" w:rsidRDefault="007A6CC6" w:rsidP="00837046">
      <w:pPr>
        <w:pStyle w:val="Heading3"/>
        <w:spacing w:line="480" w:lineRule="auto"/>
      </w:pPr>
      <w:r w:rsidRPr="007A6CC6">
        <w:t>How the Nation Measures Crime, and How Minnesota’s Data Differs</w:t>
      </w:r>
    </w:p>
    <w:p w14:paraId="431EB835" w14:textId="77777777" w:rsidR="007A6CC6" w:rsidRPr="007A6CC6" w:rsidRDefault="007A6CC6" w:rsidP="00837046">
      <w:pPr>
        <w:spacing w:line="480" w:lineRule="auto"/>
        <w:rPr>
          <w:rFonts w:eastAsiaTheme="majorEastAsia"/>
        </w:rPr>
      </w:pPr>
      <w:r w:rsidRPr="007A6CC6">
        <w:rPr>
          <w:rFonts w:eastAsiaTheme="majorEastAsia"/>
        </w:rPr>
        <w:t>Because no single source captures all crime, the United States relies on two national systems that sit at different points in the criminal-justice funnel. The FBI’s Uniform Crime Reporting program, now transitioning to the more detailed National Incident-Based Reporting System, counts crimes recorded by police (Federal Bureau of Investigation, n.d.). The Bureau of Justice Statistics’ National Crime Victimization Survey instead asks a national sample of households about crimes they experienced, including crimes never reported to police (Bureau of Justice Statistics, n.d.-b).</w:t>
      </w:r>
    </w:p>
    <w:p w14:paraId="0C8D9469" w14:textId="77777777" w:rsidR="007A6CC6" w:rsidRPr="007A6CC6" w:rsidRDefault="007A6CC6" w:rsidP="00837046">
      <w:pPr>
        <w:spacing w:line="480" w:lineRule="auto"/>
        <w:rPr>
          <w:rFonts w:eastAsiaTheme="majorEastAsia"/>
        </w:rPr>
      </w:pPr>
      <w:r w:rsidRPr="007A6CC6">
        <w:rPr>
          <w:rFonts w:eastAsiaTheme="majorEastAsia"/>
        </w:rPr>
        <w:t>The two systems disagree by design because they measure different slices of the funnel. The Minnesota data is neither of these. It is a court and sentencing record that sits below both in the funnel.</w:t>
      </w:r>
    </w:p>
    <w:p w14:paraId="2E833ABD" w14:textId="77777777" w:rsidR="007A6CC6" w:rsidRPr="007A6CC6" w:rsidRDefault="007A6CC6" w:rsidP="00837046">
      <w:pPr>
        <w:spacing w:line="480" w:lineRule="auto"/>
        <w:rPr>
          <w:rFonts w:eastAsiaTheme="majorEastAsia"/>
        </w:rPr>
      </w:pPr>
      <w:r w:rsidRPr="007A6CC6">
        <w:rPr>
          <w:rFonts w:eastAsiaTheme="majorEastAsia"/>
        </w:rPr>
        <w:t>The proper question before comparing a finding from this dataset to a national crime statistic is therefore not whether the numbers look similar. It is whether they measure the same stage of the process. Usually, they do not.</w:t>
      </w:r>
    </w:p>
    <w:p w14:paraId="7B714025" w14:textId="77777777" w:rsidR="007A6CC6" w:rsidRPr="007A6CC6" w:rsidRDefault="007A6CC6" w:rsidP="00837046">
      <w:pPr>
        <w:pStyle w:val="Heading3"/>
        <w:spacing w:line="480" w:lineRule="auto"/>
      </w:pPr>
      <w:r w:rsidRPr="007A6CC6">
        <w:t>The Unit of Analysis: What One Row Represents</w:t>
      </w:r>
    </w:p>
    <w:p w14:paraId="42B6C354" w14:textId="77777777" w:rsidR="007A6CC6" w:rsidRPr="007A6CC6" w:rsidRDefault="007A6CC6" w:rsidP="00837046">
      <w:pPr>
        <w:spacing w:line="480" w:lineRule="auto"/>
        <w:rPr>
          <w:rFonts w:eastAsiaTheme="majorEastAsia"/>
        </w:rPr>
      </w:pPr>
      <w:r w:rsidRPr="007A6CC6">
        <w:rPr>
          <w:rFonts w:eastAsiaTheme="majorEastAsia"/>
        </w:rPr>
        <w:t>A dataset is only as clear as its unit of analysis. Before a total can be trusted, the reader must know what one row represents.</w:t>
      </w:r>
    </w:p>
    <w:p w14:paraId="787038F7" w14:textId="77777777" w:rsidR="007A6CC6" w:rsidRPr="007A6CC6" w:rsidRDefault="007A6CC6" w:rsidP="00837046">
      <w:pPr>
        <w:spacing w:line="480" w:lineRule="auto"/>
        <w:rPr>
          <w:rFonts w:eastAsiaTheme="majorEastAsia"/>
        </w:rPr>
      </w:pPr>
      <w:r w:rsidRPr="007A6CC6">
        <w:rPr>
          <w:rFonts w:eastAsiaTheme="majorEastAsia"/>
        </w:rPr>
        <w:lastRenderedPageBreak/>
        <w:t>Here, one row is one sentencing record. The Commission’s counting rules define that record precisely: when a person is sentenced in the same county for several offenses within a 30-day window, those offenses are combined into a single record described by the most serious offense (Minnesota Sentencing Guidelines Commission, 2018).</w:t>
      </w:r>
    </w:p>
    <w:p w14:paraId="04465891" w14:textId="77777777" w:rsidR="007A6CC6" w:rsidRPr="007A6CC6" w:rsidRDefault="007A6CC6" w:rsidP="00837046">
      <w:pPr>
        <w:spacing w:line="480" w:lineRule="auto"/>
        <w:rPr>
          <w:rFonts w:eastAsiaTheme="majorEastAsia"/>
        </w:rPr>
      </w:pPr>
      <w:r w:rsidRPr="007A6CC6">
        <w:rPr>
          <w:rFonts w:eastAsiaTheme="majorEastAsia"/>
        </w:rPr>
        <w:t>Two consequences follow, and both are easy to miss. First, one row is not one person. An individual sentenced in 2004 and again in 2015 occupies two rows because the data counts sentencing events rather than individuals. This is the same distinction federal court statistics draw between a case and a defendant (Bureau of Justice Statistics, n.d.-a).</w:t>
      </w:r>
    </w:p>
    <w:p w14:paraId="19C05778" w14:textId="77777777" w:rsidR="007A6CC6" w:rsidRPr="007A6CC6" w:rsidRDefault="007A6CC6" w:rsidP="00837046">
      <w:pPr>
        <w:spacing w:line="480" w:lineRule="auto"/>
        <w:rPr>
          <w:rFonts w:eastAsiaTheme="majorEastAsia"/>
        </w:rPr>
      </w:pPr>
      <w:r w:rsidRPr="007A6CC6">
        <w:rPr>
          <w:rFonts w:eastAsiaTheme="majorEastAsia"/>
        </w:rPr>
        <w:t>Second, one row is not one crime. Secondary offenses within a record are collapsed into the most serious offense, and, as the funnel shows, most crimes never produce a sentencing record at all.</w:t>
      </w:r>
    </w:p>
    <w:p w14:paraId="02E85131" w14:textId="77777777" w:rsidR="007A6CC6" w:rsidRPr="007A6CC6" w:rsidRDefault="007A6CC6" w:rsidP="00837046">
      <w:pPr>
        <w:spacing w:line="480" w:lineRule="auto"/>
        <w:rPr>
          <w:rFonts w:eastAsiaTheme="majorEastAsia"/>
        </w:rPr>
      </w:pPr>
      <w:r w:rsidRPr="007A6CC6">
        <w:rPr>
          <w:rFonts w:eastAsiaTheme="majorEastAsia"/>
        </w:rPr>
        <w:t>Every total in the dataset should therefore be read not as a count of people or crimes, but as a count of sentencing records. The full dataset comprises roughly 294,000 such records described across more than 100 administrative fields. Each field is a category the Commission chose to record. Each is also a reminder of the many things the dataset does not know.</w:t>
      </w:r>
    </w:p>
    <w:p w14:paraId="257F79ED" w14:textId="77777777" w:rsidR="007A6CC6" w:rsidRPr="007A6CC6" w:rsidRDefault="007A6CC6" w:rsidP="00837046">
      <w:pPr>
        <w:pStyle w:val="Heading3"/>
        <w:spacing w:line="480" w:lineRule="auto"/>
      </w:pPr>
      <w:r w:rsidRPr="007A6CC6">
        <w:t>What the Dataset Excludes</w:t>
      </w:r>
    </w:p>
    <w:p w14:paraId="26754AA0" w14:textId="77777777" w:rsidR="007A6CC6" w:rsidRPr="007A6CC6" w:rsidRDefault="007A6CC6" w:rsidP="00837046">
      <w:pPr>
        <w:spacing w:line="480" w:lineRule="auto"/>
        <w:rPr>
          <w:rFonts w:eastAsiaTheme="majorEastAsia"/>
        </w:rPr>
      </w:pPr>
      <w:r w:rsidRPr="007A6CC6">
        <w:rPr>
          <w:rFonts w:eastAsiaTheme="majorEastAsia"/>
        </w:rPr>
        <w:t>Combining the funnel with the counting rules makes the dataset’s absences visible. It excludes unreported crime, the dark figure that constitutes the majority of offenses (Biderman &amp; Reiss, 1967). It excludes crimes that produced no felony conviction, including cases dropped, dismissed, acquitted, or resolved as misdemeanors. It excludes secondary offenses, which are folded into a record’s most serious charge (Minnesota Sentencing Guidelines Commission, 2018).</w:t>
      </w:r>
    </w:p>
    <w:p w14:paraId="7CBC9837" w14:textId="77777777" w:rsidR="007A6CC6" w:rsidRPr="007A6CC6" w:rsidRDefault="007A6CC6" w:rsidP="00837046">
      <w:pPr>
        <w:spacing w:line="480" w:lineRule="auto"/>
        <w:rPr>
          <w:rFonts w:eastAsiaTheme="majorEastAsia"/>
        </w:rPr>
      </w:pPr>
      <w:r w:rsidRPr="007A6CC6">
        <w:rPr>
          <w:rFonts w:eastAsiaTheme="majorEastAsia"/>
        </w:rPr>
        <w:t xml:space="preserve">It also excludes most white-collar and regulatory harm, which rarely yields a felony sentence, an offense that by definition may carry a term of at least a year. It excludes context about people’s </w:t>
      </w:r>
      <w:r w:rsidRPr="007A6CC6">
        <w:rPr>
          <w:rFonts w:eastAsiaTheme="majorEastAsia"/>
        </w:rPr>
        <w:lastRenderedPageBreak/>
        <w:t>lives, because the monitoring system does not maintain data on sentenced persons’ social or economic circumstances (Minnesota Sentencing Guidelines Commission, 2024).</w:t>
      </w:r>
    </w:p>
    <w:p w14:paraId="6A2869BE" w14:textId="77777777" w:rsidR="007A6CC6" w:rsidRPr="007A6CC6" w:rsidRDefault="007A6CC6" w:rsidP="00837046">
      <w:pPr>
        <w:spacing w:line="480" w:lineRule="auto"/>
        <w:rPr>
          <w:rFonts w:eastAsiaTheme="majorEastAsia"/>
        </w:rPr>
      </w:pPr>
      <w:r w:rsidRPr="007A6CC6">
        <w:rPr>
          <w:rFonts w:eastAsiaTheme="majorEastAsia"/>
        </w:rPr>
        <w:t>A final caution belongs here. This is an educational dataset, not a prediction engine. It describes sentences that were imposed. It is not a calculator for the sentence a future case should or will receive. The gap between the guideline-recommended sentence and the sentence actually pronounced is itself a subtle matter, taken up in a later chapter.</w:t>
      </w:r>
    </w:p>
    <w:p w14:paraId="2B6D904A" w14:textId="77777777" w:rsidR="007A6CC6" w:rsidRPr="007A6CC6" w:rsidRDefault="007A6CC6" w:rsidP="00837046">
      <w:pPr>
        <w:pStyle w:val="Heading3"/>
        <w:spacing w:line="480" w:lineRule="auto"/>
      </w:pPr>
      <w:r w:rsidRPr="007A6CC6">
        <w:t>Why a Pattern Is Not a Verdict: Description Versus Explanation</w:t>
      </w:r>
    </w:p>
    <w:p w14:paraId="254540CC" w14:textId="77777777" w:rsidR="007A6CC6" w:rsidRPr="007A6CC6" w:rsidRDefault="007A6CC6" w:rsidP="00837046">
      <w:pPr>
        <w:spacing w:line="480" w:lineRule="auto"/>
        <w:rPr>
          <w:rFonts w:eastAsiaTheme="majorEastAsia"/>
        </w:rPr>
      </w:pPr>
      <w:r w:rsidRPr="007A6CC6">
        <w:rPr>
          <w:rFonts w:eastAsiaTheme="majorEastAsia"/>
        </w:rPr>
        <w:t>A sentencing record is the end product of a long chain of human decisions: victims who report or do not, police who arrest or do not, prosecutors who charge or bargain, and judges who sentence. Every stage filters which cases arrive at the bottom (Klepper et al., 1983). Studying only sentenced cases therefore means studying a selected, non-random sample of everything that happened (Bushway et al., 2007).</w:t>
      </w:r>
    </w:p>
    <w:p w14:paraId="6CD3AABF" w14:textId="77777777" w:rsidR="007A6CC6" w:rsidRPr="007A6CC6" w:rsidRDefault="007A6CC6" w:rsidP="00837046">
      <w:pPr>
        <w:spacing w:line="480" w:lineRule="auto"/>
        <w:rPr>
          <w:rFonts w:eastAsiaTheme="majorEastAsia"/>
        </w:rPr>
      </w:pPr>
      <w:r w:rsidRPr="007A6CC6">
        <w:rPr>
          <w:rFonts w:eastAsiaTheme="majorEastAsia"/>
        </w:rPr>
        <w:t>When two groups exhibit different average sentences, the finding is a description of the data. It is not, by itself, an explanation of the cause. Correlation does not establish causation. A landmark review of sentencing research concluded that even after accounting for the two strongest legal factors, offense severity and criminal history, most of the variation in sentences remains unexplained. It also concluded that observed group differences cannot by themselves be read as proof of discrimination (National Research Council, 1983).</w:t>
      </w:r>
    </w:p>
    <w:p w14:paraId="0F4A5D06" w14:textId="77777777" w:rsidR="007A6CC6" w:rsidRPr="007A6CC6" w:rsidRDefault="007A6CC6" w:rsidP="00837046">
      <w:pPr>
        <w:spacing w:line="480" w:lineRule="auto"/>
        <w:rPr>
          <w:rFonts w:eastAsiaTheme="majorEastAsia"/>
        </w:rPr>
      </w:pPr>
      <w:r w:rsidRPr="007A6CC6">
        <w:rPr>
          <w:rFonts w:eastAsiaTheme="majorEastAsia"/>
        </w:rPr>
        <w:t>Descriptive differences are real and worth identifying. Explaining why one exists is a separate and harder task. The proper reading of a cross-tabulation showing that offenses in one category receive longer average presumptive sentences than those in another is therefore disciplined and limited: a descriptive difference exists in the data, and the reasons behind it require further analysis.</w:t>
      </w:r>
    </w:p>
    <w:p w14:paraId="32DF5791" w14:textId="77777777" w:rsidR="007A6CC6" w:rsidRPr="007A6CC6" w:rsidRDefault="007A6CC6" w:rsidP="00837046">
      <w:pPr>
        <w:pStyle w:val="Heading3"/>
        <w:spacing w:line="480" w:lineRule="auto"/>
      </w:pPr>
      <w:r w:rsidRPr="007A6CC6">
        <w:lastRenderedPageBreak/>
        <w:t>The Stakes: Why Careful Reading Matters</w:t>
      </w:r>
    </w:p>
    <w:p w14:paraId="3D2F2BD8" w14:textId="77777777" w:rsidR="007A6CC6" w:rsidRPr="007A6CC6" w:rsidRDefault="007A6CC6" w:rsidP="00837046">
      <w:pPr>
        <w:spacing w:line="480" w:lineRule="auto"/>
        <w:rPr>
          <w:rFonts w:eastAsiaTheme="majorEastAsia"/>
        </w:rPr>
      </w:pPr>
      <w:r w:rsidRPr="007A6CC6">
        <w:rPr>
          <w:rFonts w:eastAsiaTheme="majorEastAsia"/>
        </w:rPr>
        <w:t>The insistence on caution has a public rationale. Crime statistics are unusually easy to misuse, and the consequences play out in policy and public opinion. Despite a long-term decline in recorded violent crime since the early 1990s, with the rate falling by roughly half, large majorities of Americans have repeatedly told pollsters that crime is worsening (Gramlich, 2024).</w:t>
      </w:r>
    </w:p>
    <w:p w14:paraId="55B1D2F6" w14:textId="77777777" w:rsidR="007A6CC6" w:rsidRPr="007A6CC6" w:rsidRDefault="007A6CC6" w:rsidP="00837046">
      <w:pPr>
        <w:spacing w:line="480" w:lineRule="auto"/>
        <w:rPr>
          <w:rFonts w:eastAsiaTheme="majorEastAsia"/>
        </w:rPr>
      </w:pPr>
      <w:r w:rsidRPr="007A6CC6">
        <w:rPr>
          <w:rFonts w:eastAsiaTheme="majorEastAsia"/>
        </w:rPr>
        <w:t>People reason confidently from numbers they have not examined. That is precisely the failure data literacy is meant to prevent (Best, 2001). Three questions guard against it: Where in the funnel does this number sit? What is its unit of analysis? Is a pattern being described or explained?</w:t>
      </w:r>
    </w:p>
    <w:p w14:paraId="21F70AE0" w14:textId="77777777" w:rsidR="007A6CC6" w:rsidRPr="007A6CC6" w:rsidRDefault="007A6CC6" w:rsidP="00837046">
      <w:pPr>
        <w:pStyle w:val="Heading3"/>
        <w:spacing w:line="480" w:lineRule="auto"/>
      </w:pPr>
      <w:r w:rsidRPr="007A6CC6">
        <w:t>Summary</w:t>
      </w:r>
    </w:p>
    <w:p w14:paraId="1D68EF3F" w14:textId="77777777" w:rsidR="007A6CC6" w:rsidRPr="007A6CC6" w:rsidRDefault="007A6CC6" w:rsidP="00837046">
      <w:pPr>
        <w:spacing w:line="480" w:lineRule="auto"/>
        <w:rPr>
          <w:rFonts w:eastAsiaTheme="majorEastAsia"/>
        </w:rPr>
      </w:pPr>
      <w:r w:rsidRPr="007A6CC6">
        <w:rPr>
          <w:rFonts w:eastAsiaTheme="majorEastAsia"/>
        </w:rPr>
        <w:t>The core claims of this chapter can be stated compactly. The Minnesota felony sentencing dataset is administrative data: a by-product of running the state’s sentencing system rather than a study designed to measure crime. This is the distinction between found and made data. Both involve deliberate thought, but for made data the research question shapes the collection, while a monitoring dataset like this one is structured around the needs of the system that produced it (Connelly et al., 2016).</w:t>
      </w:r>
    </w:p>
    <w:p w14:paraId="5DAEFC62" w14:textId="77777777" w:rsidR="007A6CC6" w:rsidRPr="007A6CC6" w:rsidRDefault="007A6CC6" w:rsidP="00837046">
      <w:pPr>
        <w:spacing w:line="480" w:lineRule="auto"/>
        <w:rPr>
          <w:rFonts w:eastAsiaTheme="majorEastAsia"/>
        </w:rPr>
      </w:pPr>
      <w:r w:rsidRPr="007A6CC6">
        <w:rPr>
          <w:rFonts w:eastAsiaTheme="majorEastAsia"/>
        </w:rPr>
        <w:t>The data sits at the bottom of the criminal-justice funnel, containing only cases that survived every earlier stage and ended in a felony sentence (President’s Commission on Law Enforcement and Administration of Justice, 1967). Most crime lies in the dark figure and never enters the funnel at all. It is also absent non-randomly (Biderman &amp; Reiss, 1967; Skogan, 1977).</w:t>
      </w:r>
    </w:p>
    <w:p w14:paraId="1D1513CB" w14:textId="77777777" w:rsidR="007A6CC6" w:rsidRPr="007A6CC6" w:rsidRDefault="007A6CC6" w:rsidP="00837046">
      <w:pPr>
        <w:spacing w:line="480" w:lineRule="auto"/>
        <w:rPr>
          <w:rFonts w:eastAsiaTheme="majorEastAsia"/>
        </w:rPr>
      </w:pPr>
      <w:r w:rsidRPr="007A6CC6">
        <w:rPr>
          <w:rFonts w:eastAsiaTheme="majorEastAsia"/>
        </w:rPr>
        <w:t xml:space="preserve">By Sellin’s dictum, the dataset is an excellent record of decisions and a weak proxy for crime (Sellin, 1931). One row is one sentencing record, not one person and not one crime (Minnesota </w:t>
      </w:r>
      <w:r w:rsidRPr="007A6CC6">
        <w:rPr>
          <w:rFonts w:eastAsiaTheme="majorEastAsia"/>
        </w:rPr>
        <w:lastRenderedPageBreak/>
        <w:t>Sentencing Guidelines Commission, 2018). A pattern in the data is a description, not an explanation. Causes require separate and careful analysis (National Research Council, 1983).</w:t>
      </w:r>
    </w:p>
    <w:p w14:paraId="4CA52491" w14:textId="77777777" w:rsidR="007A6CC6" w:rsidRPr="007A6CC6" w:rsidRDefault="007A6CC6" w:rsidP="00837046">
      <w:pPr>
        <w:spacing w:line="480" w:lineRule="auto"/>
        <w:rPr>
          <w:rFonts w:eastAsiaTheme="majorEastAsia"/>
        </w:rPr>
      </w:pPr>
      <w:r w:rsidRPr="007A6CC6">
        <w:rPr>
          <w:rFonts w:eastAsiaTheme="majorEastAsia"/>
        </w:rPr>
        <w:t>The core lesson of this chapter is that the dataset records felony sentencing decisions, not crime itself. The mistake it prevents is allowing a downstream administrative record to mean more than the system that produced it can support. From this point forward, every use of the dataset should carry three questions: where in the funnel the number sits, what unit of analysis it describes, and whether the claim being made is descriptive or explanatory.</w:t>
      </w:r>
    </w:p>
    <w:p w14:paraId="7678B600" w14:textId="77777777" w:rsidR="007A6CC6" w:rsidRPr="007A6CC6" w:rsidRDefault="007A6CC6" w:rsidP="00837046">
      <w:pPr>
        <w:pStyle w:val="Heading3"/>
        <w:spacing w:line="480" w:lineRule="auto"/>
      </w:pPr>
      <w:r w:rsidRPr="007A6CC6">
        <w:t>References</w:t>
      </w:r>
    </w:p>
    <w:p w14:paraId="0FEB0A59" w14:textId="77777777" w:rsidR="007A6CC6" w:rsidRPr="007A6CC6" w:rsidRDefault="007A6CC6" w:rsidP="00837046">
      <w:pPr>
        <w:spacing w:line="480" w:lineRule="auto"/>
        <w:rPr>
          <w:rFonts w:eastAsiaTheme="majorEastAsia"/>
        </w:rPr>
      </w:pPr>
      <w:r w:rsidRPr="007A6CC6">
        <w:rPr>
          <w:rFonts w:eastAsiaTheme="majorEastAsia"/>
        </w:rPr>
        <w:t>Best, J. (2001). Damned lies and statistics: Untangling numbers from the media, politicians, and activists. University of California Press.</w:t>
      </w:r>
    </w:p>
    <w:p w14:paraId="46F8C4FC" w14:textId="77777777" w:rsidR="007A6CC6" w:rsidRPr="007A6CC6" w:rsidRDefault="007A6CC6" w:rsidP="00837046">
      <w:pPr>
        <w:spacing w:line="480" w:lineRule="auto"/>
        <w:rPr>
          <w:rFonts w:eastAsiaTheme="majorEastAsia"/>
        </w:rPr>
      </w:pPr>
      <w:r w:rsidRPr="007A6CC6">
        <w:rPr>
          <w:rFonts w:eastAsiaTheme="majorEastAsia"/>
        </w:rPr>
        <w:t xml:space="preserve">Biderman, A. D., &amp; Reiss, A. J., Jr. (1967). On exploring the "dark figure" of crime. The Annals of the American Academy of Political and Social Science, 374(1), 1–15. </w:t>
      </w:r>
      <w:hyperlink r:id="rId14" w:history="1">
        <w:r w:rsidRPr="007A6CC6">
          <w:rPr>
            <w:rStyle w:val="Hyperlink"/>
            <w:rFonts w:eastAsiaTheme="majorEastAsia" w:cstheme="majorBidi"/>
          </w:rPr>
          <w:t>https://doi.org/10.1177/000271626737400102</w:t>
        </w:r>
      </w:hyperlink>
    </w:p>
    <w:p w14:paraId="50A9CA6B" w14:textId="77777777" w:rsidR="007A6CC6" w:rsidRPr="007A6CC6" w:rsidRDefault="007A6CC6" w:rsidP="00837046">
      <w:pPr>
        <w:spacing w:line="480" w:lineRule="auto"/>
        <w:rPr>
          <w:rFonts w:eastAsiaTheme="majorEastAsia"/>
        </w:rPr>
      </w:pPr>
      <w:r w:rsidRPr="007A6CC6">
        <w:rPr>
          <w:rFonts w:eastAsiaTheme="majorEastAsia"/>
        </w:rPr>
        <w:t xml:space="preserve">Bureau of Justice Statistics. (n.d.-a). Federal criminal case processing statistics (FCCPS) tool: Supplementary information. U.S. Department of Justice. </w:t>
      </w:r>
      <w:hyperlink r:id="rId15" w:history="1">
        <w:r w:rsidRPr="007A6CC6">
          <w:rPr>
            <w:rStyle w:val="Hyperlink"/>
            <w:rFonts w:eastAsiaTheme="majorEastAsia" w:cstheme="majorBidi"/>
          </w:rPr>
          <w:t>https://bjs.ojp.gov/federal-criminal-case-processing-statistics-fccps-tool-supplementary-info</w:t>
        </w:r>
      </w:hyperlink>
    </w:p>
    <w:p w14:paraId="1CC740AB" w14:textId="77777777" w:rsidR="007A6CC6" w:rsidRPr="007A6CC6" w:rsidRDefault="007A6CC6" w:rsidP="00837046">
      <w:pPr>
        <w:spacing w:line="480" w:lineRule="auto"/>
        <w:rPr>
          <w:rFonts w:eastAsiaTheme="majorEastAsia"/>
        </w:rPr>
      </w:pPr>
      <w:r w:rsidRPr="007A6CC6">
        <w:rPr>
          <w:rFonts w:eastAsiaTheme="majorEastAsia"/>
        </w:rPr>
        <w:t xml:space="preserve">Bureau of Justice Statistics. (n.d.-b). National Crime Victimization Survey (NCVS). U.S. Department of Justice. </w:t>
      </w:r>
      <w:hyperlink r:id="rId16" w:history="1">
        <w:r w:rsidRPr="007A6CC6">
          <w:rPr>
            <w:rStyle w:val="Hyperlink"/>
            <w:rFonts w:eastAsiaTheme="majorEastAsia" w:cstheme="majorBidi"/>
          </w:rPr>
          <w:t>https://bjs.ojp.gov/data-collection/ncvs</w:t>
        </w:r>
      </w:hyperlink>
    </w:p>
    <w:p w14:paraId="230892C6" w14:textId="77777777" w:rsidR="007A6CC6" w:rsidRPr="007A6CC6" w:rsidRDefault="007A6CC6" w:rsidP="00837046">
      <w:pPr>
        <w:spacing w:line="480" w:lineRule="auto"/>
        <w:rPr>
          <w:rFonts w:eastAsiaTheme="majorEastAsia"/>
        </w:rPr>
      </w:pPr>
      <w:r w:rsidRPr="007A6CC6">
        <w:rPr>
          <w:rFonts w:eastAsiaTheme="majorEastAsia"/>
        </w:rPr>
        <w:t xml:space="preserve">Bushway, S., Johnson, B. D., &amp; Slocum, L. A. (2007). Is the magic still there? The use of the Heckman two-step correction for selection bias in criminology. Journal of Quantitative Criminology, 23(2), 151–178. </w:t>
      </w:r>
      <w:hyperlink r:id="rId17" w:history="1">
        <w:r w:rsidRPr="007A6CC6">
          <w:rPr>
            <w:rStyle w:val="Hyperlink"/>
            <w:rFonts w:eastAsiaTheme="majorEastAsia" w:cstheme="majorBidi"/>
          </w:rPr>
          <w:t>https://doi.org/10.1007/s10940-007-9024-4</w:t>
        </w:r>
      </w:hyperlink>
    </w:p>
    <w:p w14:paraId="1AF387AE" w14:textId="77777777" w:rsidR="007A6CC6" w:rsidRPr="007A6CC6" w:rsidRDefault="007A6CC6" w:rsidP="00837046">
      <w:pPr>
        <w:spacing w:line="480" w:lineRule="auto"/>
        <w:rPr>
          <w:rFonts w:eastAsiaTheme="majorEastAsia"/>
        </w:rPr>
      </w:pPr>
      <w:r w:rsidRPr="007A6CC6">
        <w:rPr>
          <w:rFonts w:eastAsiaTheme="majorEastAsia"/>
        </w:rPr>
        <w:lastRenderedPageBreak/>
        <w:t xml:space="preserve">Connelly, R., Playford, C. J., Gayle, V., &amp; Dibben, C. (2016). The role of administrative data in the big data revolution in social science research. Social Science Research, 59, 1–12. </w:t>
      </w:r>
      <w:hyperlink r:id="rId18" w:history="1">
        <w:r w:rsidRPr="007A6CC6">
          <w:rPr>
            <w:rStyle w:val="Hyperlink"/>
            <w:rFonts w:eastAsiaTheme="majorEastAsia" w:cstheme="majorBidi"/>
          </w:rPr>
          <w:t>https://doi.org/10.1016/j.ssresearch.2016.04.015</w:t>
        </w:r>
      </w:hyperlink>
    </w:p>
    <w:p w14:paraId="0BA8D835" w14:textId="77777777" w:rsidR="007A6CC6" w:rsidRPr="007A6CC6" w:rsidRDefault="007A6CC6" w:rsidP="00837046">
      <w:pPr>
        <w:spacing w:line="480" w:lineRule="auto"/>
        <w:rPr>
          <w:rFonts w:eastAsiaTheme="majorEastAsia"/>
        </w:rPr>
      </w:pPr>
      <w:r w:rsidRPr="007A6CC6">
        <w:rPr>
          <w:rFonts w:eastAsiaTheme="majorEastAsia"/>
        </w:rPr>
        <w:t xml:space="preserve">Federal Bureau of Investigation. (n.d.). National Incident-Based Reporting System (NIBRS). U.S. Department of Justice. </w:t>
      </w:r>
      <w:hyperlink r:id="rId19" w:history="1">
        <w:r w:rsidRPr="007A6CC6">
          <w:rPr>
            <w:rStyle w:val="Hyperlink"/>
            <w:rFonts w:eastAsiaTheme="majorEastAsia" w:cstheme="majorBidi"/>
          </w:rPr>
          <w:t>https://www.fbi.gov/how-we-can-help-you/more-fbi-services-and-information/ucr/nibrs</w:t>
        </w:r>
      </w:hyperlink>
    </w:p>
    <w:p w14:paraId="677B335B" w14:textId="77777777" w:rsidR="007A6CC6" w:rsidRPr="007A6CC6" w:rsidRDefault="007A6CC6" w:rsidP="00837046">
      <w:pPr>
        <w:spacing w:line="480" w:lineRule="auto"/>
        <w:rPr>
          <w:rFonts w:eastAsiaTheme="majorEastAsia"/>
        </w:rPr>
      </w:pPr>
      <w:r w:rsidRPr="007A6CC6">
        <w:rPr>
          <w:rFonts w:eastAsiaTheme="majorEastAsia"/>
        </w:rPr>
        <w:t xml:space="preserve">Frase, R. S. (2005). Sentencing guidelines in Minnesota, 1978–2003. Crime and Justice, 32, 131–219. </w:t>
      </w:r>
      <w:hyperlink r:id="rId20" w:history="1">
        <w:r w:rsidRPr="007A6CC6">
          <w:rPr>
            <w:rStyle w:val="Hyperlink"/>
            <w:rFonts w:eastAsiaTheme="majorEastAsia" w:cstheme="majorBidi"/>
          </w:rPr>
          <w:t>https://doi.org/10.1086/655354</w:t>
        </w:r>
      </w:hyperlink>
    </w:p>
    <w:p w14:paraId="7C6E1C8C" w14:textId="77777777" w:rsidR="007A6CC6" w:rsidRPr="007A6CC6" w:rsidRDefault="007A6CC6" w:rsidP="00837046">
      <w:pPr>
        <w:spacing w:line="480" w:lineRule="auto"/>
        <w:rPr>
          <w:rFonts w:eastAsiaTheme="majorEastAsia"/>
        </w:rPr>
      </w:pPr>
      <w:r w:rsidRPr="007A6CC6">
        <w:rPr>
          <w:rFonts w:eastAsiaTheme="majorEastAsia"/>
        </w:rPr>
        <w:t>Frase, R. S. (2013). Just sentencing: Principles and procedures for a workable system. Oxford University Press.</w:t>
      </w:r>
    </w:p>
    <w:p w14:paraId="274A15AE" w14:textId="77777777" w:rsidR="007A6CC6" w:rsidRPr="007A6CC6" w:rsidRDefault="007A6CC6" w:rsidP="00837046">
      <w:pPr>
        <w:spacing w:line="480" w:lineRule="auto"/>
        <w:rPr>
          <w:rFonts w:eastAsiaTheme="majorEastAsia"/>
        </w:rPr>
      </w:pPr>
      <w:r w:rsidRPr="007A6CC6">
        <w:rPr>
          <w:rFonts w:eastAsiaTheme="majorEastAsia"/>
        </w:rPr>
        <w:t xml:space="preserve">Gramlich, J. (2024, April 24). What the data says about crime in the U.S. Pew Research Center. </w:t>
      </w:r>
      <w:hyperlink r:id="rId21" w:history="1">
        <w:r w:rsidRPr="007A6CC6">
          <w:rPr>
            <w:rStyle w:val="Hyperlink"/>
            <w:rFonts w:eastAsiaTheme="majorEastAsia" w:cstheme="majorBidi"/>
          </w:rPr>
          <w:t>https://www.pewresearch.org/short-reads/2024/04/24/what-the-data-says-about-crime-in-the-us/</w:t>
        </w:r>
      </w:hyperlink>
    </w:p>
    <w:p w14:paraId="602E8090" w14:textId="77777777" w:rsidR="007A6CC6" w:rsidRPr="007A6CC6" w:rsidRDefault="007A6CC6" w:rsidP="00837046">
      <w:pPr>
        <w:spacing w:line="480" w:lineRule="auto"/>
        <w:rPr>
          <w:rFonts w:eastAsiaTheme="majorEastAsia"/>
        </w:rPr>
      </w:pPr>
      <w:r w:rsidRPr="007A6CC6">
        <w:rPr>
          <w:rFonts w:eastAsiaTheme="majorEastAsia"/>
        </w:rPr>
        <w:t>Klepper, S., Nagin, D., &amp; Tierney, L. J. (1983). Discrimination in the criminal justice system: A critical appraisal of the literature. In A. Blumstein, J. Cohen, S. E. Martin, &amp; M. H. Tonry (Eds.), Research on sentencing: The search for reform (Vol. 2, pp. 55–128). National Academy Press.</w:t>
      </w:r>
    </w:p>
    <w:p w14:paraId="7306F1AC" w14:textId="77777777" w:rsidR="007A6CC6" w:rsidRPr="007A6CC6" w:rsidRDefault="007A6CC6" w:rsidP="00837046">
      <w:pPr>
        <w:spacing w:line="480" w:lineRule="auto"/>
        <w:rPr>
          <w:rFonts w:eastAsiaTheme="majorEastAsia"/>
        </w:rPr>
      </w:pPr>
      <w:r w:rsidRPr="007A6CC6">
        <w:rPr>
          <w:rFonts w:eastAsiaTheme="majorEastAsia"/>
        </w:rPr>
        <w:t xml:space="preserve">Minnesota Sentencing Guidelines Commission. (n.d.). About MSGC. </w:t>
      </w:r>
      <w:hyperlink r:id="rId22" w:history="1">
        <w:r w:rsidRPr="007A6CC6">
          <w:rPr>
            <w:rStyle w:val="Hyperlink"/>
            <w:rFonts w:eastAsiaTheme="majorEastAsia" w:cstheme="majorBidi"/>
          </w:rPr>
          <w:t>https://mn.gov/sentencing-guidelines/about/</w:t>
        </w:r>
      </w:hyperlink>
    </w:p>
    <w:p w14:paraId="6C7239C2" w14:textId="77777777" w:rsidR="007A6CC6" w:rsidRPr="007A6CC6" w:rsidRDefault="007A6CC6" w:rsidP="00837046">
      <w:pPr>
        <w:spacing w:line="480" w:lineRule="auto"/>
        <w:rPr>
          <w:rFonts w:eastAsiaTheme="majorEastAsia"/>
        </w:rPr>
      </w:pPr>
      <w:r w:rsidRPr="007A6CC6">
        <w:rPr>
          <w:rFonts w:eastAsiaTheme="majorEastAsia"/>
        </w:rPr>
        <w:t xml:space="preserve">Minnesota Sentencing Guidelines Commission. (2018). Sentencing practices: Annual summary statistics for felony cases sentenced in 2017. </w:t>
      </w:r>
      <w:hyperlink r:id="rId23" w:history="1">
        <w:r w:rsidRPr="007A6CC6">
          <w:rPr>
            <w:rStyle w:val="Hyperlink"/>
            <w:rFonts w:eastAsiaTheme="majorEastAsia" w:cstheme="majorBidi"/>
          </w:rPr>
          <w:t>https://mn.gov/msgc-stat/documents/reports/2017/UpdatedMSGC2017AnnualSummaryStatistics.pdf</w:t>
        </w:r>
      </w:hyperlink>
    </w:p>
    <w:p w14:paraId="751EC56E" w14:textId="77777777" w:rsidR="007A6CC6" w:rsidRPr="007A6CC6" w:rsidRDefault="007A6CC6" w:rsidP="00837046">
      <w:pPr>
        <w:spacing w:line="480" w:lineRule="auto"/>
        <w:rPr>
          <w:rFonts w:eastAsiaTheme="majorEastAsia"/>
        </w:rPr>
      </w:pPr>
      <w:r w:rsidRPr="007A6CC6">
        <w:rPr>
          <w:rFonts w:eastAsiaTheme="majorEastAsia"/>
        </w:rPr>
        <w:lastRenderedPageBreak/>
        <w:t xml:space="preserve">Minnesota Sentencing Guidelines Commission. (2023). 2023 sentencing practices report: Summary statistics for felony cases. </w:t>
      </w:r>
      <w:hyperlink r:id="rId24" w:history="1">
        <w:r w:rsidRPr="007A6CC6">
          <w:rPr>
            <w:rStyle w:val="Hyperlink"/>
            <w:rFonts w:eastAsiaTheme="majorEastAsia" w:cstheme="majorBidi"/>
          </w:rPr>
          <w:t>https://mn.gov/sentencing-guidelines/assets/2023_MSGC_Annual_Summary_Statistics_tcm30-680133.pdf</w:t>
        </w:r>
      </w:hyperlink>
    </w:p>
    <w:p w14:paraId="3888F3D7" w14:textId="77777777" w:rsidR="007A6CC6" w:rsidRPr="007A6CC6" w:rsidRDefault="007A6CC6" w:rsidP="00837046">
      <w:pPr>
        <w:spacing w:line="480" w:lineRule="auto"/>
        <w:rPr>
          <w:rFonts w:eastAsiaTheme="majorEastAsia"/>
        </w:rPr>
      </w:pPr>
      <w:r w:rsidRPr="007A6CC6">
        <w:rPr>
          <w:rFonts w:eastAsiaTheme="majorEastAsia"/>
        </w:rPr>
        <w:t xml:space="preserve">Minnesota Sentencing Guidelines Commission. (2024). Report to the legislature. </w:t>
      </w:r>
      <w:hyperlink r:id="rId25" w:history="1">
        <w:r w:rsidRPr="007A6CC6">
          <w:rPr>
            <w:rStyle w:val="Hyperlink"/>
            <w:rFonts w:eastAsiaTheme="majorEastAsia" w:cstheme="majorBidi"/>
          </w:rPr>
          <w:t>https://www.lrl.mn.gov/docs/2024/mandated/240055.pdf</w:t>
        </w:r>
      </w:hyperlink>
    </w:p>
    <w:p w14:paraId="78FF41B7" w14:textId="77777777" w:rsidR="007A6CC6" w:rsidRPr="007A6CC6" w:rsidRDefault="007A6CC6" w:rsidP="00837046">
      <w:pPr>
        <w:spacing w:line="480" w:lineRule="auto"/>
        <w:rPr>
          <w:rFonts w:eastAsiaTheme="majorEastAsia"/>
        </w:rPr>
      </w:pPr>
      <w:r w:rsidRPr="007A6CC6">
        <w:rPr>
          <w:rFonts w:eastAsiaTheme="majorEastAsia"/>
        </w:rPr>
        <w:t xml:space="preserve">Morgan, R. E., &amp; Thompson, A. (2023). Criminal victimization, 2022 (NCJ 307089). Bureau of Justice Statistics. </w:t>
      </w:r>
      <w:hyperlink r:id="rId26" w:history="1">
        <w:r w:rsidRPr="007A6CC6">
          <w:rPr>
            <w:rStyle w:val="Hyperlink"/>
            <w:rFonts w:eastAsiaTheme="majorEastAsia" w:cstheme="majorBidi"/>
          </w:rPr>
          <w:t>https://bjs.ojp.gov/library/publications/criminal-victimization-2022</w:t>
        </w:r>
      </w:hyperlink>
    </w:p>
    <w:p w14:paraId="7388F5AD" w14:textId="77777777" w:rsidR="007A6CC6" w:rsidRPr="007A6CC6" w:rsidRDefault="007A6CC6" w:rsidP="00837046">
      <w:pPr>
        <w:spacing w:line="480" w:lineRule="auto"/>
        <w:rPr>
          <w:rFonts w:eastAsiaTheme="majorEastAsia"/>
        </w:rPr>
      </w:pPr>
      <w:r w:rsidRPr="007A6CC6">
        <w:rPr>
          <w:rFonts w:eastAsiaTheme="majorEastAsia"/>
        </w:rPr>
        <w:t xml:space="preserve">National Research Council. (1983). Research on sentencing: The search for reform (A. Blumstein, J. Cohen, S. E. Martin, &amp; M. H. Tonry, Eds.). National Academy Press. </w:t>
      </w:r>
      <w:hyperlink r:id="rId27" w:history="1">
        <w:r w:rsidRPr="007A6CC6">
          <w:rPr>
            <w:rStyle w:val="Hyperlink"/>
            <w:rFonts w:eastAsiaTheme="majorEastAsia" w:cstheme="majorBidi"/>
          </w:rPr>
          <w:t>https://doi.org/10.17226/19436</w:t>
        </w:r>
      </w:hyperlink>
    </w:p>
    <w:p w14:paraId="6845D2C6" w14:textId="77777777" w:rsidR="007A6CC6" w:rsidRPr="007A6CC6" w:rsidRDefault="007A6CC6" w:rsidP="00837046">
      <w:pPr>
        <w:spacing w:line="480" w:lineRule="auto"/>
        <w:rPr>
          <w:rFonts w:eastAsiaTheme="majorEastAsia"/>
        </w:rPr>
      </w:pPr>
      <w:r w:rsidRPr="007A6CC6">
        <w:rPr>
          <w:rFonts w:eastAsiaTheme="majorEastAsia"/>
        </w:rPr>
        <w:t>President’s Commission on Law Enforcement and Administration of Justice. (1967). The challenge of crime in a free society. U.S. Government Printing Office.</w:t>
      </w:r>
    </w:p>
    <w:p w14:paraId="59B3E98B" w14:textId="77777777" w:rsidR="007A6CC6" w:rsidRPr="007A6CC6" w:rsidRDefault="007A6CC6" w:rsidP="00837046">
      <w:pPr>
        <w:spacing w:line="480" w:lineRule="auto"/>
        <w:rPr>
          <w:rFonts w:eastAsiaTheme="majorEastAsia"/>
        </w:rPr>
      </w:pPr>
      <w:r w:rsidRPr="007A6CC6">
        <w:rPr>
          <w:rFonts w:eastAsiaTheme="majorEastAsia"/>
        </w:rPr>
        <w:t>Sellin, T. (1931). The basis of a crime index. Journal of Criminal Law and Criminology, 22(3), 335–356.</w:t>
      </w:r>
    </w:p>
    <w:p w14:paraId="0B97E591" w14:textId="160D315A" w:rsidR="00726BD3" w:rsidRPr="00837046" w:rsidRDefault="007A6CC6" w:rsidP="00837046">
      <w:pPr>
        <w:spacing w:line="480" w:lineRule="auto"/>
        <w:rPr>
          <w:rFonts w:eastAsiaTheme="majorEastAsia"/>
        </w:rPr>
      </w:pPr>
      <w:r w:rsidRPr="007A6CC6">
        <w:rPr>
          <w:rFonts w:eastAsiaTheme="majorEastAsia"/>
        </w:rPr>
        <w:t xml:space="preserve">Skogan, W. G. (1977). Dimensions of the dark figure of unreported crime. </w:t>
      </w:r>
      <w:r w:rsidRPr="007A6CC6">
        <w:rPr>
          <w:rFonts w:eastAsiaTheme="majorEastAsia"/>
          <w:i/>
          <w:iCs/>
        </w:rPr>
        <w:t>Crime &amp; Delinquency, 23</w:t>
      </w:r>
      <w:r w:rsidRPr="007A6CC6">
        <w:rPr>
          <w:rFonts w:eastAsiaTheme="majorEastAsia"/>
        </w:rPr>
        <w:t xml:space="preserve">(1), 41–50. </w:t>
      </w:r>
      <w:hyperlink r:id="rId28" w:history="1">
        <w:r w:rsidRPr="00271A47">
          <w:rPr>
            <w:rStyle w:val="Hyperlink"/>
            <w:rFonts w:eastAsiaTheme="majorEastAsia"/>
          </w:rPr>
          <w:t>https://doi.org/10.1177/001112877702300104</w:t>
        </w:r>
      </w:hyperlink>
      <w:r>
        <w:rPr>
          <w:rFonts w:eastAsiaTheme="majorEastAsia"/>
        </w:rPr>
        <w:t xml:space="preserve"> </w:t>
      </w:r>
    </w:p>
    <w:p w14:paraId="6C927389" w14:textId="33CE4773" w:rsidR="00497A4D" w:rsidRPr="00497A4D" w:rsidRDefault="00497A4D" w:rsidP="00837046">
      <w:pPr>
        <w:pStyle w:val="Heading2"/>
        <w:spacing w:line="480" w:lineRule="auto"/>
      </w:pPr>
      <w:r w:rsidRPr="00497A4D">
        <w:t>Module 2: Driving the Explorer</w:t>
      </w:r>
    </w:p>
    <w:p w14:paraId="49674921" w14:textId="77777777" w:rsidR="00497A4D" w:rsidRPr="00497A4D" w:rsidRDefault="00497A4D" w:rsidP="00837046">
      <w:pPr>
        <w:pStyle w:val="Heading3"/>
        <w:spacing w:line="480" w:lineRule="auto"/>
      </w:pPr>
      <w:r w:rsidRPr="00497A4D">
        <w:t>Filtering, Summarizing, and Cross-Tabulating the Sentencing Data</w:t>
      </w:r>
    </w:p>
    <w:p w14:paraId="1A6D424B" w14:textId="5F2DFE1C" w:rsidR="00497A4D" w:rsidRPr="00497A4D" w:rsidRDefault="00497A4D" w:rsidP="00837046">
      <w:pPr>
        <w:spacing w:line="480" w:lineRule="auto"/>
        <w:rPr>
          <w:rFonts w:eastAsiaTheme="majorEastAsia"/>
        </w:rPr>
      </w:pPr>
      <w:r w:rsidRPr="00497A4D">
        <w:rPr>
          <w:rFonts w:eastAsiaTheme="majorEastAsia"/>
        </w:rPr>
        <w:t xml:space="preserve">A dataset does not become meaningful </w:t>
      </w:r>
      <w:r w:rsidR="00F854AA">
        <w:rPr>
          <w:rFonts w:eastAsiaTheme="majorEastAsia"/>
        </w:rPr>
        <w:t>simply by virtue of being</w:t>
      </w:r>
      <w:r w:rsidRPr="00497A4D">
        <w:rPr>
          <w:rFonts w:eastAsiaTheme="majorEastAsia"/>
        </w:rPr>
        <w:t xml:space="preserve"> large. It becomes meaningful when the reader learns how to ask disciplined questions of it. The Minnesota Sentencing Explorer is the tool through which those questions are posed in this course. It does not explain sentencing by </w:t>
      </w:r>
      <w:r w:rsidRPr="00497A4D">
        <w:rPr>
          <w:rFonts w:eastAsiaTheme="majorEastAsia"/>
        </w:rPr>
        <w:lastRenderedPageBreak/>
        <w:t>itself. It organizes felony sentencing records so that students can learn what a claim describes, what population it applies to, and what limits attach to it.</w:t>
      </w:r>
    </w:p>
    <w:p w14:paraId="6C94FFC6" w14:textId="77777777" w:rsidR="00497A4D" w:rsidRPr="00497A4D" w:rsidRDefault="00497A4D" w:rsidP="00837046">
      <w:pPr>
        <w:spacing w:line="480" w:lineRule="auto"/>
        <w:rPr>
          <w:rFonts w:eastAsiaTheme="majorEastAsia"/>
        </w:rPr>
      </w:pPr>
      <w:r w:rsidRPr="00497A4D">
        <w:rPr>
          <w:rFonts w:eastAsiaTheme="majorEastAsia"/>
        </w:rPr>
        <w:t>This module introduces the five operations that make the Explorer usable: filtering, reading column summaries, reverting, clearing, and cross-tabulating. These operations are technical in form, but methodological in consequence. Each one changes, preserves, or compares the population being described. The first habit is therefore not to look for a striking number. The first habit is to ask what rows are currently in view.</w:t>
      </w:r>
    </w:p>
    <w:p w14:paraId="2B25488A" w14:textId="3E498172" w:rsidR="00497A4D" w:rsidRPr="00497A4D" w:rsidRDefault="00497A4D" w:rsidP="00837046">
      <w:pPr>
        <w:spacing w:line="480" w:lineRule="auto"/>
        <w:rPr>
          <w:rFonts w:eastAsiaTheme="majorEastAsia"/>
        </w:rPr>
      </w:pPr>
      <w:r w:rsidRPr="00497A4D">
        <w:rPr>
          <w:rFonts w:eastAsiaTheme="majorEastAsia"/>
        </w:rPr>
        <w:t>The dataset used in this thesis contains 294,467 Minnesota felony sentencing records from 2001 through 2019 (Minnesota Sentencing Explorer, n.d.). That number is close to the public annual case totals reported by the Minnesota Sentencing Guidelines Commission (MSGC), but it should not be treated as interchangeable with those public totals without checking the unit of analysis. Public reports generally summarize felony cases. The Explorer file used here is organized as sentencing records. As the previous module established, one row is one sentenced count. It is not necessarily one person, and it is not one crime committed.</w:t>
      </w:r>
    </w:p>
    <w:p w14:paraId="505CA87A" w14:textId="77777777" w:rsidR="00497A4D" w:rsidRPr="00497A4D" w:rsidRDefault="00497A4D" w:rsidP="00837046">
      <w:pPr>
        <w:spacing w:line="480" w:lineRule="auto"/>
        <w:rPr>
          <w:rFonts w:eastAsiaTheme="majorEastAsia"/>
        </w:rPr>
      </w:pPr>
      <w:r w:rsidRPr="00497A4D">
        <w:rPr>
          <w:rFonts w:eastAsiaTheme="majorEastAsia"/>
        </w:rPr>
        <w:t>That distinction matters because every statistic the Explorer reports is calculated over rows. It does not describe all criminal conduct in Minnesota. It does not describe all arrests, charges, dismissals, or plea negotiations. It describes records that reached felony sentencing. Minnesota law gives the MSGC a formal role in collecting, analyzing, and disseminating information about sentencing practices, imprisonment, alternatives to imprisonment, plea bargaining, and related criminal-justice matters (Minn. Stat. § 244.09, 2025). The dataset therefore sits at the bottom of a long institutional chain. By the time a case becomes a row, police decisions, prosecutorial discretion, plea bargaining, conviction, and sentencing have already shaped what the record can show.</w:t>
      </w:r>
    </w:p>
    <w:p w14:paraId="0DB84211" w14:textId="1A523CAB" w:rsidR="00497A4D" w:rsidRPr="00497A4D" w:rsidRDefault="00497A4D" w:rsidP="00837046">
      <w:pPr>
        <w:spacing w:line="480" w:lineRule="auto"/>
        <w:rPr>
          <w:rFonts w:eastAsiaTheme="majorEastAsia"/>
        </w:rPr>
      </w:pPr>
      <w:r w:rsidRPr="00497A4D">
        <w:rPr>
          <w:rFonts w:eastAsiaTheme="majorEastAsia"/>
        </w:rPr>
        <w:lastRenderedPageBreak/>
        <w:t xml:space="preserve">Three variables recur throughout this module. The variable </w:t>
      </w:r>
      <w:r w:rsidRPr="008E4AE0">
        <w:rPr>
          <w:rFonts w:eastAsiaTheme="majorEastAsia"/>
          <w:i/>
          <w:iCs/>
        </w:rPr>
        <w:t>sentyear</w:t>
      </w:r>
      <w:r w:rsidRPr="00497A4D">
        <w:rPr>
          <w:rFonts w:eastAsiaTheme="majorEastAsia"/>
        </w:rPr>
        <w:t xml:space="preserve"> records the year in which the sentence was imposed. The variable time records presumptive sentence duration in months. That language is deliberate: MSGC defines presumptive duration as the recommended fixed sentence length in months found in the appropriate grid cell (MSGC, n.d.-a). The variable </w:t>
      </w:r>
      <w:r w:rsidRPr="008E4AE0">
        <w:rPr>
          <w:rFonts w:eastAsiaTheme="majorEastAsia"/>
          <w:i/>
          <w:iCs/>
        </w:rPr>
        <w:t>moc1</w:t>
      </w:r>
      <w:r w:rsidRPr="00497A4D">
        <w:rPr>
          <w:rFonts w:eastAsiaTheme="majorEastAsia"/>
        </w:rPr>
        <w:t xml:space="preserve"> records the first character of the Minnesota Offense Code as it appears in the Explorer file. In this dataset, </w:t>
      </w:r>
      <w:r w:rsidRPr="008E4AE0">
        <w:rPr>
          <w:rFonts w:eastAsiaTheme="majorEastAsia"/>
          <w:i/>
          <w:iCs/>
        </w:rPr>
        <w:t>moc1</w:t>
      </w:r>
      <w:r w:rsidRPr="00497A4D">
        <w:rPr>
          <w:rFonts w:eastAsiaTheme="majorEastAsia"/>
        </w:rPr>
        <w:t xml:space="preserve"> = A functions as the assault branch, and </w:t>
      </w:r>
      <w:r w:rsidRPr="008E4AE0">
        <w:rPr>
          <w:rFonts w:eastAsiaTheme="majorEastAsia"/>
          <w:i/>
          <w:iCs/>
        </w:rPr>
        <w:t>moc1</w:t>
      </w:r>
      <w:r w:rsidRPr="00497A4D">
        <w:rPr>
          <w:rFonts w:eastAsiaTheme="majorEastAsia"/>
        </w:rPr>
        <w:t xml:space="preserve"> = D functions as the drug-offense branch. These variables are simple enough to operate, but they are not simple enough to ignore. Each is an institutional record</w:t>
      </w:r>
      <w:r w:rsidR="008E4AE0">
        <w:rPr>
          <w:rFonts w:eastAsiaTheme="majorEastAsia"/>
        </w:rPr>
        <w:t xml:space="preserve"> carrying </w:t>
      </w:r>
      <w:r w:rsidRPr="00497A4D">
        <w:rPr>
          <w:rFonts w:eastAsiaTheme="majorEastAsia"/>
        </w:rPr>
        <w:t>the meaning assigned to it by the sentencing system.</w:t>
      </w:r>
    </w:p>
    <w:p w14:paraId="70CB2F4F" w14:textId="77777777" w:rsidR="00497A4D" w:rsidRPr="00497A4D" w:rsidRDefault="00497A4D" w:rsidP="00837046">
      <w:pPr>
        <w:pStyle w:val="Heading3"/>
        <w:spacing w:line="480" w:lineRule="auto"/>
      </w:pPr>
      <w:r w:rsidRPr="00497A4D">
        <w:t>The Starting Point: The Unfiltered Dataset</w:t>
      </w:r>
    </w:p>
    <w:p w14:paraId="3DE2DF30" w14:textId="77777777" w:rsidR="00497A4D" w:rsidRPr="00497A4D" w:rsidRDefault="00497A4D" w:rsidP="00837046">
      <w:pPr>
        <w:spacing w:line="480" w:lineRule="auto"/>
        <w:rPr>
          <w:rFonts w:eastAsiaTheme="majorEastAsia"/>
        </w:rPr>
      </w:pPr>
      <w:r w:rsidRPr="00497A4D">
        <w:rPr>
          <w:rFonts w:eastAsiaTheme="majorEastAsia"/>
        </w:rPr>
        <w:t>When the Explorer is opened with no filters applied, every row in the dataset is in view. The most important number on the screen is N, the count of rows currently included in the view. Before a statistic can be trusted, the reader must know how many rows it describes.</w:t>
      </w:r>
    </w:p>
    <w:p w14:paraId="43990715" w14:textId="77777777" w:rsidR="00497A4D" w:rsidRPr="00497A4D" w:rsidRDefault="00497A4D" w:rsidP="00837046">
      <w:pPr>
        <w:spacing w:line="480" w:lineRule="auto"/>
        <w:rPr>
          <w:rFonts w:eastAsiaTheme="majorEastAsia"/>
        </w:rPr>
      </w:pPr>
      <w:r w:rsidRPr="00497A4D">
        <w:rPr>
          <w:rFonts w:eastAsiaTheme="majorEastAsia"/>
        </w:rPr>
        <w:t>In the unfiltered Explorer dataset, N = 294,467 (Minnesota Sentencing Explorer, n.d.). That number is not a count of all crimes in Minnesota from 2001 through 2019. It is not a count of all people sentenced. It is the number of felony sentencing records included in the file. The arithmetic is broad. The population is specific.</w:t>
      </w:r>
    </w:p>
    <w:p w14:paraId="60B197E1" w14:textId="77777777" w:rsidR="00497A4D" w:rsidRPr="00497A4D" w:rsidRDefault="00497A4D" w:rsidP="00837046">
      <w:pPr>
        <w:spacing w:line="480" w:lineRule="auto"/>
        <w:rPr>
          <w:rFonts w:eastAsiaTheme="majorEastAsia"/>
        </w:rPr>
      </w:pPr>
      <w:r w:rsidRPr="00497A4D">
        <w:rPr>
          <w:rFonts w:eastAsiaTheme="majorEastAsia"/>
        </w:rPr>
        <w:t>This first view is useful precisely because it is so easy to misread. A full-dataset summary appears to describe “Minnesota sentencing.” The honest claim is narrower: it describes the sentencing records included in this dataset. The difference between those two statements is the difference between using data and being used by it.</w:t>
      </w:r>
    </w:p>
    <w:p w14:paraId="181C781E" w14:textId="77777777" w:rsidR="00497A4D" w:rsidRPr="00497A4D" w:rsidRDefault="00497A4D" w:rsidP="00837046">
      <w:pPr>
        <w:pStyle w:val="Heading3"/>
        <w:spacing w:line="480" w:lineRule="auto"/>
      </w:pPr>
      <w:r w:rsidRPr="00497A4D">
        <w:lastRenderedPageBreak/>
        <w:t>Filtering</w:t>
      </w:r>
    </w:p>
    <w:p w14:paraId="1738E786" w14:textId="77777777" w:rsidR="00497A4D" w:rsidRPr="00497A4D" w:rsidRDefault="00497A4D" w:rsidP="00837046">
      <w:pPr>
        <w:spacing w:line="480" w:lineRule="auto"/>
        <w:rPr>
          <w:rFonts w:eastAsiaTheme="majorEastAsia"/>
        </w:rPr>
      </w:pPr>
      <w:r w:rsidRPr="00497A4D">
        <w:rPr>
          <w:rFonts w:eastAsiaTheme="majorEastAsia"/>
        </w:rPr>
        <w:t>A filter keeps only the rows that match a condition and hides the rest. The underlying records are not deleted. The view has changed, not the dataset.</w:t>
      </w:r>
    </w:p>
    <w:p w14:paraId="7D16C43C" w14:textId="2DF448FF" w:rsidR="00497A4D" w:rsidRPr="00497A4D" w:rsidRDefault="00497A4D" w:rsidP="00837046">
      <w:pPr>
        <w:spacing w:line="480" w:lineRule="auto"/>
        <w:rPr>
          <w:rFonts w:eastAsiaTheme="majorEastAsia"/>
        </w:rPr>
      </w:pPr>
      <w:r w:rsidRPr="00497A4D">
        <w:rPr>
          <w:rFonts w:eastAsiaTheme="majorEastAsia"/>
        </w:rPr>
        <w:t>The Explorer allows the standard comparison operations: equals, does not equal, greater than, greater than or equal to, less than, and less than or equal to. In the Explorer’s notation, those comparisons appear as eq, ne, gt, ge, lt, and le. A filter such as sentyear &gt;= 2015 keeps only sentencing records from 2015 through 2019.</w:t>
      </w:r>
      <w:r w:rsidR="00230478">
        <w:rPr>
          <w:rFonts w:eastAsiaTheme="majorEastAsia"/>
        </w:rPr>
        <w:t xml:space="preserve"> T</w:t>
      </w:r>
      <w:r w:rsidRPr="00497A4D">
        <w:rPr>
          <w:rFonts w:eastAsiaTheme="majorEastAsia"/>
        </w:rPr>
        <w:t>hat filter narrows the dataset from 294,467 records to 87,597 records (Minnesota Sentencing Explorer, n.d.). The number has changed because the population has changed.</w:t>
      </w:r>
    </w:p>
    <w:p w14:paraId="6D7339B7" w14:textId="77777777" w:rsidR="00497A4D" w:rsidRPr="00497A4D" w:rsidRDefault="00497A4D" w:rsidP="00837046">
      <w:pPr>
        <w:spacing w:line="480" w:lineRule="auto"/>
        <w:rPr>
          <w:rFonts w:eastAsiaTheme="majorEastAsia"/>
        </w:rPr>
      </w:pPr>
      <w:r w:rsidRPr="00497A4D">
        <w:rPr>
          <w:rFonts w:eastAsiaTheme="majorEastAsia"/>
        </w:rPr>
        <w:t>The second principle is that filters chain. A new filter does not return to the full dataset and begin again. It applies only to the rows that survived the previous filter. The Explorer records that chain as a filter history. That history matters because it is the record of how the current population was produced.</w:t>
      </w:r>
    </w:p>
    <w:p w14:paraId="787A0E7F" w14:textId="77777777" w:rsidR="00497A4D" w:rsidRPr="00497A4D" w:rsidRDefault="00497A4D" w:rsidP="00837046">
      <w:pPr>
        <w:spacing w:line="480" w:lineRule="auto"/>
        <w:rPr>
          <w:rFonts w:eastAsiaTheme="majorEastAsia"/>
        </w:rPr>
      </w:pPr>
      <w:r w:rsidRPr="00497A4D">
        <w:rPr>
          <w:rFonts w:eastAsiaTheme="majorEastAsia"/>
        </w:rPr>
        <w:t xml:space="preserve">A filtered view is therefore not merely a smaller dataset. It is a claim with boundaries. If the Explorer is filtered to </w:t>
      </w:r>
      <w:r w:rsidRPr="00F2606B">
        <w:rPr>
          <w:rFonts w:eastAsiaTheme="majorEastAsia"/>
          <w:i/>
          <w:iCs/>
        </w:rPr>
        <w:t>sentyear</w:t>
      </w:r>
      <w:r w:rsidRPr="00497A4D">
        <w:rPr>
          <w:rFonts w:eastAsiaTheme="majorEastAsia"/>
        </w:rPr>
        <w:t xml:space="preserve"> &gt;= 2015, any statistic that follows describes sentencing records from 2015 through 2019, not all records in the dataset. A filter changes the population. Every interpretation must follow that change.</w:t>
      </w:r>
    </w:p>
    <w:p w14:paraId="7D8B296D" w14:textId="77777777" w:rsidR="00497A4D" w:rsidRPr="00497A4D" w:rsidRDefault="00497A4D" w:rsidP="00837046">
      <w:pPr>
        <w:spacing w:line="480" w:lineRule="auto"/>
        <w:rPr>
          <w:rFonts w:eastAsiaTheme="majorEastAsia"/>
        </w:rPr>
      </w:pPr>
      <w:r w:rsidRPr="00497A4D">
        <w:rPr>
          <w:rFonts w:eastAsiaTheme="majorEastAsia"/>
        </w:rPr>
        <w:t>This is the first point where software becomes method. The filter looks like a button. It behaves like a question: how does the pattern look when only this population remains?</w:t>
      </w:r>
    </w:p>
    <w:p w14:paraId="5EC12E36" w14:textId="77777777" w:rsidR="00497A4D" w:rsidRPr="00497A4D" w:rsidRDefault="00497A4D" w:rsidP="00837046">
      <w:pPr>
        <w:pStyle w:val="Heading3"/>
        <w:spacing w:line="480" w:lineRule="auto"/>
      </w:pPr>
      <w:r w:rsidRPr="00497A4D">
        <w:lastRenderedPageBreak/>
        <w:t>Reading a Column Summary</w:t>
      </w:r>
    </w:p>
    <w:p w14:paraId="3416B1F2" w14:textId="77777777" w:rsidR="00497A4D" w:rsidRPr="00497A4D" w:rsidRDefault="00497A4D" w:rsidP="00837046">
      <w:pPr>
        <w:spacing w:line="480" w:lineRule="auto"/>
        <w:rPr>
          <w:rFonts w:eastAsiaTheme="majorEastAsia"/>
        </w:rPr>
      </w:pPr>
      <w:r w:rsidRPr="00497A4D">
        <w:rPr>
          <w:rFonts w:eastAsiaTheme="majorEastAsia"/>
        </w:rPr>
        <w:t>Once a population is in view, the Explorer can summarize a column within that population. For a numeric column such as time, the summary includes descriptive statistics, especially the mean and the median.</w:t>
      </w:r>
    </w:p>
    <w:p w14:paraId="65B57311" w14:textId="77777777" w:rsidR="00497A4D" w:rsidRPr="00497A4D" w:rsidRDefault="00497A4D" w:rsidP="00837046">
      <w:pPr>
        <w:spacing w:line="480" w:lineRule="auto"/>
        <w:rPr>
          <w:rFonts w:eastAsiaTheme="majorEastAsia"/>
        </w:rPr>
      </w:pPr>
      <w:r w:rsidRPr="00497A4D">
        <w:rPr>
          <w:rFonts w:eastAsiaTheme="majorEastAsia"/>
        </w:rPr>
        <w:t>The mean is the arithmetic average: all values are summed and divided by N. The median is the middle value after the values are ordered, with half of the rows below it and half above it. Both numbers describe the current filtered view. They do not answer the same question.</w:t>
      </w:r>
    </w:p>
    <w:p w14:paraId="7D0C516D" w14:textId="77777777" w:rsidR="00497A4D" w:rsidRPr="00497A4D" w:rsidRDefault="00497A4D" w:rsidP="00837046">
      <w:pPr>
        <w:spacing w:line="480" w:lineRule="auto"/>
        <w:rPr>
          <w:rFonts w:eastAsiaTheme="majorEastAsia"/>
        </w:rPr>
      </w:pPr>
      <w:r w:rsidRPr="00497A4D">
        <w:rPr>
          <w:rFonts w:eastAsiaTheme="majorEastAsia"/>
        </w:rPr>
        <w:t>The distinction matters because sentencing data often contains a long right tail. Most felony sentencing records may cluster around shorter presumptive durations, while a smaller number of records carry very long presumptive durations. NIST explains that measures of spread and center are affected by tail behavior, and that histograms are useful precisely because they reveal both the center of a distribution and the behavior of its tails (National Institute of Standards and Technology [NIST], n.d.-a). The mean moves with the tail. The median describes the middle of the rows.</w:t>
      </w:r>
    </w:p>
    <w:p w14:paraId="5C9CC545" w14:textId="77777777" w:rsidR="00497A4D" w:rsidRPr="00497A4D" w:rsidRDefault="00497A4D" w:rsidP="00837046">
      <w:pPr>
        <w:spacing w:line="480" w:lineRule="auto"/>
        <w:rPr>
          <w:rFonts w:eastAsiaTheme="majorEastAsia"/>
        </w:rPr>
      </w:pPr>
      <w:r w:rsidRPr="00497A4D">
        <w:rPr>
          <w:rFonts w:eastAsiaTheme="majorEastAsia"/>
        </w:rPr>
        <w:t>In the unfiltered Explorer dataset, the mean of time is 27.20 months, while the median is 17 months among records with nonmissing time values (Minnesota Sentencing Explorer, n.d.). That gap is not a software error. It is a clue about distributional shape. The mean is higher because longer presumptive durations pull it upward. The median remains closer to the typical record.</w:t>
      </w:r>
    </w:p>
    <w:p w14:paraId="0548DFE1" w14:textId="77777777" w:rsidR="00497A4D" w:rsidRPr="00497A4D" w:rsidRDefault="00497A4D" w:rsidP="00837046">
      <w:pPr>
        <w:spacing w:line="480" w:lineRule="auto"/>
        <w:rPr>
          <w:rFonts w:eastAsiaTheme="majorEastAsia"/>
        </w:rPr>
      </w:pPr>
      <w:r w:rsidRPr="00497A4D">
        <w:rPr>
          <w:rFonts w:eastAsiaTheme="majorEastAsia"/>
        </w:rPr>
        <w:t>At this stage, the task is not to decide that one statistic is always better. The task is to keep them distinct. A claim about the “average” presumptive sentence is incomplete until the reader knows whether the claim refers to the mean or the median.</w:t>
      </w:r>
    </w:p>
    <w:p w14:paraId="57C17F39" w14:textId="77777777" w:rsidR="00497A4D" w:rsidRPr="00497A4D" w:rsidRDefault="00497A4D" w:rsidP="00837046">
      <w:pPr>
        <w:pStyle w:val="Heading3"/>
        <w:spacing w:line="480" w:lineRule="auto"/>
      </w:pPr>
      <w:r w:rsidRPr="00497A4D">
        <w:lastRenderedPageBreak/>
        <w:t>Chaining Filters and the Offense-Code Drill-Down</w:t>
      </w:r>
    </w:p>
    <w:p w14:paraId="353A884C" w14:textId="4233690A" w:rsidR="00497A4D" w:rsidRPr="00497A4D" w:rsidRDefault="00497A4D" w:rsidP="00837046">
      <w:pPr>
        <w:spacing w:line="480" w:lineRule="auto"/>
        <w:rPr>
          <w:rFonts w:eastAsiaTheme="majorEastAsia"/>
        </w:rPr>
      </w:pPr>
      <w:r w:rsidRPr="00497A4D">
        <w:rPr>
          <w:rFonts w:eastAsiaTheme="majorEastAsia"/>
        </w:rPr>
        <w:t xml:space="preserve">The same rule applies when the Explorer is used to examine offense categories. Because filters stack, adding a second filter narrows the population that survived the first. If the first filter is </w:t>
      </w:r>
      <w:r w:rsidRPr="00F854AA">
        <w:rPr>
          <w:rFonts w:eastAsiaTheme="majorEastAsia"/>
          <w:i/>
          <w:iCs/>
        </w:rPr>
        <w:t>sentyear</w:t>
      </w:r>
      <w:r w:rsidRPr="00497A4D">
        <w:rPr>
          <w:rFonts w:eastAsiaTheme="majorEastAsia"/>
        </w:rPr>
        <w:t xml:space="preserve"> &gt;= 2015, and the second filter is </w:t>
      </w:r>
      <w:r w:rsidRPr="00F854AA">
        <w:rPr>
          <w:rFonts w:eastAsiaTheme="majorEastAsia"/>
          <w:i/>
          <w:iCs/>
        </w:rPr>
        <w:t>moc1</w:t>
      </w:r>
      <w:r w:rsidRPr="00497A4D">
        <w:rPr>
          <w:rFonts w:eastAsiaTheme="majorEastAsia"/>
        </w:rPr>
        <w:t xml:space="preserve"> == A, the resulting view contains only records sentenced from 2015 through 2019 whose </w:t>
      </w:r>
      <w:r w:rsidRPr="00F854AA">
        <w:rPr>
          <w:rFonts w:eastAsiaTheme="majorEastAsia"/>
          <w:i/>
          <w:iCs/>
        </w:rPr>
        <w:t>moc1</w:t>
      </w:r>
      <w:r w:rsidRPr="00497A4D">
        <w:rPr>
          <w:rFonts w:eastAsiaTheme="majorEastAsia"/>
        </w:rPr>
        <w:t xml:space="preserve"> value places them in the assault branch of the Explorer code structure. In the uploaded file, that two-filter view contains 12,951 records (Minnesota Sentencing Explorer, </w:t>
      </w:r>
      <w:r w:rsidR="00F854AA">
        <w:rPr>
          <w:rFonts w:eastAsiaTheme="majorEastAsia"/>
        </w:rPr>
        <w:t>2026</w:t>
      </w:r>
      <w:r w:rsidRPr="00497A4D">
        <w:rPr>
          <w:rFonts w:eastAsiaTheme="majorEastAsia"/>
        </w:rPr>
        <w:t>).</w:t>
      </w:r>
    </w:p>
    <w:p w14:paraId="218B963D" w14:textId="77777777" w:rsidR="00497A4D" w:rsidRPr="00497A4D" w:rsidRDefault="00497A4D" w:rsidP="00837046">
      <w:pPr>
        <w:spacing w:line="480" w:lineRule="auto"/>
        <w:rPr>
          <w:rFonts w:eastAsiaTheme="majorEastAsia"/>
        </w:rPr>
      </w:pPr>
      <w:r w:rsidRPr="00497A4D">
        <w:rPr>
          <w:rFonts w:eastAsiaTheme="majorEastAsia"/>
        </w:rPr>
        <w:t>The Minnesota sentencing system itself is structured around offense classification and criminal-history score. MSGC explains that the sentencing grids use offense severity on the vertical axis and criminal-history score on the horizontal axis; the intersection indicates the recommended sentence length and whether the sentence is presumptively prison or stayed (MSGC, n.d.-b). The Explorer’s offense-code drill-down is therefore not just a convenient sorting device. It is a way of seeing one layer of the classification system through which sentencing records are organized.</w:t>
      </w:r>
    </w:p>
    <w:p w14:paraId="030F78B5" w14:textId="77777777" w:rsidR="00497A4D" w:rsidRPr="00497A4D" w:rsidRDefault="00497A4D" w:rsidP="00837046">
      <w:pPr>
        <w:spacing w:line="480" w:lineRule="auto"/>
        <w:rPr>
          <w:rFonts w:eastAsiaTheme="majorEastAsia"/>
        </w:rPr>
      </w:pPr>
      <w:r w:rsidRPr="00497A4D">
        <w:rPr>
          <w:rFonts w:eastAsiaTheme="majorEastAsia"/>
        </w:rPr>
        <w:t>The Minnesota Offense Code receives special treatment in the Explorer because it can be examined one character at a time. The variable moc1 identifies a broad branch of offense coding. More specific offense categories can be reached through additional characters of the code. A drill-down should be read as a filter, not as a separate kind of operation. It joins the same filter history and narrows the same population.</w:t>
      </w:r>
    </w:p>
    <w:p w14:paraId="0396635E" w14:textId="77777777" w:rsidR="00497A4D" w:rsidRPr="00497A4D" w:rsidRDefault="00497A4D" w:rsidP="00837046">
      <w:pPr>
        <w:spacing w:line="480" w:lineRule="auto"/>
        <w:rPr>
          <w:rFonts w:eastAsiaTheme="majorEastAsia"/>
        </w:rPr>
      </w:pPr>
      <w:r w:rsidRPr="00497A4D">
        <w:rPr>
          <w:rFonts w:eastAsiaTheme="majorEastAsia"/>
        </w:rPr>
        <w:t>If moc1 == A is added after sentyear &gt;= 2015, the Explorer now describes assault-branch sentencing records among records sentenced from 2015 through 2019. The order of filters may not always change the final set of rows, but the history remains pedagogically useful because it shows how the student arrived at the view.</w:t>
      </w:r>
    </w:p>
    <w:p w14:paraId="3B6EB5B0" w14:textId="77777777" w:rsidR="00497A4D" w:rsidRPr="00497A4D" w:rsidRDefault="00497A4D" w:rsidP="00837046">
      <w:pPr>
        <w:spacing w:line="480" w:lineRule="auto"/>
        <w:rPr>
          <w:rFonts w:eastAsiaTheme="majorEastAsia"/>
        </w:rPr>
      </w:pPr>
      <w:r w:rsidRPr="00497A4D">
        <w:rPr>
          <w:rFonts w:eastAsiaTheme="majorEastAsia"/>
        </w:rPr>
        <w:lastRenderedPageBreak/>
        <w:t>Here is a task a student could undertake with the Explorer to understand chained filtering. The student should clear the Explorer, apply sentyear &gt;= 2015, record N, then add moc1 == A and record the new N. This task was chosen because it makes the population change visible in two steps: first by year, then by offense classification. What the student should notice is that the second filter applies only within the population left by the first. What the task is meant to teach is that every filter narrows the claim.</w:t>
      </w:r>
    </w:p>
    <w:p w14:paraId="213CF5AD" w14:textId="77777777" w:rsidR="00497A4D" w:rsidRPr="00497A4D" w:rsidRDefault="00497A4D" w:rsidP="00837046">
      <w:pPr>
        <w:pStyle w:val="Heading3"/>
        <w:spacing w:line="480" w:lineRule="auto"/>
      </w:pPr>
      <w:r w:rsidRPr="00497A4D">
        <w:t>Revert and Clear</w:t>
      </w:r>
    </w:p>
    <w:p w14:paraId="3AA9A2BF" w14:textId="77777777" w:rsidR="00497A4D" w:rsidRPr="00497A4D" w:rsidRDefault="00497A4D" w:rsidP="00837046">
      <w:pPr>
        <w:spacing w:line="480" w:lineRule="auto"/>
        <w:rPr>
          <w:rFonts w:eastAsiaTheme="majorEastAsia"/>
        </w:rPr>
      </w:pPr>
      <w:r w:rsidRPr="00497A4D">
        <w:rPr>
          <w:rFonts w:eastAsiaTheme="majorEastAsia"/>
        </w:rPr>
        <w:t>Because the Explorer stores filters as a history, undoing a filter can be precise. Revert removes the most recent filter and returns the view to the previous state. Clear removes the entire filter history and returns the Explorer to the unfiltered dataset.</w:t>
      </w:r>
    </w:p>
    <w:p w14:paraId="18D55C5F" w14:textId="77777777" w:rsidR="00497A4D" w:rsidRPr="00497A4D" w:rsidRDefault="00497A4D" w:rsidP="00837046">
      <w:pPr>
        <w:spacing w:line="480" w:lineRule="auto"/>
        <w:rPr>
          <w:rFonts w:eastAsiaTheme="majorEastAsia"/>
        </w:rPr>
      </w:pPr>
      <w:r w:rsidRPr="00497A4D">
        <w:rPr>
          <w:rFonts w:eastAsiaTheme="majorEastAsia"/>
        </w:rPr>
        <w:t>Neither operation changes the underlying data. Revert and clear change the view. That distinction is small in software terms but large in methodological terms. The Explorer is not rewriting the sentencing records. It is changing which records are being summarized.</w:t>
      </w:r>
    </w:p>
    <w:p w14:paraId="4C4559F7" w14:textId="77777777" w:rsidR="00497A4D" w:rsidRPr="00497A4D" w:rsidRDefault="00497A4D" w:rsidP="00837046">
      <w:pPr>
        <w:spacing w:line="480" w:lineRule="auto"/>
        <w:rPr>
          <w:rFonts w:eastAsiaTheme="majorEastAsia"/>
        </w:rPr>
      </w:pPr>
      <w:r w:rsidRPr="00497A4D">
        <w:rPr>
          <w:rFonts w:eastAsiaTheme="majorEastAsia"/>
        </w:rPr>
        <w:t>A useful check follows from this structure. If a student filters to sentyear &gt;= 2015, records N, then adds moc1 == A, and then reverts, the Explorer should return to the earlier sentyear &gt;= 2015 view. The N should match the value recorded before the assault filter was added. The equality is not just a software convenience. It confirms that the population has been reconstructed.</w:t>
      </w:r>
    </w:p>
    <w:p w14:paraId="1B992E14" w14:textId="77777777" w:rsidR="00497A4D" w:rsidRPr="00497A4D" w:rsidRDefault="00497A4D" w:rsidP="00837046">
      <w:pPr>
        <w:spacing w:line="480" w:lineRule="auto"/>
        <w:rPr>
          <w:rFonts w:eastAsiaTheme="majorEastAsia"/>
        </w:rPr>
      </w:pPr>
      <w:r w:rsidRPr="00497A4D">
        <w:rPr>
          <w:rFonts w:eastAsiaTheme="majorEastAsia"/>
        </w:rPr>
        <w:t>This is the chain metaphor made visible. Each filter is a link. Revert removes the most recent link. Clear breaks the chain entirely and returns the reader to the full dataset.</w:t>
      </w:r>
    </w:p>
    <w:p w14:paraId="5E896478" w14:textId="77777777" w:rsidR="00497A4D" w:rsidRPr="00497A4D" w:rsidRDefault="00497A4D" w:rsidP="00837046">
      <w:pPr>
        <w:pStyle w:val="Heading3"/>
        <w:spacing w:line="480" w:lineRule="auto"/>
      </w:pPr>
      <w:r w:rsidRPr="00497A4D">
        <w:t>Cross-Tabulation</w:t>
      </w:r>
    </w:p>
    <w:p w14:paraId="57E03A11" w14:textId="77777777" w:rsidR="00497A4D" w:rsidRPr="00497A4D" w:rsidRDefault="00497A4D" w:rsidP="00837046">
      <w:pPr>
        <w:spacing w:line="480" w:lineRule="auto"/>
        <w:rPr>
          <w:rFonts w:eastAsiaTheme="majorEastAsia"/>
        </w:rPr>
      </w:pPr>
      <w:r w:rsidRPr="00497A4D">
        <w:rPr>
          <w:rFonts w:eastAsiaTheme="majorEastAsia"/>
        </w:rPr>
        <w:t xml:space="preserve">A cross-tabulation compares a numeric variable across two grouping variables at the same time. It splits the current view into cells and reports descriptive statistics within each cell. In this course, a </w:t>
      </w:r>
      <w:r w:rsidRPr="00497A4D">
        <w:rPr>
          <w:rFonts w:eastAsiaTheme="majorEastAsia"/>
        </w:rPr>
        <w:lastRenderedPageBreak/>
        <w:t>common cross-tabulation might place sentyear across the columns, moc1 down the rows, and summarize time inside each cell.</w:t>
      </w:r>
    </w:p>
    <w:p w14:paraId="50207C49" w14:textId="4A003018" w:rsidR="00497A4D" w:rsidRPr="00497A4D" w:rsidRDefault="00497A4D" w:rsidP="00837046">
      <w:pPr>
        <w:spacing w:line="480" w:lineRule="auto"/>
        <w:rPr>
          <w:rFonts w:eastAsiaTheme="majorEastAsia"/>
        </w:rPr>
      </w:pPr>
      <w:r w:rsidRPr="00497A4D">
        <w:rPr>
          <w:rFonts w:eastAsiaTheme="majorEastAsia"/>
        </w:rPr>
        <w:t xml:space="preserve">The tempting reading is that a cross-tabulation is a new analytical object. The better reading is simpler: each cell is a filtered view the student could have built by hand. The cell where assault intersects with 2018 describes records with sentyear == 2018 and moc1 == A. In the uploaded Explorer file, that view contains 2,628 records; among records with nonmissing time, the mean time is 21.03 months and the median is 18 months (Minnesota Sentencing Explorer, </w:t>
      </w:r>
      <w:r w:rsidR="00F854AA">
        <w:rPr>
          <w:rFonts w:eastAsiaTheme="majorEastAsia"/>
        </w:rPr>
        <w:t>2026</w:t>
      </w:r>
      <w:r w:rsidRPr="00497A4D">
        <w:rPr>
          <w:rFonts w:eastAsiaTheme="majorEastAsia"/>
        </w:rPr>
        <w:t>).</w:t>
      </w:r>
    </w:p>
    <w:p w14:paraId="094CDBC2" w14:textId="77777777" w:rsidR="00497A4D" w:rsidRPr="00497A4D" w:rsidRDefault="00497A4D" w:rsidP="00837046">
      <w:pPr>
        <w:spacing w:line="480" w:lineRule="auto"/>
        <w:rPr>
          <w:rFonts w:eastAsiaTheme="majorEastAsia"/>
        </w:rPr>
      </w:pPr>
      <w:r w:rsidRPr="00497A4D">
        <w:rPr>
          <w:rFonts w:eastAsiaTheme="majorEastAsia"/>
        </w:rPr>
        <w:t>This is the idea that demystifies the cross-tabulation. It is not a magic table. It is a compact array of filtered populations. Each number still has an N, a denominator, and a set of limits.</w:t>
      </w:r>
    </w:p>
    <w:p w14:paraId="64974FC8" w14:textId="77777777" w:rsidR="00497A4D" w:rsidRPr="00497A4D" w:rsidRDefault="00497A4D" w:rsidP="00837046">
      <w:pPr>
        <w:spacing w:line="480" w:lineRule="auto"/>
        <w:rPr>
          <w:rFonts w:eastAsiaTheme="majorEastAsia"/>
        </w:rPr>
      </w:pPr>
      <w:r w:rsidRPr="00497A4D">
        <w:rPr>
          <w:rFonts w:eastAsiaTheme="majorEastAsia"/>
        </w:rPr>
        <w:t>Here is a task a student could undertake with the Explorer to understand cross-tabulation. The student should create a cross-tabulation with sentyear as one grouping variable, moc1 as the other grouping variable, and time as the numeric variable. The student should then choose one cell, such as assault in 2018, and manually reproduce that cell by clearing the Explorer and applying sentyear == 2018 followed by moc1 == A. This task was chosen because it turns the cross-tabulation from a table into a set of visible filter chains. What the student should notice is that the statistic in the cell matches the statistic in the corresponding manually filtered view. What the task is meant to teach is that a cross-tabulation is an efficient way to display many filtered views at once.</w:t>
      </w:r>
    </w:p>
    <w:p w14:paraId="1BDC8F3D" w14:textId="77777777" w:rsidR="00497A4D" w:rsidRPr="00497A4D" w:rsidRDefault="00497A4D" w:rsidP="00837046">
      <w:pPr>
        <w:spacing w:line="480" w:lineRule="auto"/>
        <w:rPr>
          <w:rFonts w:eastAsiaTheme="majorEastAsia"/>
        </w:rPr>
      </w:pPr>
      <w:r w:rsidRPr="00497A4D">
        <w:rPr>
          <w:rFonts w:eastAsiaTheme="majorEastAsia"/>
        </w:rPr>
        <w:t>One caution belongs here from the outset. A difference between two cells is a description of the data. It is not an explanation of why the difference exists. If the mean presumptive duration for assault records differs between two years, the Explorer has shown a descriptive gap across sentencing records. It has not identified the cause of that gap. The pattern may be real. The explanation remains a separate question.</w:t>
      </w:r>
    </w:p>
    <w:p w14:paraId="776FD9FE" w14:textId="77777777" w:rsidR="00497A4D" w:rsidRPr="00497A4D" w:rsidRDefault="00497A4D" w:rsidP="00837046">
      <w:pPr>
        <w:pStyle w:val="Heading3"/>
        <w:spacing w:line="480" w:lineRule="auto"/>
      </w:pPr>
      <w:r w:rsidRPr="00497A4D">
        <w:lastRenderedPageBreak/>
        <w:t>Summary</w:t>
      </w:r>
    </w:p>
    <w:p w14:paraId="190AE661" w14:textId="77777777" w:rsidR="00497A4D" w:rsidRPr="00497A4D" w:rsidRDefault="00497A4D" w:rsidP="00837046">
      <w:pPr>
        <w:spacing w:line="480" w:lineRule="auto"/>
        <w:rPr>
          <w:rFonts w:eastAsiaTheme="majorEastAsia"/>
        </w:rPr>
      </w:pPr>
      <w:r w:rsidRPr="00497A4D">
        <w:rPr>
          <w:rFonts w:eastAsiaTheme="majorEastAsia"/>
        </w:rPr>
        <w:t>The core lesson of this module is that the Explorer’s basic operations are also habits of disciplined interpretation. A filter narrows the current view and joins the history. A column summary reports descriptive statistics for the rows currently in view. Revert steps back one filter. Clear returns to the unfiltered dataset. A cross-tabulation displays many filtered views at once.</w:t>
      </w:r>
    </w:p>
    <w:p w14:paraId="5234C984" w14:textId="77777777" w:rsidR="00497A4D" w:rsidRDefault="00497A4D" w:rsidP="00837046">
      <w:pPr>
        <w:spacing w:line="480" w:lineRule="auto"/>
        <w:rPr>
          <w:rFonts w:eastAsiaTheme="majorEastAsia"/>
        </w:rPr>
      </w:pPr>
      <w:r w:rsidRPr="00497A4D">
        <w:rPr>
          <w:rFonts w:eastAsiaTheme="majorEastAsia"/>
        </w:rPr>
        <w:t>The mistake this module prevents is treating Explorer output as free-floating fact. The Explorer computes numbers for a population. The reader’s task is to name that population before interpreting the number. From this point forward, every statistic should prompt the same first question: what rows does this describe? The next module extends that discipline to the descriptive statistics themselves.</w:t>
      </w:r>
    </w:p>
    <w:p w14:paraId="02B453CC" w14:textId="2E6B0A10" w:rsidR="00497A4D" w:rsidRPr="00497A4D" w:rsidRDefault="00497A4D" w:rsidP="00837046">
      <w:pPr>
        <w:pStyle w:val="Heading3"/>
        <w:spacing w:line="480" w:lineRule="auto"/>
      </w:pPr>
      <w:r>
        <w:t>References</w:t>
      </w:r>
    </w:p>
    <w:p w14:paraId="5AFF781F" w14:textId="77777777" w:rsidR="00497A4D" w:rsidRPr="00497A4D" w:rsidRDefault="00497A4D" w:rsidP="00837046">
      <w:pPr>
        <w:spacing w:line="480" w:lineRule="auto"/>
        <w:rPr>
          <w:rFonts w:eastAsiaTheme="majorEastAsia"/>
        </w:rPr>
      </w:pPr>
      <w:r w:rsidRPr="00497A4D">
        <w:rPr>
          <w:rFonts w:eastAsiaTheme="majorEastAsia"/>
        </w:rPr>
        <w:t>Minn. Stat. § 244.09 (2025).</w:t>
      </w:r>
    </w:p>
    <w:p w14:paraId="15B03441" w14:textId="175221B7" w:rsidR="00497A4D" w:rsidRDefault="00497A4D" w:rsidP="00837046">
      <w:pPr>
        <w:spacing w:line="480" w:lineRule="auto"/>
        <w:rPr>
          <w:rFonts w:eastAsiaTheme="majorEastAsia"/>
        </w:rPr>
      </w:pPr>
      <w:r w:rsidRPr="00497A4D">
        <w:rPr>
          <w:rFonts w:eastAsiaTheme="majorEastAsia"/>
        </w:rPr>
        <w:t>Minnesota Sentencing Explorer. (</w:t>
      </w:r>
      <w:r w:rsidR="00F854AA">
        <w:rPr>
          <w:rFonts w:eastAsiaTheme="majorEastAsia"/>
        </w:rPr>
        <w:t>2026</w:t>
      </w:r>
      <w:r w:rsidRPr="00497A4D">
        <w:rPr>
          <w:rFonts w:eastAsiaTheme="majorEastAsia"/>
        </w:rPr>
        <w:t xml:space="preserve">). </w:t>
      </w:r>
      <w:r w:rsidRPr="00497A4D">
        <w:rPr>
          <w:rFonts w:eastAsiaTheme="majorEastAsia"/>
          <w:i/>
          <w:iCs/>
        </w:rPr>
        <w:t>Raw sentencing dataset, 2001–2019</w:t>
      </w:r>
      <w:r w:rsidRPr="00497A4D">
        <w:rPr>
          <w:rFonts w:eastAsiaTheme="majorEastAsia"/>
        </w:rPr>
        <w:t xml:space="preserve"> [Data set]. Author-supplied export.</w:t>
      </w:r>
    </w:p>
    <w:p w14:paraId="35211E93" w14:textId="1CAFF753" w:rsidR="00497A4D" w:rsidRPr="00497A4D" w:rsidRDefault="00497A4D" w:rsidP="00837046">
      <w:pPr>
        <w:spacing w:line="480" w:lineRule="auto"/>
        <w:rPr>
          <w:rFonts w:eastAsiaTheme="majorEastAsia"/>
        </w:rPr>
      </w:pPr>
      <w:r w:rsidRPr="00497A4D">
        <w:rPr>
          <w:rFonts w:eastAsiaTheme="majorEastAsia"/>
        </w:rPr>
        <w:t xml:space="preserve">Minnesota Sentencing Guidelines Commission. (2025). </w:t>
      </w:r>
      <w:r w:rsidRPr="00497A4D">
        <w:rPr>
          <w:rFonts w:eastAsiaTheme="majorEastAsia"/>
          <w:i/>
          <w:iCs/>
        </w:rPr>
        <w:t>2023 sentencing practices: Annual summary statistics for felony cases sentenced</w:t>
      </w:r>
      <w:r w:rsidRPr="00497A4D">
        <w:rPr>
          <w:rFonts w:eastAsiaTheme="majorEastAsia"/>
        </w:rPr>
        <w:t>. State of Minnesota.</w:t>
      </w:r>
    </w:p>
    <w:p w14:paraId="23D156D0" w14:textId="77777777" w:rsidR="00497A4D" w:rsidRPr="00497A4D" w:rsidRDefault="00497A4D" w:rsidP="00837046">
      <w:pPr>
        <w:spacing w:line="480" w:lineRule="auto"/>
        <w:rPr>
          <w:rFonts w:eastAsiaTheme="majorEastAsia"/>
        </w:rPr>
      </w:pPr>
      <w:r w:rsidRPr="00497A4D">
        <w:rPr>
          <w:rFonts w:eastAsiaTheme="majorEastAsia"/>
        </w:rPr>
        <w:t xml:space="preserve">Minnesota Sentencing Guidelines Commission. (n.d.-a). </w:t>
      </w:r>
      <w:r w:rsidRPr="00497A4D">
        <w:rPr>
          <w:rFonts w:eastAsiaTheme="majorEastAsia"/>
          <w:i/>
          <w:iCs/>
        </w:rPr>
        <w:t>Definitions</w:t>
      </w:r>
      <w:r w:rsidRPr="00497A4D">
        <w:rPr>
          <w:rFonts w:eastAsiaTheme="majorEastAsia"/>
        </w:rPr>
        <w:t xml:space="preserve">. State of Minnesota. </w:t>
      </w:r>
      <w:hyperlink r:id="rId29" w:history="1">
        <w:r w:rsidRPr="00497A4D">
          <w:rPr>
            <w:rStyle w:val="Hyperlink"/>
            <w:rFonts w:eastAsiaTheme="majorEastAsia"/>
          </w:rPr>
          <w:t>https://mn.gov/sentencing-guidelines/educationtraining/education/definitions/</w:t>
        </w:r>
      </w:hyperlink>
    </w:p>
    <w:p w14:paraId="30FC420E" w14:textId="77777777" w:rsidR="00497A4D" w:rsidRPr="00497A4D" w:rsidRDefault="00497A4D" w:rsidP="00837046">
      <w:pPr>
        <w:spacing w:line="480" w:lineRule="auto"/>
        <w:rPr>
          <w:rFonts w:eastAsiaTheme="majorEastAsia"/>
        </w:rPr>
      </w:pPr>
      <w:r w:rsidRPr="00497A4D">
        <w:rPr>
          <w:rFonts w:eastAsiaTheme="majorEastAsia"/>
        </w:rPr>
        <w:t xml:space="preserve">Minnesota Sentencing Guidelines Commission. (n.d.-b). </w:t>
      </w:r>
      <w:r w:rsidRPr="00497A4D">
        <w:rPr>
          <w:rFonts w:eastAsiaTheme="majorEastAsia"/>
          <w:i/>
          <w:iCs/>
        </w:rPr>
        <w:t>How to read the grids</w:t>
      </w:r>
      <w:r w:rsidRPr="00497A4D">
        <w:rPr>
          <w:rFonts w:eastAsiaTheme="majorEastAsia"/>
        </w:rPr>
        <w:t xml:space="preserve">. State of Minnesota. </w:t>
      </w:r>
      <w:hyperlink r:id="rId30" w:history="1">
        <w:r w:rsidRPr="00497A4D">
          <w:rPr>
            <w:rStyle w:val="Hyperlink"/>
            <w:rFonts w:eastAsiaTheme="majorEastAsia"/>
          </w:rPr>
          <w:t>https://mn.gov/sentencing-guidelines/educationtraining/education/grids/</w:t>
        </w:r>
      </w:hyperlink>
    </w:p>
    <w:p w14:paraId="751A1054" w14:textId="60BCBCFE" w:rsidR="00497A4D" w:rsidRDefault="00497A4D" w:rsidP="00837046">
      <w:pPr>
        <w:spacing w:line="480" w:lineRule="auto"/>
        <w:rPr>
          <w:rFonts w:eastAsiaTheme="majorEastAsia"/>
        </w:rPr>
      </w:pPr>
      <w:r w:rsidRPr="00497A4D">
        <w:rPr>
          <w:rFonts w:eastAsiaTheme="majorEastAsia"/>
        </w:rPr>
        <w:lastRenderedPageBreak/>
        <w:t xml:space="preserve">National Institute of Standards and Technology. (n.d.). </w:t>
      </w:r>
      <w:r w:rsidRPr="00497A4D">
        <w:rPr>
          <w:rFonts w:eastAsiaTheme="majorEastAsia"/>
          <w:i/>
          <w:iCs/>
        </w:rPr>
        <w:t>Exploratory data analysis</w:t>
      </w:r>
      <w:r w:rsidRPr="00497A4D">
        <w:rPr>
          <w:rFonts w:eastAsiaTheme="majorEastAsia"/>
        </w:rPr>
        <w:t xml:space="preserve">. In </w:t>
      </w:r>
      <w:r w:rsidRPr="00497A4D">
        <w:rPr>
          <w:rFonts w:eastAsiaTheme="majorEastAsia"/>
          <w:i/>
          <w:iCs/>
        </w:rPr>
        <w:t>Engineering statistics handbook</w:t>
      </w:r>
      <w:r w:rsidRPr="00497A4D">
        <w:rPr>
          <w:rFonts w:eastAsiaTheme="majorEastAsia"/>
        </w:rPr>
        <w:t xml:space="preserve">. U.S. Department of Commerce. </w:t>
      </w:r>
      <w:hyperlink r:id="rId31" w:history="1">
        <w:r w:rsidRPr="00497A4D">
          <w:rPr>
            <w:rStyle w:val="Hyperlink"/>
            <w:rFonts w:eastAsiaTheme="majorEastAsia"/>
          </w:rPr>
          <w:t>https://www.itl.nist.gov/div898/h</w:t>
        </w:r>
        <w:r w:rsidRPr="00497A4D">
          <w:rPr>
            <w:rStyle w:val="Hyperlink"/>
            <w:rFonts w:eastAsiaTheme="majorEastAsia"/>
          </w:rPr>
          <w:t>a</w:t>
        </w:r>
        <w:r w:rsidRPr="00497A4D">
          <w:rPr>
            <w:rStyle w:val="Hyperlink"/>
            <w:rFonts w:eastAsiaTheme="majorEastAsia"/>
          </w:rPr>
          <w:t>ndbook/eda/eda.htm</w:t>
        </w:r>
      </w:hyperlink>
    </w:p>
    <w:p w14:paraId="069731C9" w14:textId="77777777" w:rsidR="00726BD3" w:rsidRPr="00497A4D" w:rsidRDefault="00726BD3" w:rsidP="00837046">
      <w:pPr>
        <w:spacing w:line="480" w:lineRule="auto"/>
        <w:rPr>
          <w:rFonts w:eastAsiaTheme="majorEastAsia"/>
        </w:rPr>
      </w:pPr>
    </w:p>
    <w:p w14:paraId="4E23A239" w14:textId="77777777" w:rsidR="00497A4D" w:rsidRPr="00497A4D" w:rsidRDefault="00497A4D" w:rsidP="00837046">
      <w:pPr>
        <w:pStyle w:val="Heading2"/>
        <w:spacing w:line="480" w:lineRule="auto"/>
      </w:pPr>
      <w:r w:rsidRPr="00497A4D">
        <w:t>Module 3: What the Numbers Say</w:t>
      </w:r>
    </w:p>
    <w:p w14:paraId="4813334F" w14:textId="77777777" w:rsidR="00497A4D" w:rsidRPr="00497A4D" w:rsidRDefault="00497A4D" w:rsidP="00837046">
      <w:pPr>
        <w:pStyle w:val="Heading3"/>
        <w:spacing w:line="480" w:lineRule="auto"/>
      </w:pPr>
      <w:r w:rsidRPr="00497A4D">
        <w:t>Reading Descriptive Statistics</w:t>
      </w:r>
    </w:p>
    <w:p w14:paraId="23A425EF" w14:textId="77777777" w:rsidR="00497A4D" w:rsidRPr="00497A4D" w:rsidRDefault="00497A4D" w:rsidP="00837046">
      <w:pPr>
        <w:spacing w:line="480" w:lineRule="auto"/>
        <w:rPr>
          <w:rFonts w:eastAsiaTheme="majorEastAsia"/>
        </w:rPr>
      </w:pPr>
      <w:r w:rsidRPr="00497A4D">
        <w:rPr>
          <w:rFonts w:eastAsiaTheme="majorEastAsia"/>
        </w:rPr>
        <w:t>A statistic can look more authoritative than it is. A mean carried to two decimal places, a percentage displayed neatly in a table, or a standard deviation printed beside a column can appear to settle the matter. That confidence is premature. A descriptive statistic summarizes the records currently in view. It does not explain how those records came to exist, why they differ, or what happened outside the dataset’s ceiling.</w:t>
      </w:r>
    </w:p>
    <w:p w14:paraId="6B4FF932" w14:textId="77777777" w:rsidR="00497A4D" w:rsidRPr="00497A4D" w:rsidRDefault="00497A4D" w:rsidP="00837046">
      <w:pPr>
        <w:spacing w:line="480" w:lineRule="auto"/>
        <w:rPr>
          <w:rFonts w:eastAsiaTheme="majorEastAsia"/>
        </w:rPr>
      </w:pPr>
      <w:r w:rsidRPr="00497A4D">
        <w:rPr>
          <w:rFonts w:eastAsiaTheme="majorEastAsia"/>
        </w:rPr>
        <w:t>This module concerns the numbers the Explorer reports once a view has been built. The previous module showed how to create filtered populations. This module asks how to read the summaries attached to those populations. The governing distinction remains the same: descriptive statistics report patterns; they do not explain causes.</w:t>
      </w:r>
    </w:p>
    <w:p w14:paraId="7617D5EB" w14:textId="77777777" w:rsidR="00497A4D" w:rsidRPr="00497A4D" w:rsidRDefault="00497A4D" w:rsidP="00837046">
      <w:pPr>
        <w:spacing w:line="480" w:lineRule="auto"/>
        <w:rPr>
          <w:rFonts w:eastAsiaTheme="majorEastAsia"/>
        </w:rPr>
      </w:pPr>
      <w:r w:rsidRPr="00497A4D">
        <w:rPr>
          <w:rFonts w:eastAsiaTheme="majorEastAsia"/>
        </w:rPr>
        <w:t xml:space="preserve">The Explorer reports several summaries. For categorical columns, which contain labels or categories, it reports counts and percentages. For numeric columns, it reports those summaries along with the mean, median, and standard deviation. The variables that recur in this module include time, the presumptive sentence duration in months; moc1, moc2, and moc4, successive characters of the Minnesota Offense Code as represented in the Explorer file; sex, the sentenced </w:t>
      </w:r>
      <w:r w:rsidRPr="00497A4D">
        <w:rPr>
          <w:rFonts w:eastAsiaTheme="majorEastAsia"/>
        </w:rPr>
        <w:lastRenderedPageBreak/>
        <w:t>person’s sex as recorded in the dataset; history, the criminal-history score; and tweight, the combined severity weight of additional felony counts at sentencing.</w:t>
      </w:r>
    </w:p>
    <w:p w14:paraId="0B7681CC" w14:textId="77777777" w:rsidR="00497A4D" w:rsidRPr="00497A4D" w:rsidRDefault="00497A4D" w:rsidP="00837046">
      <w:pPr>
        <w:spacing w:line="480" w:lineRule="auto"/>
        <w:rPr>
          <w:rFonts w:eastAsiaTheme="majorEastAsia"/>
        </w:rPr>
      </w:pPr>
      <w:r w:rsidRPr="00497A4D">
        <w:rPr>
          <w:rFonts w:eastAsiaTheme="majorEastAsia"/>
        </w:rPr>
        <w:t>These variables belong to a sentencing system that already has a legal architecture. MSGC explains that presumptive sentences are based on offense severity and criminal-history score, and that a presumptive sentence includes both a presumptive disposition and a presumptive duration (MSGC, n.d.-a, n.d.-b). That legal context matters before any statistical interpretation begins. The number is not floating in space. It was produced by a grid, a conviction offense, a criminal-history calculation, and a sentencing event.</w:t>
      </w:r>
    </w:p>
    <w:p w14:paraId="5C5E3876" w14:textId="77777777" w:rsidR="00497A4D" w:rsidRPr="00497A4D" w:rsidRDefault="00497A4D" w:rsidP="00837046">
      <w:pPr>
        <w:spacing w:line="480" w:lineRule="auto"/>
        <w:rPr>
          <w:rFonts w:eastAsiaTheme="majorEastAsia"/>
        </w:rPr>
      </w:pPr>
      <w:r w:rsidRPr="00497A4D">
        <w:rPr>
          <w:rFonts w:eastAsiaTheme="majorEastAsia"/>
        </w:rPr>
        <w:t>Each statistic is useful. Each can also be misread. The work of this module is to make the useful reading harder to miss.</w:t>
      </w:r>
    </w:p>
    <w:p w14:paraId="25A90067" w14:textId="77777777" w:rsidR="00497A4D" w:rsidRPr="00497A4D" w:rsidRDefault="00497A4D" w:rsidP="00837046">
      <w:pPr>
        <w:pStyle w:val="Heading3"/>
        <w:spacing w:line="480" w:lineRule="auto"/>
      </w:pPr>
      <w:r w:rsidRPr="00497A4D">
        <w:t>The Mode: The Most Common Category</w:t>
      </w:r>
    </w:p>
    <w:p w14:paraId="5F813AB8" w14:textId="77777777" w:rsidR="00497A4D" w:rsidRPr="00497A4D" w:rsidRDefault="00497A4D" w:rsidP="00837046">
      <w:pPr>
        <w:spacing w:line="480" w:lineRule="auto"/>
        <w:rPr>
          <w:rFonts w:eastAsiaTheme="majorEastAsia"/>
        </w:rPr>
      </w:pPr>
      <w:r w:rsidRPr="00497A4D">
        <w:rPr>
          <w:rFonts w:eastAsiaTheme="majorEastAsia"/>
        </w:rPr>
        <w:t>For a categorical variable, the simplest summary is the mode. The mode is the most frequent value in the current view. Reading a mode requires three pieces of information: the value itself, the count of rows with that value, and the percentage of the current view represented by that count.</w:t>
      </w:r>
    </w:p>
    <w:p w14:paraId="7BB693BC" w14:textId="1C679C7A" w:rsidR="00497A4D" w:rsidRPr="00497A4D" w:rsidRDefault="00497A4D" w:rsidP="00837046">
      <w:pPr>
        <w:spacing w:line="480" w:lineRule="auto"/>
        <w:rPr>
          <w:rFonts w:eastAsiaTheme="majorEastAsia"/>
        </w:rPr>
      </w:pPr>
      <w:r w:rsidRPr="00497A4D">
        <w:rPr>
          <w:rFonts w:eastAsiaTheme="majorEastAsia"/>
        </w:rPr>
        <w:t xml:space="preserve">On the full, unfiltered Explorer dataset, the mode of moc1 is D, which functions in this file as the drug-offense branch of the Minnesota Offense Code. It appears in 79,624 of the 294,467 records, or approximately 27.04 percent of the dataset (Minnesota Sentencing Explorer, </w:t>
      </w:r>
      <w:r w:rsidR="00F2606B">
        <w:rPr>
          <w:rFonts w:eastAsiaTheme="majorEastAsia"/>
        </w:rPr>
        <w:t>2026</w:t>
      </w:r>
      <w:r w:rsidRPr="00497A4D">
        <w:rPr>
          <w:rFonts w:eastAsiaTheme="majorEastAsia"/>
        </w:rPr>
        <w:t>). That is a precise claim about one variable in one file. It should not be widened into a claim that drug crimes were the most commonly committed crimes in Minnesota during the period. It should not even be widened carelessly into a claim about the broadest offense-type variable, because the uploaded file’s broader offtype variable has property offenses as its modal category.</w:t>
      </w:r>
    </w:p>
    <w:p w14:paraId="264E8CE8" w14:textId="77777777" w:rsidR="00497A4D" w:rsidRPr="00497A4D" w:rsidRDefault="00497A4D" w:rsidP="00837046">
      <w:pPr>
        <w:spacing w:line="480" w:lineRule="auto"/>
        <w:rPr>
          <w:rFonts w:eastAsiaTheme="majorEastAsia"/>
        </w:rPr>
      </w:pPr>
      <w:r w:rsidRPr="00497A4D">
        <w:rPr>
          <w:rFonts w:eastAsiaTheme="majorEastAsia"/>
        </w:rPr>
        <w:lastRenderedPageBreak/>
        <w:t>The distinction is not pedantic. The dataset records sentencing records that reached the bottom of the criminal-justice funnel. It does not record all conduct, all arrests, all charges, all dismissed cases, or all negotiated pleas. A mode describes the dataset’s rows. It does not describe the entire world upstream of those rows.</w:t>
      </w:r>
    </w:p>
    <w:p w14:paraId="2E8072A1" w14:textId="77777777" w:rsidR="00497A4D" w:rsidRPr="00497A4D" w:rsidRDefault="00497A4D" w:rsidP="00837046">
      <w:pPr>
        <w:pStyle w:val="Heading3"/>
        <w:spacing w:line="480" w:lineRule="auto"/>
      </w:pPr>
      <w:r w:rsidRPr="00497A4D">
        <w:t>Counts and Percentages</w:t>
      </w:r>
    </w:p>
    <w:p w14:paraId="10BA55DF" w14:textId="77777777" w:rsidR="00497A4D" w:rsidRPr="00497A4D" w:rsidRDefault="00497A4D" w:rsidP="00837046">
      <w:pPr>
        <w:spacing w:line="480" w:lineRule="auto"/>
        <w:rPr>
          <w:rFonts w:eastAsiaTheme="majorEastAsia"/>
        </w:rPr>
      </w:pPr>
      <w:r w:rsidRPr="00497A4D">
        <w:rPr>
          <w:rFonts w:eastAsiaTheme="majorEastAsia"/>
        </w:rPr>
        <w:t>A count answers “how many.” A percentage answers “how common within the group.” The two questions often travel together, but they are not the same question.</w:t>
      </w:r>
    </w:p>
    <w:p w14:paraId="577CF525" w14:textId="77777777" w:rsidR="00497A4D" w:rsidRPr="00497A4D" w:rsidRDefault="00497A4D" w:rsidP="00837046">
      <w:pPr>
        <w:spacing w:line="480" w:lineRule="auto"/>
        <w:rPr>
          <w:rFonts w:eastAsiaTheme="majorEastAsia"/>
        </w:rPr>
      </w:pPr>
      <w:r w:rsidRPr="00497A4D">
        <w:rPr>
          <w:rFonts w:eastAsiaTheme="majorEastAsia"/>
        </w:rPr>
        <w:t>The difference becomes especially important when groups are unequal in size. A larger group may have a higher raw count for nearly every outcome simply because the group contains more rows. The count may be larger even when the outcome is less common within that group. In that setting, the denominator is not a technical detail. It is the whole interpretive problem.</w:t>
      </w:r>
    </w:p>
    <w:p w14:paraId="6FD581ED" w14:textId="7F83808C" w:rsidR="00497A4D" w:rsidRPr="00497A4D" w:rsidRDefault="00497A4D" w:rsidP="00837046">
      <w:pPr>
        <w:spacing w:line="480" w:lineRule="auto"/>
        <w:rPr>
          <w:rFonts w:eastAsiaTheme="majorEastAsia"/>
        </w:rPr>
      </w:pPr>
      <w:r w:rsidRPr="00497A4D">
        <w:rPr>
          <w:rFonts w:eastAsiaTheme="majorEastAsia"/>
        </w:rPr>
        <w:t xml:space="preserve">Sentence values by sex illustrate the point. In the uploaded Explorer file, 241,387 records are coded male, 53,073 are coded female, and seven are coded corporate (Minnesota Sentencing Explorer, </w:t>
      </w:r>
      <w:r w:rsidR="00F2606B">
        <w:rPr>
          <w:rFonts w:eastAsiaTheme="majorEastAsia"/>
        </w:rPr>
        <w:t>2026</w:t>
      </w:r>
      <w:r w:rsidRPr="00497A4D">
        <w:rPr>
          <w:rFonts w:eastAsiaTheme="majorEastAsia"/>
        </w:rPr>
        <w:t>). Men’s records therefore make up approximately 81.97 percent of the file, while women’s records make up approximately 18.02 percent. That imbalance means raw counts will often be larger for men even when a value is proportionally more common among women.</w:t>
      </w:r>
    </w:p>
    <w:p w14:paraId="6CE65A1B" w14:textId="77777777" w:rsidR="00497A4D" w:rsidRPr="00497A4D" w:rsidRDefault="00497A4D" w:rsidP="00837046">
      <w:pPr>
        <w:spacing w:line="480" w:lineRule="auto"/>
        <w:rPr>
          <w:rFonts w:eastAsiaTheme="majorEastAsia"/>
        </w:rPr>
      </w:pPr>
      <w:r w:rsidRPr="00497A4D">
        <w:rPr>
          <w:rFonts w:eastAsiaTheme="majorEastAsia"/>
        </w:rPr>
        <w:t>The 12.03-month value shows the trap directly. In the uploaded file, time == 12.03 appears in 52,999 male records and 19,485 female records. The male count is larger. But within each sex category, the value appears in approximately 21.96 percent of male records and 36.71 percent of female records (Minnesota Sentencing Explorer, n.d.). Both statements are true. They answer different questions.</w:t>
      </w:r>
    </w:p>
    <w:p w14:paraId="5C1BA522" w14:textId="77777777" w:rsidR="00497A4D" w:rsidRPr="00497A4D" w:rsidRDefault="00497A4D" w:rsidP="00837046">
      <w:pPr>
        <w:spacing w:line="480" w:lineRule="auto"/>
        <w:rPr>
          <w:rFonts w:eastAsiaTheme="majorEastAsia"/>
        </w:rPr>
      </w:pPr>
      <w:r w:rsidRPr="00497A4D">
        <w:rPr>
          <w:rFonts w:eastAsiaTheme="majorEastAsia"/>
        </w:rPr>
        <w:lastRenderedPageBreak/>
        <w:t>The legal context helps explain why the value is recognizable. Minnesota defines a felony as a crime for which a sentence of imprisonment for one year or more may be imposed (Minn. Stat. § 609.02, 2025). The Explorer’s 12.03-month value functions as a year-and-a-day marker in the dataset. The proper statistical reading, however, does not depend on treating that value as a moral boundary. It depends on reading the denominator correctly.</w:t>
      </w:r>
    </w:p>
    <w:p w14:paraId="2B9AF5C6" w14:textId="77777777" w:rsidR="00497A4D" w:rsidRPr="00497A4D" w:rsidRDefault="00497A4D" w:rsidP="00837046">
      <w:pPr>
        <w:spacing w:line="480" w:lineRule="auto"/>
        <w:rPr>
          <w:rFonts w:eastAsiaTheme="majorEastAsia"/>
        </w:rPr>
      </w:pPr>
      <w:r w:rsidRPr="00497A4D">
        <w:rPr>
          <w:rFonts w:eastAsiaTheme="majorEastAsia"/>
        </w:rPr>
        <w:t>This pattern is also consistent with a broader sentencing literature showing that gender differences in sentencing outcomes are empirically important and difficult to interpret without attention to offense mix, criminal history, charging, plea bargaining, and case selection. Mustard (2001) found gender disparities in federal sentencing after controlling for legally relevant factors. Starr (2015) argued that much observed gender disparity in federal criminal cases is generated before final sentencing, including through charging, plea bargaining, and sentencing fact-finding. Those studies should not be imported as estimates for Minnesota. Their value here is methodological: they warn the reader not to explain a sex difference from a descriptive table alone.</w:t>
      </w:r>
    </w:p>
    <w:p w14:paraId="72D38066" w14:textId="77777777" w:rsidR="00497A4D" w:rsidRPr="00497A4D" w:rsidRDefault="00497A4D" w:rsidP="00837046">
      <w:pPr>
        <w:spacing w:line="480" w:lineRule="auto"/>
        <w:rPr>
          <w:rFonts w:eastAsiaTheme="majorEastAsia"/>
        </w:rPr>
      </w:pPr>
      <w:r w:rsidRPr="00497A4D">
        <w:rPr>
          <w:rFonts w:eastAsiaTheme="majorEastAsia"/>
        </w:rPr>
        <w:t>Here is a task a student could undertake with the Explorer to understand why percentages are usually better than counts when comparing groups of different sizes. The student should clear the Explorer, summarize sex, and then compare the distribution of the 12.03-month value within each sex category. This task was chosen because men’s records make up a much larger share of the dataset, which makes raw counts especially vulnerable to denominator confusion. What the student should notice is that one group can have the larger count while another group has the larger percentage. What the task is meant to teach is that counts answer “how many,” while percentages answer “how common within the group.”</w:t>
      </w:r>
    </w:p>
    <w:p w14:paraId="36F1B03B" w14:textId="77777777" w:rsidR="00497A4D" w:rsidRPr="00497A4D" w:rsidRDefault="00497A4D" w:rsidP="00837046">
      <w:pPr>
        <w:pStyle w:val="Heading3"/>
        <w:spacing w:line="480" w:lineRule="auto"/>
      </w:pPr>
      <w:r w:rsidRPr="00497A4D">
        <w:lastRenderedPageBreak/>
        <w:t>Two Kinds of Middle: Mean and Median</w:t>
      </w:r>
    </w:p>
    <w:p w14:paraId="7102A5EA" w14:textId="77777777" w:rsidR="00497A4D" w:rsidRPr="00497A4D" w:rsidRDefault="00497A4D" w:rsidP="00837046">
      <w:pPr>
        <w:spacing w:line="480" w:lineRule="auto"/>
        <w:rPr>
          <w:rFonts w:eastAsiaTheme="majorEastAsia"/>
        </w:rPr>
      </w:pPr>
      <w:r w:rsidRPr="00497A4D">
        <w:rPr>
          <w:rFonts w:eastAsiaTheme="majorEastAsia"/>
        </w:rPr>
        <w:t>Numeric variables require a different kind of summary. The mean and the median are both measures of center, but they define the center differently.</w:t>
      </w:r>
    </w:p>
    <w:p w14:paraId="0DA40416" w14:textId="77777777" w:rsidR="00497A4D" w:rsidRPr="00497A4D" w:rsidRDefault="00497A4D" w:rsidP="00837046">
      <w:pPr>
        <w:spacing w:line="480" w:lineRule="auto"/>
        <w:rPr>
          <w:rFonts w:eastAsiaTheme="majorEastAsia"/>
        </w:rPr>
      </w:pPr>
      <w:r w:rsidRPr="00497A4D">
        <w:rPr>
          <w:rFonts w:eastAsiaTheme="majorEastAsia"/>
        </w:rPr>
        <w:t>The mean sums all values and divides by N. The median orders the values and identifies the middle value, so that half the rows fall below it and half above it. A small example shows the difference. For the values 2, 3, 4, 5, and 26, the median is 4. The mean is 8. One large value pulls the mean upward, while the median remains at the center of the ordered list.</w:t>
      </w:r>
    </w:p>
    <w:p w14:paraId="683D800E" w14:textId="77777777" w:rsidR="00497A4D" w:rsidRPr="00497A4D" w:rsidRDefault="00497A4D" w:rsidP="00837046">
      <w:pPr>
        <w:spacing w:line="480" w:lineRule="auto"/>
        <w:rPr>
          <w:rFonts w:eastAsiaTheme="majorEastAsia"/>
        </w:rPr>
      </w:pPr>
      <w:r w:rsidRPr="00497A4D">
        <w:rPr>
          <w:rFonts w:eastAsiaTheme="majorEastAsia"/>
        </w:rPr>
        <w:t>That small example is the arithmetic structure of much sentencing data. Many records have shorter presumptive durations. A smaller number have much longer presumptive durations. The long values do not need to be common to matter. They pull the mean.</w:t>
      </w:r>
    </w:p>
    <w:p w14:paraId="1A667E8B" w14:textId="77777777" w:rsidR="00497A4D" w:rsidRPr="00497A4D" w:rsidRDefault="00497A4D" w:rsidP="00837046">
      <w:pPr>
        <w:spacing w:line="480" w:lineRule="auto"/>
        <w:rPr>
          <w:rFonts w:eastAsiaTheme="majorEastAsia"/>
        </w:rPr>
      </w:pPr>
      <w:r w:rsidRPr="00497A4D">
        <w:rPr>
          <w:rFonts w:eastAsiaTheme="majorEastAsia"/>
        </w:rPr>
        <w:t>NIST’s guidance on exploratory data analysis explains why this matters. Measures of variability and center respond differently to tail behavior, and long tails can distort mean-centered summaries (NIST, n.d.-a). NIST also defines positive skew as a distribution with a long right tail, which is exactly the shape students should learn to recognize in many sentence-duration summaries (NIST, n.d.-b).</w:t>
      </w:r>
    </w:p>
    <w:p w14:paraId="69114BB9" w14:textId="77777777" w:rsidR="00497A4D" w:rsidRPr="00497A4D" w:rsidRDefault="00497A4D" w:rsidP="00837046">
      <w:pPr>
        <w:spacing w:line="480" w:lineRule="auto"/>
        <w:rPr>
          <w:rFonts w:eastAsiaTheme="majorEastAsia"/>
        </w:rPr>
      </w:pPr>
      <w:r w:rsidRPr="00497A4D">
        <w:rPr>
          <w:rFonts w:eastAsiaTheme="majorEastAsia"/>
        </w:rPr>
        <w:t>A filtered view can make the contrast visible. If the Explorer is filtered to assault using moc1 == A and then to terroristic threats using moc2 == 9, the resulting view isolates 12,110 records. In that filtered view, the mean of time is 16.13 months, the median is 15 months, and the standard deviation is 5.59 months (Minnesota Sentencing Explorer, n.d.). The mean and median sit close together because the filtered population is more compact than the all-cases view.</w:t>
      </w:r>
    </w:p>
    <w:p w14:paraId="5792DF02" w14:textId="2D31E867" w:rsidR="00497A4D" w:rsidRPr="00497A4D" w:rsidRDefault="00497A4D" w:rsidP="00837046">
      <w:pPr>
        <w:spacing w:line="480" w:lineRule="auto"/>
        <w:rPr>
          <w:rFonts w:eastAsiaTheme="majorEastAsia"/>
        </w:rPr>
      </w:pPr>
      <w:r w:rsidRPr="00497A4D">
        <w:rPr>
          <w:rFonts w:eastAsiaTheme="majorEastAsia"/>
        </w:rPr>
        <w:t xml:space="preserve">Clearing the filters and reading time across the full felony sentencing dataset produces a different shape. In the unfiltered view, among records with nonmissing time, the mean is 27.20 months, the median is 17 months, and the standard deviation is 29.76 months (Minnesota Sentencing Explorer, </w:t>
      </w:r>
      <w:r w:rsidR="00F2606B">
        <w:rPr>
          <w:rFonts w:eastAsiaTheme="majorEastAsia"/>
        </w:rPr>
        <w:lastRenderedPageBreak/>
        <w:t>2026</w:t>
      </w:r>
      <w:r w:rsidRPr="00497A4D">
        <w:rPr>
          <w:rFonts w:eastAsiaTheme="majorEastAsia"/>
        </w:rPr>
        <w:t>). The all-cases view combines many offense categories and severity levels. The mean sits above the median because longer presumptive durations pull it upward.</w:t>
      </w:r>
    </w:p>
    <w:p w14:paraId="388231A9" w14:textId="77777777" w:rsidR="00497A4D" w:rsidRPr="00497A4D" w:rsidRDefault="00497A4D" w:rsidP="00837046">
      <w:pPr>
        <w:spacing w:line="480" w:lineRule="auto"/>
        <w:rPr>
          <w:rFonts w:eastAsiaTheme="majorEastAsia"/>
        </w:rPr>
      </w:pPr>
      <w:r w:rsidRPr="00497A4D">
        <w:rPr>
          <w:rFonts w:eastAsiaTheme="majorEastAsia"/>
        </w:rPr>
        <w:t>The rule is portable. When the mean is noticeably higher than the median, the reader should ask whether a long right tail is pulling the mean upward. The statistic is not wrong. The interpretation must be disciplined.</w:t>
      </w:r>
    </w:p>
    <w:p w14:paraId="75B7E361" w14:textId="77777777" w:rsidR="00497A4D" w:rsidRPr="00497A4D" w:rsidRDefault="00497A4D" w:rsidP="00837046">
      <w:pPr>
        <w:pStyle w:val="Heading3"/>
        <w:spacing w:line="480" w:lineRule="auto"/>
      </w:pPr>
      <w:r w:rsidRPr="00497A4D">
        <w:t>Why the Median Often Describes the Typical Case</w:t>
      </w:r>
    </w:p>
    <w:p w14:paraId="2A9AE8EA" w14:textId="77777777" w:rsidR="00497A4D" w:rsidRPr="00497A4D" w:rsidRDefault="00497A4D" w:rsidP="00837046">
      <w:pPr>
        <w:spacing w:line="480" w:lineRule="auto"/>
        <w:rPr>
          <w:rFonts w:eastAsiaTheme="majorEastAsia"/>
        </w:rPr>
      </w:pPr>
      <w:r w:rsidRPr="00497A4D">
        <w:rPr>
          <w:rFonts w:eastAsiaTheme="majorEastAsia"/>
        </w:rPr>
        <w:t>The median is useful because it is robust. It resists extreme values. If the example above changes from 2, 3, 4, 5, 26 to 2, 3, 4, 5, 6, the median remains 4, while the mean changes substantially. One value moved. Only one measure of center moved with it.</w:t>
      </w:r>
    </w:p>
    <w:p w14:paraId="13E62969" w14:textId="77777777" w:rsidR="00497A4D" w:rsidRPr="00497A4D" w:rsidRDefault="00497A4D" w:rsidP="00837046">
      <w:pPr>
        <w:spacing w:line="480" w:lineRule="auto"/>
        <w:rPr>
          <w:rFonts w:eastAsiaTheme="majorEastAsia"/>
        </w:rPr>
      </w:pPr>
      <w:r w:rsidRPr="00497A4D">
        <w:rPr>
          <w:rFonts w:eastAsiaTheme="majorEastAsia"/>
        </w:rPr>
        <w:t>That property matters in felony sentencing records because very long presumptive durations are not errors to be cleaned away. They are part of the system being described. MSGC’s grids are built around offense severity and criminal-history score, and some offense categories carry much longer presumptive durations than others (MSGC, n.d.-b). Their presence makes the mean important, but it also makes the median especially useful when the question concerns the typical record.</w:t>
      </w:r>
    </w:p>
    <w:p w14:paraId="7FCF50CC" w14:textId="77777777" w:rsidR="00497A4D" w:rsidRPr="00497A4D" w:rsidRDefault="00497A4D" w:rsidP="00837046">
      <w:pPr>
        <w:spacing w:line="480" w:lineRule="auto"/>
        <w:rPr>
          <w:rFonts w:eastAsiaTheme="majorEastAsia"/>
        </w:rPr>
      </w:pPr>
      <w:r w:rsidRPr="00497A4D">
        <w:rPr>
          <w:rFonts w:eastAsiaTheme="majorEastAsia"/>
        </w:rPr>
        <w:t>A claim that the “average sentence” is 40 months should therefore produce an immediate question: mean or median? If the claim uses the mean, it may describe the arithmetic burden of the distribution. If it uses the median, it may describe the middle case more directly. Both can be appropriate. Neither should be left unnamed.</w:t>
      </w:r>
    </w:p>
    <w:p w14:paraId="4F5B9007" w14:textId="77777777" w:rsidR="00497A4D" w:rsidRPr="00497A4D" w:rsidRDefault="00497A4D" w:rsidP="00837046">
      <w:pPr>
        <w:spacing w:line="480" w:lineRule="auto"/>
        <w:rPr>
          <w:rFonts w:eastAsiaTheme="majorEastAsia"/>
        </w:rPr>
      </w:pPr>
      <w:r w:rsidRPr="00497A4D">
        <w:rPr>
          <w:rFonts w:eastAsiaTheme="majorEastAsia"/>
        </w:rPr>
        <w:t xml:space="preserve">The mean still matters. Because the mean multiplied by N equals the total, it is useful when the question concerns aggregate burden. A corrections agency projecting prison capacity or a budget office estimating system costs may care about total months, not the typical record. Minnesota law explicitly directs the Commission to consider correctional resources and to conduct ongoing </w:t>
      </w:r>
      <w:r w:rsidRPr="00497A4D">
        <w:rPr>
          <w:rFonts w:eastAsiaTheme="majorEastAsia"/>
        </w:rPr>
        <w:lastRenderedPageBreak/>
        <w:t>research on imprisonment and alternatives to imprisonment, which makes aggregate burden a legitimate system-level concern (Minn. Stat. § 244.09, 2025). Those are mean questions. A reporter or student describing what happens in the typical case is usually asking a median question.</w:t>
      </w:r>
    </w:p>
    <w:p w14:paraId="06B1485E" w14:textId="77777777" w:rsidR="00497A4D" w:rsidRPr="00497A4D" w:rsidRDefault="00497A4D" w:rsidP="00837046">
      <w:pPr>
        <w:spacing w:line="480" w:lineRule="auto"/>
        <w:rPr>
          <w:rFonts w:eastAsiaTheme="majorEastAsia"/>
        </w:rPr>
      </w:pPr>
      <w:r w:rsidRPr="00497A4D">
        <w:rPr>
          <w:rFonts w:eastAsiaTheme="majorEastAsia"/>
        </w:rPr>
        <w:t>The lesson is not “median good, mean bad.” The lesson is that each statistic answers a different question. The disciplined reader matches the statistic to the claim.</w:t>
      </w:r>
    </w:p>
    <w:p w14:paraId="5A32003C" w14:textId="77777777" w:rsidR="00497A4D" w:rsidRPr="00497A4D" w:rsidRDefault="00497A4D" w:rsidP="00837046">
      <w:pPr>
        <w:pStyle w:val="Heading3"/>
        <w:spacing w:line="480" w:lineRule="auto"/>
      </w:pPr>
      <w:r w:rsidRPr="00497A4D">
        <w:t>Spread: The Standard Deviation</w:t>
      </w:r>
    </w:p>
    <w:p w14:paraId="4B3FDF94" w14:textId="77777777" w:rsidR="00497A4D" w:rsidRPr="00497A4D" w:rsidRDefault="00497A4D" w:rsidP="00837046">
      <w:pPr>
        <w:spacing w:line="480" w:lineRule="auto"/>
        <w:rPr>
          <w:rFonts w:eastAsiaTheme="majorEastAsia"/>
        </w:rPr>
      </w:pPr>
      <w:r w:rsidRPr="00497A4D">
        <w:rPr>
          <w:rFonts w:eastAsiaTheme="majorEastAsia"/>
        </w:rPr>
        <w:t>Two views can share a mean and still describe very different distributions. One may cluster tightly around the mean. Another may scatter widely across a long range. The standard deviation helps describe that difference.</w:t>
      </w:r>
    </w:p>
    <w:p w14:paraId="6C710C2D" w14:textId="77777777" w:rsidR="00497A4D" w:rsidRPr="00497A4D" w:rsidRDefault="00497A4D" w:rsidP="00837046">
      <w:pPr>
        <w:spacing w:line="480" w:lineRule="auto"/>
        <w:rPr>
          <w:rFonts w:eastAsiaTheme="majorEastAsia"/>
        </w:rPr>
      </w:pPr>
      <w:r w:rsidRPr="00497A4D">
        <w:rPr>
          <w:rFonts w:eastAsiaTheme="majorEastAsia"/>
        </w:rPr>
        <w:t>The standard deviation measures spread in the original units of the data. NIST defines it as the square root of the variance and explains that it restores spread to the original measurement units, unlike variance, which squares those units (NIST, n.d.-a). For time, this means the standard deviation is read in months.</w:t>
      </w:r>
    </w:p>
    <w:p w14:paraId="47ED0B44" w14:textId="77777777" w:rsidR="00497A4D" w:rsidRPr="00497A4D" w:rsidRDefault="00497A4D" w:rsidP="00837046">
      <w:pPr>
        <w:spacing w:line="480" w:lineRule="auto"/>
        <w:rPr>
          <w:rFonts w:eastAsiaTheme="majorEastAsia"/>
        </w:rPr>
      </w:pPr>
      <w:r w:rsidRPr="00497A4D">
        <w:rPr>
          <w:rFonts w:eastAsiaTheme="majorEastAsia"/>
        </w:rPr>
        <w:t>A small standard deviation indicates that values are clustered closely. A large standard deviation indicates that values are widely dispersed. No formula is necessary at this stage. The important skill is comparative reading.</w:t>
      </w:r>
    </w:p>
    <w:p w14:paraId="6BD5FF59" w14:textId="645BD63D" w:rsidR="00497A4D" w:rsidRPr="00497A4D" w:rsidRDefault="00497A4D" w:rsidP="00837046">
      <w:pPr>
        <w:spacing w:line="480" w:lineRule="auto"/>
        <w:rPr>
          <w:rFonts w:eastAsiaTheme="majorEastAsia"/>
        </w:rPr>
      </w:pPr>
      <w:r w:rsidRPr="00497A4D">
        <w:rPr>
          <w:rFonts w:eastAsiaTheme="majorEastAsia"/>
        </w:rPr>
        <w:t xml:space="preserve">Across the full Explorer dataset, the standard deviation of time is 29.76 months, slightly larger than the mean of 27.20 months among records with nonmissing time (Minnesota Sentencing Explorer, </w:t>
      </w:r>
      <w:r w:rsidR="00F2606B">
        <w:rPr>
          <w:rFonts w:eastAsiaTheme="majorEastAsia"/>
        </w:rPr>
        <w:t>2026</w:t>
      </w:r>
      <w:r w:rsidRPr="00497A4D">
        <w:rPr>
          <w:rFonts w:eastAsiaTheme="majorEastAsia"/>
        </w:rPr>
        <w:t>). That pairing tells the reader that the distribution is widely spread. It also warns against treating the mean as a strong description of any individual record.</w:t>
      </w:r>
    </w:p>
    <w:p w14:paraId="0BB1FCC3" w14:textId="77777777" w:rsidR="00497A4D" w:rsidRPr="00497A4D" w:rsidRDefault="00497A4D" w:rsidP="00837046">
      <w:pPr>
        <w:spacing w:line="480" w:lineRule="auto"/>
        <w:rPr>
          <w:rFonts w:eastAsiaTheme="majorEastAsia"/>
        </w:rPr>
      </w:pPr>
      <w:r w:rsidRPr="00497A4D">
        <w:rPr>
          <w:rFonts w:eastAsiaTheme="majorEastAsia"/>
        </w:rPr>
        <w:lastRenderedPageBreak/>
        <w:t>Within the terroristic-threats filtered view, the standard deviation of time is 5.59 months (Minnesota Sentencing Explorer, n.d.). The statistic has not changed its meaning. The population has changed. The narrower view contains records that are more alike in presumptive duration.</w:t>
      </w:r>
    </w:p>
    <w:p w14:paraId="1DE36FC7" w14:textId="77777777" w:rsidR="00497A4D" w:rsidRPr="00497A4D" w:rsidRDefault="00497A4D" w:rsidP="00837046">
      <w:pPr>
        <w:spacing w:line="480" w:lineRule="auto"/>
        <w:rPr>
          <w:rFonts w:eastAsiaTheme="majorEastAsia"/>
        </w:rPr>
      </w:pPr>
      <w:r w:rsidRPr="00497A4D">
        <w:rPr>
          <w:rFonts w:eastAsiaTheme="majorEastAsia"/>
        </w:rPr>
        <w:t>Two readings follow. When the standard deviation of time is nearly as large as, or larger than, the mean, the values are widely scattered and the mean may be a poor description of any individual record. When the standard deviation is close to zero, the records are tightly clustered and the mean is more representative of the cases in view.</w:t>
      </w:r>
    </w:p>
    <w:p w14:paraId="3943F3D2" w14:textId="77777777" w:rsidR="00497A4D" w:rsidRPr="00497A4D" w:rsidRDefault="00497A4D" w:rsidP="00837046">
      <w:pPr>
        <w:spacing w:line="480" w:lineRule="auto"/>
        <w:rPr>
          <w:rFonts w:eastAsiaTheme="majorEastAsia"/>
        </w:rPr>
      </w:pPr>
      <w:r w:rsidRPr="00497A4D">
        <w:rPr>
          <w:rFonts w:eastAsiaTheme="majorEastAsia"/>
        </w:rPr>
        <w:t>The visual lesson matters as much as the numeric one. NIST emphasizes that histograms are effective for showing spread, tail behavior, skewness, and kurtosis (NIST, n.d.-a, n.d.-b). A table can report the standard deviation. A histogram can show why the standard deviation looks that way.</w:t>
      </w:r>
    </w:p>
    <w:p w14:paraId="7EED808C" w14:textId="77777777" w:rsidR="00497A4D" w:rsidRPr="00497A4D" w:rsidRDefault="00497A4D" w:rsidP="00837046">
      <w:pPr>
        <w:pStyle w:val="Heading3"/>
        <w:spacing w:line="480" w:lineRule="auto"/>
      </w:pPr>
      <w:r w:rsidRPr="00497A4D">
        <w:t>Where Spread Comes From: Variance as Composition</w:t>
      </w:r>
    </w:p>
    <w:p w14:paraId="78698313" w14:textId="77777777" w:rsidR="00497A4D" w:rsidRPr="00497A4D" w:rsidRDefault="00497A4D" w:rsidP="00837046">
      <w:pPr>
        <w:spacing w:line="480" w:lineRule="auto"/>
        <w:rPr>
          <w:rFonts w:eastAsiaTheme="majorEastAsia"/>
        </w:rPr>
      </w:pPr>
      <w:r w:rsidRPr="00497A4D">
        <w:rPr>
          <w:rFonts w:eastAsiaTheme="majorEastAsia"/>
        </w:rPr>
        <w:t>The deepest lesson in this module is that spread often comes from mixture. A wide distribution may reflect a chaotic process, but it may also reflect a view that combines unlike cases.</w:t>
      </w:r>
    </w:p>
    <w:p w14:paraId="02D678CD" w14:textId="50CFD68E" w:rsidR="00497A4D" w:rsidRPr="00497A4D" w:rsidRDefault="00497A4D" w:rsidP="00837046">
      <w:pPr>
        <w:spacing w:line="480" w:lineRule="auto"/>
        <w:rPr>
          <w:rFonts w:eastAsiaTheme="majorEastAsia"/>
        </w:rPr>
      </w:pPr>
      <w:r w:rsidRPr="00497A4D">
        <w:rPr>
          <w:rFonts w:eastAsiaTheme="majorEastAsia"/>
        </w:rPr>
        <w:t xml:space="preserve">The variable tweight illustrates the point. In the unfiltered Explorer dataset, tweight has a mean of 1.70, a median of 1.00, and a standard deviation of 2.35 (Minnesota Sentencing Explorer, </w:t>
      </w:r>
      <w:r w:rsidR="00F2606B">
        <w:rPr>
          <w:rFonts w:eastAsiaTheme="majorEastAsia"/>
        </w:rPr>
        <w:t>2026</w:t>
      </w:r>
      <w:r w:rsidRPr="00497A4D">
        <w:rPr>
          <w:rFonts w:eastAsiaTheme="majorEastAsia"/>
        </w:rPr>
        <w:t>). Those numbers describe a mixed population. Some sentencing records have little or no additional felony weight. Others carry much more.</w:t>
      </w:r>
    </w:p>
    <w:p w14:paraId="78E4FE8D" w14:textId="33C35E31" w:rsidR="00497A4D" w:rsidRPr="00497A4D" w:rsidRDefault="00497A4D" w:rsidP="00837046">
      <w:pPr>
        <w:spacing w:line="480" w:lineRule="auto"/>
        <w:rPr>
          <w:rFonts w:eastAsiaTheme="majorEastAsia"/>
        </w:rPr>
      </w:pPr>
      <w:r w:rsidRPr="00497A4D">
        <w:rPr>
          <w:rFonts w:eastAsiaTheme="majorEastAsia"/>
        </w:rPr>
        <w:t xml:space="preserve">Filtering to history == 0 narrows the view to records for sentenced people with a criminal-history score of zero. In that filtered population, the standard deviation of tweight drops to 0.15 (Minnesota Sentencing Explorer, </w:t>
      </w:r>
      <w:r w:rsidR="00F2606B">
        <w:rPr>
          <w:rFonts w:eastAsiaTheme="majorEastAsia"/>
        </w:rPr>
        <w:t>2026</w:t>
      </w:r>
      <w:r w:rsidRPr="00497A4D">
        <w:rPr>
          <w:rFonts w:eastAsiaTheme="majorEastAsia"/>
        </w:rPr>
        <w:t>). Nothing about the formula for standard deviation has changed. The composition of the view has changed.</w:t>
      </w:r>
    </w:p>
    <w:p w14:paraId="04065C44" w14:textId="77777777" w:rsidR="00497A4D" w:rsidRPr="00497A4D" w:rsidRDefault="00497A4D" w:rsidP="00837046">
      <w:pPr>
        <w:spacing w:line="480" w:lineRule="auto"/>
        <w:rPr>
          <w:rFonts w:eastAsiaTheme="majorEastAsia"/>
        </w:rPr>
      </w:pPr>
      <w:r w:rsidRPr="00497A4D">
        <w:rPr>
          <w:rFonts w:eastAsiaTheme="majorEastAsia"/>
        </w:rPr>
        <w:lastRenderedPageBreak/>
        <w:t>That change matters because it teaches a method. Filtering is more than a way to search. It is a way to ask how much of a pattern remains when part of the population’s composition is held constant. If a statistic changes dramatically after a filter is applied, the change is not a nuisance. It is information about the relationship between the statistic and the population being summarized.</w:t>
      </w:r>
    </w:p>
    <w:p w14:paraId="030E5C9F" w14:textId="77777777" w:rsidR="00497A4D" w:rsidRPr="00497A4D" w:rsidRDefault="00497A4D" w:rsidP="00837046">
      <w:pPr>
        <w:spacing w:line="480" w:lineRule="auto"/>
        <w:rPr>
          <w:rFonts w:eastAsiaTheme="majorEastAsia"/>
        </w:rPr>
      </w:pPr>
      <w:r w:rsidRPr="00497A4D">
        <w:rPr>
          <w:rFonts w:eastAsiaTheme="majorEastAsia"/>
        </w:rPr>
        <w:t>A compact reading brings the pieces together. The unfiltered time summary reports a mean of 27.20 months, a median of 17 months, and a standard deviation of 29.76 months. The proper interpretation is descriptive: among records with nonmissing time in the current view, the typical record sits closer to 17 months, the mean is pulled upward by longer presumptive durations, and the values are widely dispersed. The pattern is visible. The cause is not yet established.</w:t>
      </w:r>
    </w:p>
    <w:p w14:paraId="5903F0EA" w14:textId="77777777" w:rsidR="00497A4D" w:rsidRPr="00497A4D" w:rsidRDefault="00497A4D" w:rsidP="00837046">
      <w:pPr>
        <w:pStyle w:val="Heading3"/>
        <w:spacing w:line="480" w:lineRule="auto"/>
      </w:pPr>
      <w:r w:rsidRPr="00497A4D">
        <w:t>The Final Rule: Check N First</w:t>
      </w:r>
    </w:p>
    <w:p w14:paraId="073E20D9" w14:textId="77777777" w:rsidR="00497A4D" w:rsidRPr="00497A4D" w:rsidRDefault="00497A4D" w:rsidP="00837046">
      <w:pPr>
        <w:spacing w:line="480" w:lineRule="auto"/>
        <w:rPr>
          <w:rFonts w:eastAsiaTheme="majorEastAsia"/>
        </w:rPr>
      </w:pPr>
      <w:r w:rsidRPr="00497A4D">
        <w:rPr>
          <w:rFonts w:eastAsiaTheme="majorEastAsia"/>
        </w:rPr>
        <w:t>Every statistic depends on the number of rows beneath it. The Explorer will compute a mean, a median, and a standard deviation even when the view contains only a handful of records. The output may look official. The denominator may be too small to support much interpretation.</w:t>
      </w:r>
    </w:p>
    <w:p w14:paraId="757ED528" w14:textId="77777777" w:rsidR="00497A4D" w:rsidRPr="00497A4D" w:rsidRDefault="00497A4D" w:rsidP="00837046">
      <w:pPr>
        <w:spacing w:line="480" w:lineRule="auto"/>
        <w:rPr>
          <w:rFonts w:eastAsiaTheme="majorEastAsia"/>
        </w:rPr>
      </w:pPr>
      <w:r w:rsidRPr="00497A4D">
        <w:rPr>
          <w:rFonts w:eastAsiaTheme="majorEastAsia"/>
        </w:rPr>
        <w:t>The point is clearest in an extreme case. If the Explorer is filtered to weapons offenses using moc1 == W and then to moc4 == 8, the resulting view contains only four records in the uploaded file. The Explorer can still summarize time. With N = 4, however, those summaries should be read as four case records, not as a stable pattern.</w:t>
      </w:r>
    </w:p>
    <w:p w14:paraId="1DC465CE" w14:textId="77777777" w:rsidR="00497A4D" w:rsidRPr="00497A4D" w:rsidRDefault="00497A4D" w:rsidP="00837046">
      <w:pPr>
        <w:spacing w:line="480" w:lineRule="auto"/>
        <w:rPr>
          <w:rFonts w:eastAsiaTheme="majorEastAsia"/>
        </w:rPr>
      </w:pPr>
      <w:r w:rsidRPr="00497A4D">
        <w:rPr>
          <w:rFonts w:eastAsiaTheme="majorEastAsia"/>
        </w:rPr>
        <w:t>This is not only a statistical caution. It is an ethical one. A small N can turn a table into a disguise. It gives anecdotes the costume of analysis.</w:t>
      </w:r>
    </w:p>
    <w:p w14:paraId="1282567F" w14:textId="77777777" w:rsidR="00497A4D" w:rsidRPr="00497A4D" w:rsidRDefault="00497A4D" w:rsidP="00837046">
      <w:pPr>
        <w:spacing w:line="480" w:lineRule="auto"/>
        <w:rPr>
          <w:rFonts w:eastAsiaTheme="majorEastAsia"/>
        </w:rPr>
      </w:pPr>
      <w:r w:rsidRPr="00497A4D">
        <w:rPr>
          <w:rFonts w:eastAsiaTheme="majorEastAsia"/>
        </w:rPr>
        <w:t>The rule should become automatic: check N first. Before trusting a mean, median, percentage, mode, or standard deviation, identify how many rows the statistic describes. Precision on the screen is not the same as strength in the evidence.</w:t>
      </w:r>
    </w:p>
    <w:p w14:paraId="2D3D04A1" w14:textId="77777777" w:rsidR="00497A4D" w:rsidRPr="00497A4D" w:rsidRDefault="00497A4D" w:rsidP="00837046">
      <w:pPr>
        <w:pStyle w:val="Heading3"/>
        <w:spacing w:line="480" w:lineRule="auto"/>
      </w:pPr>
      <w:r w:rsidRPr="00497A4D">
        <w:lastRenderedPageBreak/>
        <w:t>Summary</w:t>
      </w:r>
    </w:p>
    <w:p w14:paraId="18E75AB3" w14:textId="77777777" w:rsidR="00497A4D" w:rsidRPr="00497A4D" w:rsidRDefault="00497A4D" w:rsidP="00837046">
      <w:pPr>
        <w:spacing w:line="480" w:lineRule="auto"/>
        <w:rPr>
          <w:rFonts w:eastAsiaTheme="majorEastAsia"/>
        </w:rPr>
      </w:pPr>
      <w:r w:rsidRPr="00497A4D">
        <w:rPr>
          <w:rFonts w:eastAsiaTheme="majorEastAsia"/>
        </w:rPr>
        <w:t>The core lesson of this module is that descriptive statistics summarize the current view, and every current view has a population, a denominator, and a limit. The mode identifies the most common category. Counts answer how many. Percentages answer how common within a group. The median describes the middle record, especially when the distribution is skewed. The mean describes arithmetic burden and is sensitive to extreme values. The standard deviation describes spread, which often reflects mixture rather than disorder.</w:t>
      </w:r>
    </w:p>
    <w:p w14:paraId="7E8F4011" w14:textId="77777777" w:rsidR="00497A4D" w:rsidRPr="00497A4D" w:rsidRDefault="00497A4D" w:rsidP="00837046">
      <w:pPr>
        <w:spacing w:line="480" w:lineRule="auto"/>
        <w:rPr>
          <w:rFonts w:eastAsiaTheme="majorEastAsia"/>
        </w:rPr>
      </w:pPr>
      <w:r w:rsidRPr="00497A4D">
        <w:rPr>
          <w:rFonts w:eastAsiaTheme="majorEastAsia"/>
        </w:rPr>
        <w:t>The mistake this module prevents is letting a statistic carry more meaning than the dataset can support. From this point forward, every descriptive number should be read in order: name the population, name the variable, read the statistic, interpret it descriptively, and state the limitation. The next module can then ask a more difficult question: when a pattern appears, how much of it remains after the population is narrowed?</w:t>
      </w:r>
    </w:p>
    <w:p w14:paraId="5899D179" w14:textId="77777777" w:rsidR="00497A4D" w:rsidRPr="00497A4D" w:rsidRDefault="00497A4D" w:rsidP="00837046">
      <w:pPr>
        <w:pStyle w:val="Heading3"/>
        <w:spacing w:line="480" w:lineRule="auto"/>
      </w:pPr>
      <w:r w:rsidRPr="00497A4D">
        <w:t>References</w:t>
      </w:r>
    </w:p>
    <w:p w14:paraId="5F207786" w14:textId="5998B3B7" w:rsidR="000D4D15" w:rsidRPr="000D4D15" w:rsidRDefault="000D4D15" w:rsidP="00837046">
      <w:pPr>
        <w:spacing w:line="480" w:lineRule="auto"/>
        <w:rPr>
          <w:rFonts w:eastAsiaTheme="majorEastAsia"/>
        </w:rPr>
      </w:pPr>
      <w:r w:rsidRPr="000D4D15">
        <w:rPr>
          <w:rFonts w:eastAsiaTheme="majorEastAsia"/>
        </w:rPr>
        <w:t>Minn. Stat. § 244.09 (2025). https://www.revisor.mn.gov/statutes/cite/244.09</w:t>
      </w:r>
    </w:p>
    <w:p w14:paraId="7B962E3C" w14:textId="77777777" w:rsidR="000D4D15" w:rsidRPr="000D4D15" w:rsidRDefault="000D4D15" w:rsidP="00837046">
      <w:pPr>
        <w:spacing w:line="480" w:lineRule="auto"/>
        <w:rPr>
          <w:rFonts w:eastAsiaTheme="majorEastAsia"/>
        </w:rPr>
      </w:pPr>
    </w:p>
    <w:p w14:paraId="4B78BCD7" w14:textId="523352CA" w:rsidR="000D4D15" w:rsidRPr="000D4D15" w:rsidRDefault="000D4D15" w:rsidP="00837046">
      <w:pPr>
        <w:spacing w:line="480" w:lineRule="auto"/>
        <w:rPr>
          <w:rFonts w:eastAsiaTheme="majorEastAsia"/>
        </w:rPr>
      </w:pPr>
      <w:r w:rsidRPr="000D4D15">
        <w:rPr>
          <w:rFonts w:eastAsiaTheme="majorEastAsia"/>
        </w:rPr>
        <w:t>Minn. Stat. § 609.02 (2025). https://www.revisor.mn.gov/statutes/cite/609.02</w:t>
      </w:r>
    </w:p>
    <w:p w14:paraId="71F1667C" w14:textId="77777777" w:rsidR="000D4D15" w:rsidRPr="000D4D15" w:rsidRDefault="000D4D15" w:rsidP="00837046">
      <w:pPr>
        <w:spacing w:line="480" w:lineRule="auto"/>
        <w:rPr>
          <w:rFonts w:eastAsiaTheme="majorEastAsia"/>
        </w:rPr>
      </w:pPr>
    </w:p>
    <w:p w14:paraId="54F58FD8" w14:textId="08EEAD02" w:rsidR="000D4D15" w:rsidRPr="000D4D15" w:rsidRDefault="000D4D15" w:rsidP="00837046">
      <w:pPr>
        <w:spacing w:line="480" w:lineRule="auto"/>
        <w:rPr>
          <w:rFonts w:eastAsiaTheme="majorEastAsia"/>
        </w:rPr>
      </w:pPr>
      <w:r w:rsidRPr="000D4D15">
        <w:rPr>
          <w:rFonts w:eastAsiaTheme="majorEastAsia"/>
        </w:rPr>
        <w:t xml:space="preserve">Minnesota Sentencing Explorer. (2026). </w:t>
      </w:r>
      <w:r w:rsidRPr="00AE4F02">
        <w:rPr>
          <w:rFonts w:eastAsiaTheme="majorEastAsia"/>
          <w:i/>
          <w:iCs/>
        </w:rPr>
        <w:t>Raw sentencing dataset, 2001–2019</w:t>
      </w:r>
      <w:r w:rsidRPr="000D4D15">
        <w:rPr>
          <w:rFonts w:eastAsiaTheme="majorEastAsia"/>
        </w:rPr>
        <w:t xml:space="preserve"> [Unpublished data set]. Crime[dot]Education. https://github.com/RobotsLoveWater/Crime_dot_Education/tree/5ead01de2140fe704f801e8cc0339a4268d66946</w:t>
      </w:r>
    </w:p>
    <w:p w14:paraId="6B9C216A" w14:textId="77777777" w:rsidR="000D4D15" w:rsidRPr="000D4D15" w:rsidRDefault="000D4D15" w:rsidP="00837046">
      <w:pPr>
        <w:spacing w:line="480" w:lineRule="auto"/>
        <w:rPr>
          <w:rFonts w:eastAsiaTheme="majorEastAsia"/>
        </w:rPr>
      </w:pPr>
    </w:p>
    <w:p w14:paraId="5FBAD871" w14:textId="476FD6A8" w:rsidR="000D4D15" w:rsidRPr="000D4D15" w:rsidRDefault="000D4D15" w:rsidP="00837046">
      <w:pPr>
        <w:spacing w:line="480" w:lineRule="auto"/>
        <w:rPr>
          <w:rFonts w:eastAsiaTheme="majorEastAsia"/>
        </w:rPr>
      </w:pPr>
      <w:r w:rsidRPr="000D4D15">
        <w:rPr>
          <w:rFonts w:eastAsiaTheme="majorEastAsia"/>
        </w:rPr>
        <w:t xml:space="preserve">Minnesota Sentencing Guidelines Commission. (n.d.-a). </w:t>
      </w:r>
      <w:r w:rsidRPr="000D4D15">
        <w:rPr>
          <w:rFonts w:eastAsiaTheme="majorEastAsia"/>
          <w:i/>
          <w:iCs/>
        </w:rPr>
        <w:t>Definitions</w:t>
      </w:r>
      <w:r w:rsidRPr="000D4D15">
        <w:rPr>
          <w:rFonts w:eastAsiaTheme="majorEastAsia"/>
        </w:rPr>
        <w:t>. State of Minnesota. https://mn.gov/sentencing-guidelines/educationtraining/education/definitions/index.jsp</w:t>
      </w:r>
    </w:p>
    <w:p w14:paraId="1E0E477C" w14:textId="77777777" w:rsidR="000D4D15" w:rsidRPr="000D4D15" w:rsidRDefault="000D4D15" w:rsidP="00837046">
      <w:pPr>
        <w:spacing w:line="480" w:lineRule="auto"/>
        <w:rPr>
          <w:rFonts w:eastAsiaTheme="majorEastAsia"/>
        </w:rPr>
      </w:pPr>
    </w:p>
    <w:p w14:paraId="24D9311F" w14:textId="288AB5F6" w:rsidR="000D4D15" w:rsidRPr="000D4D15" w:rsidRDefault="000D4D15" w:rsidP="00837046">
      <w:pPr>
        <w:spacing w:line="480" w:lineRule="auto"/>
        <w:rPr>
          <w:rFonts w:eastAsiaTheme="majorEastAsia"/>
        </w:rPr>
      </w:pPr>
      <w:r w:rsidRPr="000D4D15">
        <w:rPr>
          <w:rFonts w:eastAsiaTheme="majorEastAsia"/>
        </w:rPr>
        <w:t xml:space="preserve">Minnesota Sentencing Guidelines Commission. (n.d.-b). </w:t>
      </w:r>
      <w:r w:rsidRPr="000D4D15">
        <w:rPr>
          <w:rFonts w:eastAsiaTheme="majorEastAsia"/>
          <w:i/>
          <w:iCs/>
        </w:rPr>
        <w:t>How to read the grids</w:t>
      </w:r>
      <w:r w:rsidRPr="000D4D15">
        <w:rPr>
          <w:rFonts w:eastAsiaTheme="majorEastAsia"/>
        </w:rPr>
        <w:t>. State of Minnesota. https://mn.gov/sentencing-guidelines/educationtraining/education/grids/index.jsp</w:t>
      </w:r>
    </w:p>
    <w:p w14:paraId="3B3E3A45" w14:textId="77777777" w:rsidR="000D4D15" w:rsidRPr="000D4D15" w:rsidRDefault="000D4D15" w:rsidP="00837046">
      <w:pPr>
        <w:spacing w:line="480" w:lineRule="auto"/>
        <w:rPr>
          <w:rFonts w:eastAsiaTheme="majorEastAsia"/>
        </w:rPr>
      </w:pPr>
    </w:p>
    <w:p w14:paraId="5D4E31E5" w14:textId="6C736A6B" w:rsidR="000D4D15" w:rsidRPr="000D4D15" w:rsidRDefault="000D4D15" w:rsidP="00837046">
      <w:pPr>
        <w:spacing w:line="480" w:lineRule="auto"/>
        <w:rPr>
          <w:rFonts w:eastAsiaTheme="majorEastAsia"/>
        </w:rPr>
      </w:pPr>
      <w:r w:rsidRPr="000D4D15">
        <w:rPr>
          <w:rFonts w:eastAsiaTheme="majorEastAsia"/>
        </w:rPr>
        <w:t xml:space="preserve">Minnesota Sentencing Guidelines Commission. (2023). </w:t>
      </w:r>
      <w:r w:rsidRPr="000D4D15">
        <w:rPr>
          <w:rFonts w:eastAsiaTheme="majorEastAsia"/>
          <w:i/>
          <w:iCs/>
        </w:rPr>
        <w:t>MSGC user manual: Electronic Worksheet System</w:t>
      </w:r>
      <w:r w:rsidRPr="000D4D15">
        <w:rPr>
          <w:rFonts w:eastAsiaTheme="majorEastAsia"/>
        </w:rPr>
        <w:t>. State of Minnesota. https://mn.gov/sentencing-guidelines/assets/2023%20EWS%20User%20Manual_tcm30-31611.pdf</w:t>
      </w:r>
    </w:p>
    <w:p w14:paraId="1BDD0D50" w14:textId="77777777" w:rsidR="000D4D15" w:rsidRPr="000D4D15" w:rsidRDefault="000D4D15" w:rsidP="00837046">
      <w:pPr>
        <w:spacing w:line="480" w:lineRule="auto"/>
        <w:rPr>
          <w:rFonts w:eastAsiaTheme="majorEastAsia"/>
        </w:rPr>
      </w:pPr>
    </w:p>
    <w:p w14:paraId="0A5477DA" w14:textId="22C672B9" w:rsidR="000D4D15" w:rsidRPr="000D4D15" w:rsidRDefault="000D4D15" w:rsidP="00837046">
      <w:pPr>
        <w:spacing w:line="480" w:lineRule="auto"/>
        <w:rPr>
          <w:rFonts w:eastAsiaTheme="majorEastAsia"/>
        </w:rPr>
      </w:pPr>
      <w:r w:rsidRPr="000D4D15">
        <w:rPr>
          <w:rFonts w:eastAsiaTheme="majorEastAsia"/>
        </w:rPr>
        <w:t xml:space="preserve">Minnesota Sentencing Guidelines Commission. (2025a). </w:t>
      </w:r>
      <w:r w:rsidRPr="000D4D15">
        <w:rPr>
          <w:rFonts w:eastAsiaTheme="majorEastAsia"/>
          <w:i/>
          <w:iCs/>
        </w:rPr>
        <w:t>2023 sentencing practices report: Summary statistics for felony cases</w:t>
      </w:r>
      <w:r w:rsidRPr="000D4D15">
        <w:rPr>
          <w:rFonts w:eastAsiaTheme="majorEastAsia"/>
        </w:rPr>
        <w:t>. State of Minnesota. https://mn.gov/sentencing-guidelines/assets/2023_MSGC_Annual_Summary_Statistics_tcm30-680133.pdf</w:t>
      </w:r>
    </w:p>
    <w:p w14:paraId="6586AC1A" w14:textId="77777777" w:rsidR="000D4D15" w:rsidRPr="000D4D15" w:rsidRDefault="000D4D15" w:rsidP="00837046">
      <w:pPr>
        <w:spacing w:line="480" w:lineRule="auto"/>
        <w:rPr>
          <w:rFonts w:eastAsiaTheme="majorEastAsia"/>
        </w:rPr>
      </w:pPr>
    </w:p>
    <w:p w14:paraId="7A854D57" w14:textId="322BF3C2" w:rsidR="000D4D15" w:rsidRPr="000D4D15" w:rsidRDefault="000D4D15" w:rsidP="00837046">
      <w:pPr>
        <w:spacing w:line="480" w:lineRule="auto"/>
        <w:rPr>
          <w:rFonts w:eastAsiaTheme="majorEastAsia"/>
        </w:rPr>
      </w:pPr>
      <w:r w:rsidRPr="000D4D15">
        <w:rPr>
          <w:rFonts w:eastAsiaTheme="majorEastAsia"/>
        </w:rPr>
        <w:t xml:space="preserve">Minnesota Sentencing Guidelines Commission. (2025b). </w:t>
      </w:r>
      <w:r w:rsidRPr="000D4D15">
        <w:rPr>
          <w:rFonts w:eastAsiaTheme="majorEastAsia"/>
          <w:i/>
          <w:iCs/>
        </w:rPr>
        <w:t>2025 Minnesota sentencing guidelines and commentary</w:t>
      </w:r>
      <w:r w:rsidRPr="000D4D15">
        <w:rPr>
          <w:rFonts w:eastAsiaTheme="majorEastAsia"/>
        </w:rPr>
        <w:t>. State of Minnesota. https://mn.gov/sentencing-guidelines/assets/2025_Minn_Sentencing_Guidelines_Commentary_tcm30-700116.pdf</w:t>
      </w:r>
    </w:p>
    <w:p w14:paraId="66F4F206" w14:textId="77777777" w:rsidR="000D4D15" w:rsidRPr="000D4D15" w:rsidRDefault="000D4D15" w:rsidP="00837046">
      <w:pPr>
        <w:spacing w:line="480" w:lineRule="auto"/>
        <w:rPr>
          <w:rFonts w:eastAsiaTheme="majorEastAsia"/>
        </w:rPr>
      </w:pPr>
    </w:p>
    <w:p w14:paraId="5DF5ADEA" w14:textId="5B331711" w:rsidR="000D4D15" w:rsidRPr="000D4D15" w:rsidRDefault="000D4D15" w:rsidP="00837046">
      <w:pPr>
        <w:spacing w:line="480" w:lineRule="auto"/>
        <w:rPr>
          <w:rFonts w:eastAsiaTheme="majorEastAsia"/>
        </w:rPr>
      </w:pPr>
      <w:r w:rsidRPr="000D4D15">
        <w:rPr>
          <w:rFonts w:eastAsiaTheme="majorEastAsia"/>
        </w:rPr>
        <w:lastRenderedPageBreak/>
        <w:t xml:space="preserve">Mustard, D. B. (2001). Racial, ethnic, and gender disparities in sentencing: Evidence from the U.S. federal courts. </w:t>
      </w:r>
      <w:r w:rsidRPr="000D4D15">
        <w:rPr>
          <w:rFonts w:eastAsiaTheme="majorEastAsia"/>
          <w:i/>
          <w:iCs/>
        </w:rPr>
        <w:t>Journal of Law and Economics</w:t>
      </w:r>
      <w:r w:rsidRPr="000D4D15">
        <w:rPr>
          <w:rFonts w:eastAsiaTheme="majorEastAsia"/>
        </w:rPr>
        <w:t xml:space="preserve">, </w:t>
      </w:r>
      <w:r w:rsidRPr="000D4D15">
        <w:rPr>
          <w:rFonts w:eastAsiaTheme="majorEastAsia"/>
          <w:i/>
          <w:iCs/>
        </w:rPr>
        <w:t>44</w:t>
      </w:r>
      <w:r w:rsidRPr="000D4D15">
        <w:rPr>
          <w:rFonts w:eastAsiaTheme="majorEastAsia"/>
        </w:rPr>
        <w:t>(1), 285–314. https://doi.org/10.1086/320276</w:t>
      </w:r>
    </w:p>
    <w:p w14:paraId="351DCCC4" w14:textId="77777777" w:rsidR="000D4D15" w:rsidRPr="000D4D15" w:rsidRDefault="000D4D15" w:rsidP="00837046">
      <w:pPr>
        <w:spacing w:line="480" w:lineRule="auto"/>
        <w:rPr>
          <w:rFonts w:eastAsiaTheme="majorEastAsia"/>
        </w:rPr>
      </w:pPr>
    </w:p>
    <w:p w14:paraId="53453E1D" w14:textId="5208CCDA" w:rsidR="000D4D15" w:rsidRPr="000D4D15" w:rsidRDefault="000D4D15" w:rsidP="00837046">
      <w:pPr>
        <w:spacing w:line="480" w:lineRule="auto"/>
        <w:rPr>
          <w:rFonts w:eastAsiaTheme="majorEastAsia"/>
        </w:rPr>
      </w:pPr>
      <w:r w:rsidRPr="000D4D15">
        <w:rPr>
          <w:rFonts w:eastAsiaTheme="majorEastAsia"/>
        </w:rPr>
        <w:t>National Institute of Standards and Technology. (n.d.-a). Measures of scale. In</w:t>
      </w:r>
      <w:r>
        <w:rPr>
          <w:rFonts w:eastAsiaTheme="majorEastAsia"/>
        </w:rPr>
        <w:t xml:space="preserve"> </w:t>
      </w:r>
      <w:r w:rsidRPr="000D4D15">
        <w:rPr>
          <w:rFonts w:eastAsiaTheme="majorEastAsia"/>
          <w:i/>
          <w:iCs/>
        </w:rPr>
        <w:t>NIST/SEMATECH e-handbook of statistical methods</w:t>
      </w:r>
      <w:r w:rsidRPr="000D4D15">
        <w:rPr>
          <w:rFonts w:eastAsiaTheme="majorEastAsia"/>
        </w:rPr>
        <w:t>. U.S. Department of Commerce. https://www.itl.nist.gov/div898/handbook/eda/section3/eda356.htm</w:t>
      </w:r>
    </w:p>
    <w:p w14:paraId="226CC03E" w14:textId="77777777" w:rsidR="000D4D15" w:rsidRPr="000D4D15" w:rsidRDefault="000D4D15" w:rsidP="00837046">
      <w:pPr>
        <w:spacing w:line="480" w:lineRule="auto"/>
        <w:rPr>
          <w:rFonts w:eastAsiaTheme="majorEastAsia"/>
        </w:rPr>
      </w:pPr>
    </w:p>
    <w:p w14:paraId="4117DEF8" w14:textId="36A7B3B1" w:rsidR="000D4D15" w:rsidRPr="000D4D15" w:rsidRDefault="000D4D15" w:rsidP="00837046">
      <w:pPr>
        <w:spacing w:line="480" w:lineRule="auto"/>
        <w:rPr>
          <w:rFonts w:eastAsiaTheme="majorEastAsia"/>
        </w:rPr>
      </w:pPr>
      <w:r w:rsidRPr="000D4D15">
        <w:rPr>
          <w:rFonts w:eastAsiaTheme="majorEastAsia"/>
        </w:rPr>
        <w:t xml:space="preserve">National Institute of Standards and Technology. (n.d.-b). Measures of skewness and kurtosis. In </w:t>
      </w:r>
      <w:r w:rsidRPr="000D4D15">
        <w:rPr>
          <w:rFonts w:eastAsiaTheme="majorEastAsia"/>
          <w:i/>
          <w:iCs/>
        </w:rPr>
        <w:t>NIST/SEMATECH e-handbook of statistical methods</w:t>
      </w:r>
      <w:r w:rsidRPr="000D4D15">
        <w:rPr>
          <w:rFonts w:eastAsiaTheme="majorEastAsia"/>
        </w:rPr>
        <w:t>. U.S. Department of Commerce. https://www.itl.nist.gov/div898/handbook/eda/section3/eda35b.htm</w:t>
      </w:r>
    </w:p>
    <w:p w14:paraId="4BD19EC5" w14:textId="77777777" w:rsidR="000D4D15" w:rsidRPr="000D4D15" w:rsidRDefault="000D4D15" w:rsidP="00837046">
      <w:pPr>
        <w:spacing w:line="480" w:lineRule="auto"/>
        <w:rPr>
          <w:rFonts w:eastAsiaTheme="majorEastAsia"/>
        </w:rPr>
      </w:pPr>
    </w:p>
    <w:p w14:paraId="11D59635" w14:textId="5AA567BD" w:rsidR="00726BD3" w:rsidRPr="005D6B01" w:rsidRDefault="000D4D15" w:rsidP="00837046">
      <w:pPr>
        <w:spacing w:line="480" w:lineRule="auto"/>
        <w:rPr>
          <w:rFonts w:eastAsiaTheme="majorEastAsia"/>
        </w:rPr>
      </w:pPr>
      <w:r w:rsidRPr="000D4D15">
        <w:rPr>
          <w:rFonts w:eastAsiaTheme="majorEastAsia"/>
        </w:rPr>
        <w:t xml:space="preserve">Starr, S. B. (2015). Estimating gender disparities in federal criminal cases. </w:t>
      </w:r>
      <w:r w:rsidRPr="000D4D15">
        <w:rPr>
          <w:rFonts w:eastAsiaTheme="majorEastAsia"/>
          <w:i/>
          <w:iCs/>
        </w:rPr>
        <w:t>American Law and Economics Review, 17</w:t>
      </w:r>
      <w:r w:rsidRPr="000D4D15">
        <w:rPr>
          <w:rFonts w:eastAsiaTheme="majorEastAsia"/>
        </w:rPr>
        <w:t>(1), 127–159. https://doi.org/10.1093/aler/ahu010</w:t>
      </w:r>
    </w:p>
    <w:p w14:paraId="3ED6A2B7" w14:textId="5D4A91BC" w:rsidR="009252BD" w:rsidRDefault="009252BD" w:rsidP="00837046">
      <w:pPr>
        <w:pStyle w:val="Heading1"/>
        <w:spacing w:line="480" w:lineRule="auto"/>
      </w:pPr>
      <w:r w:rsidRPr="009252BD">
        <w:t>Unit II: The Machine — Minnesota's Sentencing System</w:t>
      </w:r>
    </w:p>
    <w:p w14:paraId="1AEA4332" w14:textId="77777777" w:rsidR="00726BD3" w:rsidRPr="00726BD3" w:rsidRDefault="00726BD3" w:rsidP="00837046">
      <w:pPr>
        <w:spacing w:line="480" w:lineRule="auto"/>
      </w:pPr>
    </w:p>
    <w:p w14:paraId="1CCAC0A3" w14:textId="2A413AF7" w:rsidR="009252BD" w:rsidRPr="009252BD" w:rsidRDefault="009252BD" w:rsidP="00837046">
      <w:pPr>
        <w:pStyle w:val="Heading2"/>
        <w:spacing w:line="480" w:lineRule="auto"/>
      </w:pPr>
      <w:r w:rsidRPr="009252BD">
        <w:t>Module 4: Classification, Felonies, and the Offense Code</w:t>
      </w:r>
    </w:p>
    <w:p w14:paraId="024B08E3" w14:textId="361E3AF4" w:rsidR="009252BD" w:rsidRPr="009252BD" w:rsidRDefault="009252BD" w:rsidP="00837046">
      <w:pPr>
        <w:pStyle w:val="Heading3"/>
        <w:spacing w:line="480" w:lineRule="auto"/>
      </w:pPr>
      <w:r w:rsidRPr="009252BD">
        <w:t xml:space="preserve">Classification, Felonies, and the Offense Code: How the System Decides What a Case </w:t>
      </w:r>
      <w:r w:rsidRPr="009252BD">
        <w:rPr>
          <w:i/>
          <w:iCs/>
        </w:rPr>
        <w:t>Is</w:t>
      </w:r>
    </w:p>
    <w:p w14:paraId="14D9CA15" w14:textId="0C42489F" w:rsidR="009252BD" w:rsidRPr="009252BD" w:rsidRDefault="009252BD" w:rsidP="00837046">
      <w:pPr>
        <w:spacing w:line="480" w:lineRule="auto"/>
      </w:pPr>
      <w:r w:rsidRPr="009252BD">
        <w:t xml:space="preserve">Felony or misdemeanor? </w:t>
      </w:r>
      <w:r w:rsidR="005828F7">
        <w:t>Assault in the first degree</w:t>
      </w:r>
      <w:r w:rsidRPr="009252BD">
        <w:t xml:space="preserve"> or terroristic threats? Criminal justice and law lean heavily on the categorization of human conduct</w:t>
      </w:r>
      <w:r w:rsidR="005828F7">
        <w:t xml:space="preserve">, </w:t>
      </w:r>
      <w:r w:rsidRPr="009252BD">
        <w:t xml:space="preserve">an activity that is, on close inspection, </w:t>
      </w:r>
      <w:r w:rsidRPr="009252BD">
        <w:lastRenderedPageBreak/>
        <w:t>messy, contested, and rarely as clean as the finished label suggests. The previous unit established a discipline for reading numbers: locate them in the funnel, identify the unit of analysis, and keep description separate from explanation. This chapter turns that discipline on the categories themselves. Before a sentence can be counted, the conduct behind it must be sorted</w:t>
      </w:r>
      <w:r w:rsidR="005828F7">
        <w:t xml:space="preserve"> </w:t>
      </w:r>
      <w:r w:rsidRPr="009252BD">
        <w:t>into a class the system recognizes. The Minnesota Offense Code (MOC) that labels each record in the dataset is the last of those sortings. Understanding what the code does, and what it does not, is the aim of this module.</w:t>
      </w:r>
    </w:p>
    <w:p w14:paraId="2821D861" w14:textId="074C7D3C" w:rsidR="009252BD" w:rsidRPr="009252BD" w:rsidRDefault="009252BD" w:rsidP="00837046">
      <w:pPr>
        <w:spacing w:line="480" w:lineRule="auto"/>
      </w:pPr>
      <w:r w:rsidRPr="009252BD">
        <w:t xml:space="preserve">The organizing question is simple: </w:t>
      </w:r>
      <w:r w:rsidRPr="009252BD">
        <w:rPr>
          <w:b/>
          <w:bCs/>
        </w:rPr>
        <w:t>why do we classify crimes at all?</w:t>
      </w:r>
      <w:r w:rsidRPr="009252BD">
        <w:t xml:space="preserve"> The answer is that classification is not one act but a chain of them, performed by different actors at successive stages of the criminal-justice funnel, each for a different reason. Following that chain from the top of the funnel to the bottom reveals both the utility of classification and its central limitation</w:t>
      </w:r>
      <w:r w:rsidR="005828F7">
        <w:t xml:space="preserve">, </w:t>
      </w:r>
      <w:r w:rsidRPr="009252BD">
        <w:t>the limitation that governs how the dataset must be read.</w:t>
      </w:r>
    </w:p>
    <w:p w14:paraId="2B01BF7A" w14:textId="29D02F50" w:rsidR="009252BD" w:rsidRPr="009252BD" w:rsidRDefault="009252BD" w:rsidP="00837046">
      <w:pPr>
        <w:pStyle w:val="Heading3"/>
        <w:spacing w:line="480" w:lineRule="auto"/>
      </w:pPr>
      <w:r w:rsidRPr="009252BD">
        <w:t>Classification Along the Funnel</w:t>
      </w:r>
    </w:p>
    <w:p w14:paraId="22E7720B" w14:textId="7571F7E9" w:rsidR="009252BD" w:rsidRPr="009252BD" w:rsidRDefault="009252BD" w:rsidP="00837046">
      <w:pPr>
        <w:spacing w:line="480" w:lineRule="auto"/>
      </w:pPr>
      <w:r w:rsidRPr="009252BD">
        <w:rPr>
          <w:b/>
          <w:bCs/>
        </w:rPr>
        <w:t>At the entry point: the police.</w:t>
      </w:r>
      <w:r w:rsidRPr="009252BD">
        <w:t xml:space="preserve"> A crime enters the funnel when police classify conduct as a crime in the first place</w:t>
      </w:r>
      <w:r w:rsidR="005828F7">
        <w:t xml:space="preserve"> </w:t>
      </w:r>
      <w:r w:rsidR="005828F7" w:rsidRPr="005828F7">
        <w:rPr>
          <w:i/>
          <w:iCs/>
        </w:rPr>
        <w:t>(or fails to enter when they do not)</w:t>
      </w:r>
      <w:r w:rsidRPr="005828F7">
        <w:t>,</w:t>
      </w:r>
      <w:r w:rsidRPr="009252BD">
        <w:t xml:space="preserve"> and the felony/misdemeanor line shapes what they may do about it. That line is not merely descriptive; it carries legal force. Under long-settled Fourth Amendment doctrine, an officer may make a warrantless arrest for a felony on probable cause whether or not the offense occurred in the officer's presence, whereas warrantless arrests for misdemeanors are more tightly constrained</w:t>
      </w:r>
      <w:r w:rsidR="005828F7">
        <w:t xml:space="preserve">: </w:t>
      </w:r>
      <w:r w:rsidRPr="009252BD">
        <w:t>classically, by the requirement that the offense be committed in the officer's presence (LaFave, 2020). Classification, in other words, allocates police authority before it does anything else.</w:t>
      </w:r>
    </w:p>
    <w:p w14:paraId="69675CD8" w14:textId="5E06B871" w:rsidR="009252BD" w:rsidRPr="009252BD" w:rsidRDefault="009252BD" w:rsidP="00837046">
      <w:pPr>
        <w:spacing w:line="480" w:lineRule="auto"/>
      </w:pPr>
      <w:r w:rsidRPr="009252BD">
        <w:t>It also allocates attention. Police work is defined less by mechanical rule-following than by discretion, and departments differ systematically in how they exercise it</w:t>
      </w:r>
      <w:r w:rsidR="005828F7">
        <w:t xml:space="preserve">, </w:t>
      </w:r>
      <w:r w:rsidRPr="009252BD">
        <w:t xml:space="preserve">Wilson's (1968) classic </w:t>
      </w:r>
      <w:r w:rsidRPr="009252BD">
        <w:lastRenderedPageBreak/>
        <w:t>study distinguished "watchman," "legalistic," and "service" styles of policing, each reflecting a different local judgment about which offenses warrant intervention and which do not. The felony line functions here as an administrative threshold: it marks the level of seriousness at which the system commits its more intensive machinery. This is why the felony is, in the draft's phrase, a useful line in the sand. The alternative</w:t>
      </w:r>
      <w:r w:rsidR="00F9687A">
        <w:t xml:space="preserve"> would be </w:t>
      </w:r>
      <w:r w:rsidRPr="009252BD">
        <w:t>recording and analyzing every speeding ticket and petty theft with the full apparatus reserved for serious crime</w:t>
      </w:r>
      <w:r w:rsidR="00F9687A">
        <w:t>, a completely untenable situation</w:t>
      </w:r>
      <w:r w:rsidRPr="009252BD">
        <w:t>. Misdemeanors are not trivial in aggregate; they constitute roughly 80 percent of the nation's criminal dockets, some thirteen million cases a year (Natapoff, 2018). But they are handled on a separate, higher-volume, lower-intensity track. The dataset students explore contains none of them. It records only felonies</w:t>
      </w:r>
      <w:r w:rsidR="00F9687A">
        <w:t xml:space="preserve">, which are </w:t>
      </w:r>
      <w:r w:rsidRPr="009252BD">
        <w:t>conduct the law designates as most serious, carrying a potential term of more than a year</w:t>
      </w:r>
      <w:r w:rsidR="00F9687A">
        <w:t xml:space="preserve">. The Minnesota Sentencing Commission does so </w:t>
      </w:r>
      <w:r w:rsidRPr="009252BD">
        <w:t>precisely because the felony threshold is where the guidelines system trains its attention.</w:t>
      </w:r>
    </w:p>
    <w:p w14:paraId="6B6F7CBE" w14:textId="74C9D6FC" w:rsidR="009252BD" w:rsidRPr="009252BD" w:rsidRDefault="009252BD" w:rsidP="00837046">
      <w:pPr>
        <w:spacing w:line="480" w:lineRule="auto"/>
      </w:pPr>
      <w:r w:rsidRPr="009252BD">
        <w:rPr>
          <w:b/>
          <w:bCs/>
        </w:rPr>
        <w:t>At the charging stage: prosecutors.</w:t>
      </w:r>
      <w:r w:rsidRPr="009252BD">
        <w:t xml:space="preserve"> Once conduct is reported and an arrest made, the prosecutor translates events into a formal accusation. A charging decision is tied to probable cause to believe the accused violated a </w:t>
      </w:r>
      <w:r w:rsidRPr="009252BD">
        <w:rPr>
          <w:i/>
          <w:iCs/>
        </w:rPr>
        <w:t>specific statute</w:t>
      </w:r>
      <w:r w:rsidRPr="009252BD">
        <w:t xml:space="preserve"> (</w:t>
      </w:r>
      <w:r w:rsidR="00CD69DA">
        <w:t>Barnum</w:t>
      </w:r>
      <w:r w:rsidRPr="009252BD">
        <w:t xml:space="preserve">, 2024), and statutes are themselves acts of categorization: the legislature has already sorted conduct into felony, gross misdemeanor, and misdemeanor bins. But the prosecutor's selection among available charges is consequential in its own right. Discretion at this stage is broad, and scholars have argued that the charge a prosecutor selects "almost predetermines the outcome of a criminal case," since overcharging and charge bargaining shape which statutory category is ultimately applied (Davis, 1998). This matters for reading the data. As the counting rules from Unit I established, a record is described by its </w:t>
      </w:r>
      <w:r w:rsidRPr="009252BD">
        <w:rPr>
          <w:i/>
          <w:iCs/>
        </w:rPr>
        <w:t>most serious</w:t>
      </w:r>
      <w:r w:rsidRPr="009252BD">
        <w:t xml:space="preserve"> offense; lesser charges are absorbed. Charges that drop away through bargaining or merger are a form of attrition </w:t>
      </w:r>
      <w:r w:rsidRPr="009252BD">
        <w:rPr>
          <w:i/>
          <w:iCs/>
        </w:rPr>
        <w:t>within</w:t>
      </w:r>
      <w:r w:rsidRPr="009252BD">
        <w:t xml:space="preserve"> categories</w:t>
      </w:r>
      <w:r w:rsidR="00F9687A">
        <w:t xml:space="preserve">. This is the next place where events are selected out </w:t>
      </w:r>
      <w:r w:rsidR="00F9687A">
        <w:lastRenderedPageBreak/>
        <w:t>of the funnel.</w:t>
      </w:r>
      <w:r w:rsidRPr="009252BD">
        <w:t xml:space="preserve"> </w:t>
      </w:r>
      <w:r w:rsidR="00F9687A">
        <w:t>Put another way this is the same</w:t>
      </w:r>
      <w:r w:rsidRPr="009252BD">
        <w:t xml:space="preserve"> selection logic as the dark figure</w:t>
      </w:r>
      <w:r w:rsidR="00F9687A">
        <w:t xml:space="preserve"> of crime, those events which never interact with the system at all</w:t>
      </w:r>
      <w:r w:rsidRPr="009252BD">
        <w:t>,</w:t>
      </w:r>
      <w:r w:rsidR="00F9687A">
        <w:t xml:space="preserve"> only</w:t>
      </w:r>
      <w:r w:rsidRPr="009252BD">
        <w:t xml:space="preserve"> operating one level down. What survives to be coded is not the whole of what happened but the top charge the system chose to pursue.</w:t>
      </w:r>
    </w:p>
    <w:p w14:paraId="493A4CFB" w14:textId="74B42F2A" w:rsidR="009252BD" w:rsidRPr="009252BD" w:rsidRDefault="009252BD" w:rsidP="00837046">
      <w:pPr>
        <w:spacing w:line="480" w:lineRule="auto"/>
      </w:pPr>
      <w:r w:rsidRPr="009252BD">
        <w:rPr>
          <w:b/>
          <w:bCs/>
        </w:rPr>
        <w:t>At the sentencing stage: judges.</w:t>
      </w:r>
      <w:r w:rsidRPr="009252BD">
        <w:t xml:space="preserve"> When a judge imposes a sentence, offense classification becomes a direct input to the outcome. The intellectual foundation is the principle of proportionality</w:t>
      </w:r>
      <w:r w:rsidR="00F9687A">
        <w:t xml:space="preserve">. The system intends </w:t>
      </w:r>
      <w:r w:rsidRPr="009252BD">
        <w:t>that the severity of punishment should be proportionate to the seriousness of the offense</w:t>
      </w:r>
      <w:r w:rsidR="00F9687A">
        <w:t xml:space="preserve">, this is </w:t>
      </w:r>
      <w:r w:rsidRPr="009252BD">
        <w:t>articulated influentially by von Hirsch (1976), whose "just deserts" framework shaped the development of sentencing guidelines in the United States and, particularly, in Minnesota. Minnesota's guidelines operationalize that principle as a grid whose two axes are offense severity and criminal history. Offense classification is thus one of the grid's two coordinates; it is half of what determines the presumptive sentence recorded in the `time` column. The mechanics of that grid are the subject of the next module. For now, the point is that classification does not merely describe the case to the judge</w:t>
      </w:r>
      <w:r w:rsidR="00F9687A">
        <w:t xml:space="preserve">, </w:t>
      </w:r>
      <w:r w:rsidRPr="009252BD">
        <w:t xml:space="preserve">it partly </w:t>
      </w:r>
      <w:r w:rsidRPr="009252BD">
        <w:rPr>
          <w:i/>
          <w:iCs/>
        </w:rPr>
        <w:t>determines</w:t>
      </w:r>
      <w:r w:rsidRPr="009252BD">
        <w:t xml:space="preserve"> the recommended punishment.</w:t>
      </w:r>
    </w:p>
    <w:p w14:paraId="34EC1600" w14:textId="50C1A103" w:rsidR="009252BD" w:rsidRPr="009252BD" w:rsidRDefault="009252BD" w:rsidP="00837046">
      <w:pPr>
        <w:spacing w:line="480" w:lineRule="auto"/>
      </w:pPr>
      <w:r w:rsidRPr="009252BD">
        <w:rPr>
          <w:b/>
          <w:bCs/>
        </w:rPr>
        <w:t>Below and beyond the funnel: the public and the state.</w:t>
      </w:r>
      <w:r w:rsidRPr="009252BD">
        <w:t xml:space="preserve"> A classification does not expire when a sentence is served. Long after the funnel has done its work, the label persists and continues to govern access to ordinary life</w:t>
      </w:r>
      <w:r w:rsidR="00C5785D">
        <w:t xml:space="preserve">, </w:t>
      </w:r>
      <w:r w:rsidRPr="009252BD">
        <w:t xml:space="preserve">a body of restrictions scholars call the </w:t>
      </w:r>
      <w:r w:rsidRPr="009252BD">
        <w:rPr>
          <w:i/>
          <w:iCs/>
        </w:rPr>
        <w:t>collateral consequences</w:t>
      </w:r>
      <w:r w:rsidRPr="009252BD">
        <w:t xml:space="preserve"> of conviction. Chin (2012) describes the aggregate effect as a kind of "civil death": tens of thousands of federal, state, and local provisions restrict the employment, benefits, residence, and civil status of people with convictions, most of whom were never imprisoned at all. Two examples show how finely these consequences track the </w:t>
      </w:r>
      <w:r w:rsidRPr="009252BD">
        <w:rPr>
          <w:i/>
          <w:iCs/>
        </w:rPr>
        <w:t>type</w:t>
      </w:r>
      <w:r w:rsidRPr="009252BD">
        <w:t xml:space="preserve"> of felony.</w:t>
      </w:r>
    </w:p>
    <w:p w14:paraId="1BE8366D" w14:textId="5515B7A0" w:rsidR="009252BD" w:rsidRPr="009252BD" w:rsidRDefault="009252BD" w:rsidP="00837046">
      <w:pPr>
        <w:spacing w:line="480" w:lineRule="auto"/>
      </w:pPr>
      <w:r w:rsidRPr="009252BD">
        <w:t>The first is public benefits. A 1996 federal law (the Personal Responsibility and Work Opportunity Reconciliation Act, § 115, codified at 21 U.S.C. § 862a) imposed a lifetime ban on TANF and SNAP</w:t>
      </w:r>
      <w:r w:rsidR="002F526B">
        <w:t xml:space="preserve">, </w:t>
      </w:r>
      <w:r w:rsidRPr="009252BD">
        <w:lastRenderedPageBreak/>
        <w:t>cash assistance and food benefits</w:t>
      </w:r>
      <w:r w:rsidR="002F526B">
        <w:t xml:space="preserve">, </w:t>
      </w:r>
      <w:r w:rsidRPr="009252BD">
        <w:t xml:space="preserve">for people convicted of a </w:t>
      </w:r>
      <w:r w:rsidRPr="009252BD">
        <w:rPr>
          <w:i/>
          <w:iCs/>
        </w:rPr>
        <w:t>drug</w:t>
      </w:r>
      <w:r w:rsidRPr="009252BD">
        <w:t xml:space="preserve"> felony, while permitting states to opt out of or modify the ban. The provision's logic is worth pausing on, because it inverts what one might expect: it applies only to drug felonies and to </w:t>
      </w:r>
      <w:r w:rsidRPr="009252BD">
        <w:rPr>
          <w:i/>
          <w:iCs/>
        </w:rPr>
        <w:t>no other felony</w:t>
      </w:r>
      <w:r w:rsidRPr="009252BD">
        <w:t>, however serious. A person convicted of a violent felony</w:t>
      </w:r>
      <w:r w:rsidR="002F526B">
        <w:t>, up to and including murder,</w:t>
      </w:r>
      <w:r w:rsidRPr="009252BD">
        <w:t xml:space="preserve"> faces no comparable federal benefits bar; a person convicted of felony drug possession may face a lifetime one. States have largely softened the rule</w:t>
      </w:r>
      <w:r w:rsidR="002F526B">
        <w:t xml:space="preserve">, </w:t>
      </w:r>
      <w:r w:rsidRPr="009252BD">
        <w:t>by late 2023 only one state</w:t>
      </w:r>
      <w:r w:rsidR="004F575E">
        <w:t xml:space="preserve">, </w:t>
      </w:r>
      <w:r w:rsidRPr="009252BD">
        <w:t>South Carolina</w:t>
      </w:r>
      <w:r w:rsidR="004F575E">
        <w:t xml:space="preserve">, </w:t>
      </w:r>
      <w:r w:rsidRPr="009252BD">
        <w:t>had neither opted out of nor modified either ban (Love &amp; Sibilla, 2023)</w:t>
      </w:r>
      <w:r w:rsidR="002F526B">
        <w:t xml:space="preserve">, </w:t>
      </w:r>
      <w:r w:rsidRPr="009252BD">
        <w:t>but the example illustrates how a single classificatory line, drawn decades ago for reasons of drug policy, still allocates access to food and cash assistance today.</w:t>
      </w:r>
    </w:p>
    <w:p w14:paraId="6781314E" w14:textId="01145FBD" w:rsidR="009252BD" w:rsidRPr="009252BD" w:rsidRDefault="009252BD" w:rsidP="00837046">
      <w:pPr>
        <w:spacing w:line="480" w:lineRule="auto"/>
      </w:pPr>
      <w:r w:rsidRPr="009252BD">
        <w:t>The second is employment. Employers commonly screen not merely for the</w:t>
      </w:r>
      <w:r w:rsidR="002F526B">
        <w:t xml:space="preserve"> </w:t>
      </w:r>
      <w:r w:rsidRPr="009252BD">
        <w:rPr>
          <w:i/>
          <w:iCs/>
        </w:rPr>
        <w:t>existence</w:t>
      </w:r>
      <w:r w:rsidRPr="009252BD">
        <w:t xml:space="preserve"> of a felony record but for its </w:t>
      </w:r>
      <w:r w:rsidRPr="009252BD">
        <w:rPr>
          <w:i/>
          <w:iCs/>
        </w:rPr>
        <w:t>kind</w:t>
      </w:r>
      <w:r w:rsidRPr="009252BD">
        <w:t xml:space="preserve">. Research on employer hiring behavior finds that willingness to hire a person with a record varies systematically by offense type: employers are markedly more averse to applicants with violent convictions than to those with drug or property convictions (Holzer, Raphael, &amp; Stoll, 2006). Classification makes that distinction operable—it renders "what kind of felony" a concrete, checkable fact. (Whether such screening is fair, and what harm it produces, is taken up under </w:t>
      </w:r>
      <w:r w:rsidRPr="009252BD">
        <w:rPr>
          <w:i/>
          <w:iCs/>
        </w:rPr>
        <w:t>*Downsides*</w:t>
      </w:r>
      <w:r w:rsidRPr="009252BD">
        <w:t>, below.)</w:t>
      </w:r>
    </w:p>
    <w:p w14:paraId="4EA2ADA9" w14:textId="4834ACC7" w:rsidR="009252BD" w:rsidRPr="009252BD" w:rsidRDefault="009252BD" w:rsidP="00837046">
      <w:pPr>
        <w:spacing w:line="480" w:lineRule="auto"/>
      </w:pPr>
      <w:r w:rsidRPr="009252BD">
        <w:rPr>
          <w:b/>
          <w:bCs/>
        </w:rPr>
        <w:t>At the far end: scholars.</w:t>
      </w:r>
      <w:r w:rsidRPr="009252BD">
        <w:t xml:space="preserve"> Finally, classification is what makes the systematic study of crime possible at al</w:t>
      </w:r>
      <w:r w:rsidR="00C5785D">
        <w:t>l. I</w:t>
      </w:r>
      <w:r w:rsidRPr="009252BD">
        <w:t xml:space="preserve">t does so in two distinct ways. First, standardization: shared offense definitions let researchers aggregate and compare data across thousands of jurisdictions and across decades, the achievement that national systems such as the FBI's Uniform Crime Reporting program and its successor, the National Incident-Based Reporting System, were built to deliver (Mosher, Miethe, &amp; Hart, 2011). Without common categories, one county's "assault" could not be compared to another's, and no national picture could be assembled. Second, theory-building: offense </w:t>
      </w:r>
      <w:r w:rsidRPr="009252BD">
        <w:lastRenderedPageBreak/>
        <w:t xml:space="preserve">typologies let scholars generalize beyond individual cases and accumulate knowledge, treating classes of offense as objects of explanation. The construction of crime types is, in this tradition, a precondition for cumulative criminological theory rather than an afterthought to it (Clinard &amp; Quinney, 1973). Every finding in this </w:t>
      </w:r>
      <w:r w:rsidR="00C5785D">
        <w:t>resource</w:t>
      </w:r>
      <w:r w:rsidRPr="009252BD">
        <w:t xml:space="preserve"> rests on that foundation: the analyses are possible only because the conduct behind 294,000 sentences was sorted into comparable categories in the first place.</w:t>
      </w:r>
    </w:p>
    <w:p w14:paraId="108D3583" w14:textId="7E02E55B" w:rsidR="009252BD" w:rsidRPr="009252BD" w:rsidRDefault="009252BD" w:rsidP="00837046">
      <w:pPr>
        <w:pStyle w:val="Heading3"/>
        <w:spacing w:line="480" w:lineRule="auto"/>
      </w:pPr>
      <w:r w:rsidRPr="009252BD">
        <w:t>The Thesis: The MOC Records a Decision, Not an Event</w:t>
      </w:r>
    </w:p>
    <w:p w14:paraId="0B3E096E" w14:textId="291F7AE8" w:rsidR="009252BD" w:rsidRPr="009252BD" w:rsidRDefault="009252BD" w:rsidP="00837046">
      <w:pPr>
        <w:spacing w:line="480" w:lineRule="auto"/>
      </w:pPr>
      <w:r w:rsidRPr="009252BD">
        <w:t xml:space="preserve">Trace the chain and its lesson emerges. Police classify conduct as crime; prosecutors translate conduct into a charge; judges translate the charge into a guideline category; and the MOC records the system's final internal label. At each step the category is </w:t>
      </w:r>
      <w:r w:rsidR="00C5785D" w:rsidRPr="009252BD">
        <w:rPr>
          <w:i/>
          <w:iCs/>
        </w:rPr>
        <w:t>re-made,</w:t>
      </w:r>
      <w:r w:rsidR="00C5785D" w:rsidRPr="00C5785D">
        <w:t xml:space="preserve"> </w:t>
      </w:r>
      <w:r w:rsidRPr="009252BD">
        <w:t>refined, narrowed, sometimes swapped for another</w:t>
      </w:r>
      <w:r w:rsidR="00C5785D">
        <w:t xml:space="preserve">, </w:t>
      </w:r>
      <w:r w:rsidRPr="009252BD">
        <w:t xml:space="preserve">by human decision. The Minnesota Offense Code is a system used in Minnesota to classify offenses internally, at the level of the state's own recordkeeping. It is not a neutral description of what a person did; it is the residue of a chain of decisions about what the system determined the case to </w:t>
      </w:r>
      <w:r w:rsidRPr="009252BD">
        <w:rPr>
          <w:i/>
          <w:iCs/>
        </w:rPr>
        <w:t>be</w:t>
      </w:r>
      <w:r w:rsidRPr="009252BD">
        <w:t>.</w:t>
      </w:r>
    </w:p>
    <w:p w14:paraId="22958CA5" w14:textId="3A081907" w:rsidR="009252BD" w:rsidRPr="002114F2" w:rsidRDefault="009252BD" w:rsidP="00837046">
      <w:pPr>
        <w:spacing w:line="480" w:lineRule="auto"/>
      </w:pPr>
      <w:r w:rsidRPr="009252BD">
        <w:t xml:space="preserve">This is Sellin's </w:t>
      </w:r>
      <w:r w:rsidR="002114F2">
        <w:t>D</w:t>
      </w:r>
      <w:r w:rsidRPr="009252BD">
        <w:t xml:space="preserve">ictum from Unit I, applied now to categories rather than to counts. Just as felony sentencing data is an excellent record of what the system </w:t>
      </w:r>
      <w:r w:rsidRPr="009252BD">
        <w:rPr>
          <w:i/>
          <w:iCs/>
        </w:rPr>
        <w:t>decided</w:t>
      </w:r>
      <w:r w:rsidRPr="009252BD">
        <w:t xml:space="preserve"> and a poor proxy for how much crime </w:t>
      </w:r>
      <w:r w:rsidRPr="009252BD">
        <w:rPr>
          <w:i/>
          <w:iCs/>
        </w:rPr>
        <w:t>occurre</w:t>
      </w:r>
      <w:r w:rsidR="002114F2">
        <w:rPr>
          <w:i/>
          <w:iCs/>
        </w:rPr>
        <w:t>d</w:t>
      </w:r>
      <w:r w:rsidRPr="009252BD">
        <w:t>, the MOC is an excellent record of the system's final classification and a poor proxy for the underlying conduct. A record coded to a given offense reflects the charge that survived every prior stage, not the full reality of the event. Reading the code as a transparent window onto behavior is the categorical version of the same error Unit I warned against.</w:t>
      </w:r>
      <w:r w:rsidR="002114F2">
        <w:t xml:space="preserve"> This beckons further discussion, but entire entries are only representative of the </w:t>
      </w:r>
      <w:r w:rsidR="002114F2">
        <w:rPr>
          <w:i/>
          <w:iCs/>
        </w:rPr>
        <w:t>highest</w:t>
      </w:r>
      <w:r w:rsidR="002114F2">
        <w:t>, most severe count, and in a case where someone murders one person and nearly kills another only the murder would appear as an entry, thus the dataset in not indicative of the question “How many people were attacked?”</w:t>
      </w:r>
    </w:p>
    <w:p w14:paraId="0B39ED92" w14:textId="48AB48EB" w:rsidR="009252BD" w:rsidRPr="009252BD" w:rsidRDefault="009252BD" w:rsidP="00837046">
      <w:pPr>
        <w:pStyle w:val="Heading3"/>
        <w:spacing w:line="480" w:lineRule="auto"/>
      </w:pPr>
      <w:r w:rsidRPr="009252BD">
        <w:lastRenderedPageBreak/>
        <w:t>The Four Families</w:t>
      </w:r>
    </w:p>
    <w:p w14:paraId="006FCEE1" w14:textId="6C3F7B42" w:rsidR="009252BD" w:rsidRPr="009252BD" w:rsidRDefault="009252BD" w:rsidP="00837046">
      <w:pPr>
        <w:spacing w:line="480" w:lineRule="auto"/>
      </w:pPr>
      <w:r w:rsidRPr="009252BD">
        <w:t xml:space="preserve">Beneath the fine grain of the MOC lies a coarse partition that criminologists use to organize almost any body of offense data. Conventionally, offenses are grouped into four "families": </w:t>
      </w:r>
      <w:r w:rsidRPr="009252BD">
        <w:rPr>
          <w:b/>
          <w:bCs/>
        </w:rPr>
        <w:t>person</w:t>
      </w:r>
      <w:r w:rsidRPr="009252BD">
        <w:t xml:space="preserve"> (harm directed at a body), </w:t>
      </w:r>
      <w:r w:rsidRPr="009252BD">
        <w:rPr>
          <w:b/>
          <w:bCs/>
        </w:rPr>
        <w:t>property</w:t>
      </w:r>
      <w:r w:rsidRPr="009252BD">
        <w:t xml:space="preserve"> (harm to ownership or possession), </w:t>
      </w:r>
      <w:r w:rsidRPr="009252BD">
        <w:rPr>
          <w:b/>
          <w:bCs/>
        </w:rPr>
        <w:t>drug</w:t>
      </w:r>
      <w:r w:rsidRPr="009252BD">
        <w:t xml:space="preserve"> (offenses defined by controlled substances), and </w:t>
      </w:r>
      <w:r w:rsidRPr="009252BD">
        <w:rPr>
          <w:b/>
          <w:bCs/>
        </w:rPr>
        <w:t>public order</w:t>
      </w:r>
      <w:r w:rsidRPr="009252BD">
        <w:t xml:space="preserve"> (offenses against collective norms or the functioning of institutions). This four-way scheme is the working vocabulary of much criminal-justice statistics</w:t>
      </w:r>
      <w:r w:rsidR="00A763E6">
        <w:t>. T</w:t>
      </w:r>
      <w:r w:rsidRPr="009252BD">
        <w:t xml:space="preserve">he Bureau of Justice Statistics, for instance, routinely reports violent, property, drug, and public-order offenses as distinct groups. It maps closely, though not exactly, onto the official federal taxonomy: NIBRS sorts every offense into </w:t>
      </w:r>
      <w:r w:rsidRPr="009252BD">
        <w:rPr>
          <w:i/>
          <w:iCs/>
        </w:rPr>
        <w:t>*Crimes Against Persons*</w:t>
      </w:r>
      <w:r w:rsidRPr="009252BD">
        <w:t xml:space="preserve">, </w:t>
      </w:r>
      <w:r w:rsidRPr="009252BD">
        <w:rPr>
          <w:i/>
          <w:iCs/>
        </w:rPr>
        <w:t>*Crimes Against Property*</w:t>
      </w:r>
      <w:r w:rsidRPr="009252BD">
        <w:t xml:space="preserve">, and </w:t>
      </w:r>
      <w:r w:rsidRPr="009252BD">
        <w:rPr>
          <w:i/>
          <w:iCs/>
        </w:rPr>
        <w:t>*Crimes Against Society*</w:t>
      </w:r>
      <w:r w:rsidRPr="009252BD">
        <w:t>, folding both drug and public-order offenses into that third "Society" category (Federal Bureau of Investigation, n.d.). The module's four families simply split "Crimes Against Society" back into its drug and public-order halves.</w:t>
      </w:r>
    </w:p>
    <w:p w14:paraId="72F7D50F" w14:textId="378F04BC" w:rsidR="009252BD" w:rsidRPr="009252BD" w:rsidRDefault="009252BD" w:rsidP="00837046">
      <w:pPr>
        <w:spacing w:line="480" w:lineRule="auto"/>
      </w:pPr>
      <w:r w:rsidRPr="009252BD">
        <w:t xml:space="preserve">That the official scheme has three categories and the analytic one has four is a first clue to a deeper point: </w:t>
      </w:r>
      <w:r w:rsidRPr="009252BD">
        <w:rPr>
          <w:b/>
          <w:bCs/>
        </w:rPr>
        <w:t>categorization is an act of human judgment, not a reading of nature.</w:t>
      </w:r>
      <w:r w:rsidRPr="009252BD">
        <w:t xml:space="preserve"> Boundary cases make this vivid. Robbery</w:t>
      </w:r>
      <w:r w:rsidR="00A763E6">
        <w:t xml:space="preserve">, </w:t>
      </w:r>
      <w:r w:rsidRPr="009252BD">
        <w:t>theft accomplished by force</w:t>
      </w:r>
      <w:r w:rsidR="00A763E6">
        <w:t xml:space="preserve">, </w:t>
      </w:r>
      <w:r w:rsidRPr="009252BD">
        <w:t>sits astride the line between the person and property families, and different systems resolve it differently: it is a</w:t>
      </w:r>
      <w:r w:rsidR="00A763E6">
        <w:t xml:space="preserve"> </w:t>
      </w:r>
      <w:r w:rsidRPr="009252BD">
        <w:rPr>
          <w:i/>
          <w:iCs/>
        </w:rPr>
        <w:t>person</w:t>
      </w:r>
      <w:r w:rsidR="00A763E6">
        <w:rPr>
          <w:i/>
          <w:iCs/>
        </w:rPr>
        <w:t xml:space="preserve"> </w:t>
      </w:r>
      <w:r w:rsidRPr="009252BD">
        <w:t>crime under the FBI's older Summary Reporting System but a</w:t>
      </w:r>
      <w:r w:rsidR="00A763E6">
        <w:t xml:space="preserve"> </w:t>
      </w:r>
      <w:r w:rsidRPr="009252BD">
        <w:rPr>
          <w:i/>
          <w:iCs/>
        </w:rPr>
        <w:t>property</w:t>
      </w:r>
      <w:r w:rsidRPr="009252BD">
        <w:t xml:space="preserve"> crime under NIBRS. Nothing about robbery changed; the classifiers made a different choice. Such edge cases are features, not flaws. They reveal the work a classification is doing.</w:t>
      </w:r>
    </w:p>
    <w:p w14:paraId="56ADE8C8" w14:textId="6ECF3CA3" w:rsidR="009252BD" w:rsidRPr="009252BD" w:rsidRDefault="009252BD" w:rsidP="00837046">
      <w:pPr>
        <w:spacing w:line="480" w:lineRule="auto"/>
      </w:pPr>
      <w:r w:rsidRPr="009252BD">
        <w:t xml:space="preserve">The most influential account of that work comes from outside criminology. In </w:t>
      </w:r>
      <w:r w:rsidRPr="009252BD">
        <w:rPr>
          <w:i/>
          <w:iCs/>
        </w:rPr>
        <w:t>*Sorting Things Out*</w:t>
      </w:r>
      <w:r w:rsidRPr="009252BD">
        <w:t>, Bowker and Star (1999) argue that "to classify is human" (p. 1)</w:t>
      </w:r>
      <w:r w:rsidR="00A763E6">
        <w:t xml:space="preserve">, </w:t>
      </w:r>
      <w:r w:rsidRPr="009252BD">
        <w:t xml:space="preserve">that every classification system, however technical it appears, encodes choices and values, advantaging some perspectives while silencing others, and that this constructedness is usually rendered invisible by the finished </w:t>
      </w:r>
      <w:r w:rsidRPr="009252BD">
        <w:lastRenderedPageBreak/>
        <w:t>categories themselves. Their lesson reprises the discipline from Module 1, where every column was to be treated as an administrative decision first and a measurement second. The MOC is exactly such a decision. It was built to run Minnesota's sentencing system, and its categories carry the priorities of that system rather than the neutral contours of human conduct.</w:t>
      </w:r>
    </w:p>
    <w:p w14:paraId="61AA14EB" w14:textId="5EC51D74" w:rsidR="009252BD" w:rsidRPr="009252BD" w:rsidRDefault="009252BD" w:rsidP="00837046">
      <w:pPr>
        <w:spacing w:line="480" w:lineRule="auto"/>
      </w:pPr>
      <w:r w:rsidRPr="009252BD">
        <w:t xml:space="preserve">Working with the MOC in the Explorer, one navigates this classification by </w:t>
      </w:r>
      <w:r w:rsidRPr="009252BD">
        <w:rPr>
          <w:i/>
          <w:iCs/>
        </w:rPr>
        <w:t>drilling down</w:t>
      </w:r>
      <w:r w:rsidRPr="009252BD">
        <w:t xml:space="preserve"> one character at a time. The first character, `moc1`, names the top-level family; successive characters narrow the offense within it. The exercises below explore one top-level code exemplifying each family, to see how each type of offense is classified</w:t>
      </w:r>
      <w:r w:rsidR="00A763E6">
        <w:t xml:space="preserve"> </w:t>
      </w:r>
      <w:r w:rsidRPr="009252BD">
        <w:t>and, more instructively, to see where the categories surprise us.</w:t>
      </w:r>
    </w:p>
    <w:p w14:paraId="22180305" w14:textId="7748B284" w:rsidR="009252BD" w:rsidRPr="009252BD" w:rsidRDefault="009252BD" w:rsidP="00837046">
      <w:pPr>
        <w:spacing w:line="480" w:lineRule="auto"/>
      </w:pPr>
      <w:r w:rsidRPr="009252BD">
        <w:rPr>
          <w:b/>
          <w:bCs/>
        </w:rPr>
        <w:t>Explorer Task A.</w:t>
      </w:r>
      <w:r w:rsidRPr="009252BD">
        <w:t xml:space="preserve"> Read the value counts for `moc1` on the full dataset. Note how large a share the person-crime categories that dominate public attention</w:t>
      </w:r>
      <w:r w:rsidR="00A763E6">
        <w:t xml:space="preserve">:  </w:t>
      </w:r>
      <w:r w:rsidRPr="009252BD">
        <w:t>homicide</w:t>
      </w:r>
      <w:r w:rsidR="00A763E6">
        <w:t xml:space="preserve"> &amp;</w:t>
      </w:r>
      <w:r w:rsidRPr="009252BD">
        <w:t xml:space="preserve"> assault</w:t>
      </w:r>
      <w:r w:rsidR="00A763E6">
        <w:t xml:space="preserve">, </w:t>
      </w:r>
      <w:r w:rsidRPr="009252BD">
        <w:t xml:space="preserve">actually occupy among </w:t>
      </w:r>
      <w:r w:rsidRPr="009252BD">
        <w:rPr>
          <w:i/>
          <w:iCs/>
        </w:rPr>
        <w:t>felonies</w:t>
      </w:r>
      <w:r w:rsidRPr="009252BD">
        <w:t>, the most serious offenses of all.</w:t>
      </w:r>
    </w:p>
    <w:p w14:paraId="3C3C0CD6" w14:textId="72EA5424" w:rsidR="009252BD" w:rsidRPr="009252BD" w:rsidRDefault="009252BD" w:rsidP="00837046">
      <w:pPr>
        <w:spacing w:line="480" w:lineRule="auto"/>
      </w:pPr>
      <w:r w:rsidRPr="009252BD">
        <w:rPr>
          <w:b/>
          <w:bCs/>
        </w:rPr>
        <w:t>Explorer Task B.</w:t>
      </w:r>
      <w:r w:rsidRPr="009252BD">
        <w:t xml:space="preserve"> Drill into assault (`moc1 == A`) and read the sub-code distribution. Observe what actually dominates the category</w:t>
      </w:r>
      <w:r w:rsidR="00A763E6">
        <w:t xml:space="preserve">, </w:t>
      </w:r>
      <w:r w:rsidRPr="009252BD">
        <w:t>whether physical assault, or the verbal-threat offenses one might not expect to find at the top of an "assault" bin.</w:t>
      </w:r>
    </w:p>
    <w:p w14:paraId="38359DDD" w14:textId="04EC54BB" w:rsidR="009252BD" w:rsidRPr="009252BD" w:rsidRDefault="009252BD" w:rsidP="00837046">
      <w:pPr>
        <w:spacing w:line="480" w:lineRule="auto"/>
      </w:pPr>
      <w:r w:rsidRPr="009252BD">
        <w:t xml:space="preserve">The second task previews a recurring theme: what a category </w:t>
      </w:r>
      <w:r w:rsidRPr="009252BD">
        <w:rPr>
          <w:i/>
          <w:iCs/>
        </w:rPr>
        <w:t>contains</w:t>
      </w:r>
      <w:r w:rsidRPr="009252BD">
        <w:t xml:space="preserve"> is often not what its name implies. That gap between label and content is not a defect in the data but a fact about how classification and charging work</w:t>
      </w:r>
      <w:r w:rsidR="00A763E6">
        <w:t xml:space="preserve"> </w:t>
      </w:r>
      <w:r w:rsidRPr="009252BD">
        <w:t>and it is one reason media impressions of crime mislead.</w:t>
      </w:r>
    </w:p>
    <w:p w14:paraId="26A76508" w14:textId="2B3B560B" w:rsidR="009252BD" w:rsidRPr="009252BD" w:rsidRDefault="009252BD" w:rsidP="00837046">
      <w:pPr>
        <w:spacing w:line="480" w:lineRule="auto"/>
      </w:pPr>
      <w:r w:rsidRPr="009252BD">
        <w:rPr>
          <w:b/>
          <w:bCs/>
        </w:rPr>
        <w:t>Why the small-share finding is surprising.</w:t>
      </w:r>
      <w:r w:rsidR="00A763E6">
        <w:rPr>
          <w:b/>
          <w:bCs/>
        </w:rPr>
        <w:t xml:space="preserve"> </w:t>
      </w:r>
      <w:r w:rsidRPr="009252BD">
        <w:t xml:space="preserve">Homicide and violent assault command a share of public attention wildly out of proportion to their frequency, because news coverage overrepresents them. A content analysis of a full year of local crime reporting in Milwaukee found that homicide accounted for a majority of the front-page crime stories in the daily newspaper and a large share </w:t>
      </w:r>
      <w:r w:rsidRPr="009252BD">
        <w:lastRenderedPageBreak/>
        <w:t>online, even though homicides are so rare relative to total crime as to be nearly invisible in the underlying police statistics; property offenses, conversely, made up the great bulk of actual crime but a small fraction of coverage (O'Hear, 2020). The pattern is long-standing</w:t>
      </w:r>
      <w:r w:rsidR="00A763E6">
        <w:t>. D</w:t>
      </w:r>
      <w:r w:rsidRPr="009252BD">
        <w:t xml:space="preserve">ecades earlier, researchers found that the public's picture of crime tracked newspaper portrayals far more closely than official crime counts (Sheley &amp; Ashkins, 1981). This is why discovering the modest share of violent offenses even among felonies can feel counterintuitive: the data corrects an impression the media has built. What the dataset's modal categories reveal is not what crime </w:t>
      </w:r>
      <w:r w:rsidRPr="009252BD">
        <w:rPr>
          <w:i/>
          <w:iCs/>
        </w:rPr>
        <w:t>feels</w:t>
      </w:r>
      <w:r w:rsidRPr="009252BD">
        <w:t xml:space="preserve"> like but what the criminal legal system actually processes.</w:t>
      </w:r>
    </w:p>
    <w:p w14:paraId="4E812044" w14:textId="22A91C6B" w:rsidR="009252BD" w:rsidRPr="009252BD" w:rsidRDefault="009252BD" w:rsidP="00837046">
      <w:pPr>
        <w:pStyle w:val="Heading3"/>
        <w:spacing w:line="480" w:lineRule="auto"/>
      </w:pPr>
      <w:r w:rsidRPr="009252BD">
        <w:t>Downsides to Classification</w:t>
      </w:r>
    </w:p>
    <w:p w14:paraId="36D8DE57" w14:textId="37D75D01" w:rsidR="009252BD" w:rsidRPr="009252BD" w:rsidRDefault="009252BD" w:rsidP="00837046">
      <w:pPr>
        <w:spacing w:line="480" w:lineRule="auto"/>
      </w:pPr>
      <w:r w:rsidRPr="009252BD">
        <w:t>These classifications are indispensable, as the walk down the funnel showed. They are also open to serious criticism.</w:t>
      </w:r>
    </w:p>
    <w:p w14:paraId="1860F7BA" w14:textId="0054EF8D" w:rsidR="009252BD" w:rsidRPr="009252BD" w:rsidRDefault="009252BD" w:rsidP="00837046">
      <w:pPr>
        <w:spacing w:line="480" w:lineRule="auto"/>
      </w:pPr>
      <w:r w:rsidRPr="009252BD">
        <w:t xml:space="preserve">The first criticism concerns </w:t>
      </w:r>
      <w:r w:rsidRPr="009252BD">
        <w:rPr>
          <w:i/>
          <w:iCs/>
        </w:rPr>
        <w:t>coherence</w:t>
      </w:r>
      <w:r w:rsidRPr="009252BD">
        <w:t>. Classification is meant to track relative seriousness</w:t>
      </w:r>
      <w:r w:rsidR="00A763E6">
        <w:t xml:space="preserve">. In premise it aims </w:t>
      </w:r>
      <w:r w:rsidRPr="009252BD">
        <w:t>to sort conduct so that graver wrongs sit in graver categories. Scholars have shown that the felony/gross-misdemeanor/misdemeanor grading of statutes often drifts from that ideal. In an empirical study, a research team surveyed a representative sample of Pennsylvanians about the seriousness of many offenses and compared public judgment to the statutory grades those offenses actually carried, finding frequent and substantial mismatches (Robinson, Gaeta, Majarian, Schultz, &amp; Weck, 2010). In one striking instance, possessing wiretapping equipment was rated by the public as roughly comparable to stealing goods worth $50 to $200</w:t>
      </w:r>
      <w:r w:rsidR="00A763E6">
        <w:t xml:space="preserve">, </w:t>
      </w:r>
      <w:r w:rsidRPr="009252BD">
        <w:t>an offense whose grade implies a maximum of about two years</w:t>
      </w:r>
      <w:r w:rsidR="00A763E6">
        <w:t xml:space="preserve">, </w:t>
      </w:r>
      <w:r w:rsidRPr="009252BD">
        <w:t xml:space="preserve">yet the wiretapping offense is graded as a felony carrying up to seven years. The difference is not merely academic; the grade determines exposure to years of imprisonment. If grading can diverge this far from shared intuitions of seriousness, then </w:t>
      </w:r>
      <w:r w:rsidRPr="009252BD">
        <w:lastRenderedPageBreak/>
        <w:t>the categories students analyze are administrative artifacts to be read critically, not natural measures of harm.</w:t>
      </w:r>
    </w:p>
    <w:p w14:paraId="05E0C895" w14:textId="1FF06173" w:rsidR="009252BD" w:rsidRPr="009252BD" w:rsidRDefault="009252BD" w:rsidP="00837046">
      <w:pPr>
        <w:spacing w:line="480" w:lineRule="auto"/>
      </w:pPr>
      <w:r w:rsidRPr="009252BD">
        <w:t xml:space="preserve">The second criticism concerns </w:t>
      </w:r>
      <w:r w:rsidRPr="009252BD">
        <w:rPr>
          <w:i/>
          <w:iCs/>
        </w:rPr>
        <w:t>consequences</w:t>
      </w:r>
      <w:r w:rsidRPr="009252BD">
        <w:t>. The walk down the funnel noted that classifications outlive the sentence, governing benefits and employment. Those uses carry real benefits for employers and agencies</w:t>
      </w:r>
      <w:r w:rsidR="00A763E6">
        <w:t xml:space="preserve">, </w:t>
      </w:r>
      <w:r w:rsidRPr="009252BD">
        <w:t>but they also inflict real harm. The foundational evidence comes from an audit study in which matched applicants, differing only in whether they reported a criminal record, applied for entry-level jobs: a felony record roughly halved the callback rate for white applicants and cut it by nearly two-thirds for Black applicants</w:t>
      </w:r>
      <w:r w:rsidR="002F526B">
        <w:t xml:space="preserve"> </w:t>
      </w:r>
      <w:r w:rsidRPr="009252BD">
        <w:t xml:space="preserve">(Pager, 2003). </w:t>
      </w:r>
      <w:r w:rsidR="002F526B">
        <w:t>It is also worth considering however that l</w:t>
      </w:r>
      <w:r w:rsidRPr="009252BD">
        <w:t xml:space="preserve">ater field experiments confirm the record's weight </w:t>
      </w:r>
      <w:r w:rsidR="002F526B">
        <w:t>but</w:t>
      </w:r>
      <w:r w:rsidRPr="009252BD">
        <w:t xml:space="preserve"> complicate the remedies: when employers were barred from asking about records at all, some appeared to substitute racial assumptions, widening the very gap the policy sought to close (Agan &amp; Starr, 2018). Classification, then, is double-edged. The same categorical precision that lets the state monitor its own sentencing also lets a label follow a person for a lifetime.</w:t>
      </w:r>
    </w:p>
    <w:p w14:paraId="727165F6" w14:textId="5CA4921F" w:rsidR="009252BD" w:rsidRPr="009252BD" w:rsidRDefault="009252BD" w:rsidP="00837046">
      <w:pPr>
        <w:pStyle w:val="Heading3"/>
        <w:spacing w:line="480" w:lineRule="auto"/>
      </w:pPr>
      <w:r w:rsidRPr="009252BD">
        <w:t>Summar</w:t>
      </w:r>
      <w:r>
        <w:t>y</w:t>
      </w:r>
    </w:p>
    <w:p w14:paraId="02E1A873" w14:textId="63D1CEC2" w:rsidR="009252BD" w:rsidRPr="009252BD" w:rsidRDefault="009252BD" w:rsidP="00837046">
      <w:pPr>
        <w:spacing w:line="480" w:lineRule="auto"/>
      </w:pPr>
      <w:r w:rsidRPr="009252BD">
        <w:t xml:space="preserve">Classification is the machinery that turns human conduct into a countable record, and it operates at every stage of the funnel. Police use the felony line to allocate authority and attention and to set the threshold for intensive recordkeeping; prosecutors translate conduct into charges, selecting among categories in ways that shape the outcome; judges use offense severity as one of the two axes that fix the presumptive sentence; the public and the state use the surviving label to govern benefits and employment long after the case closes; and scholars depend on standardized categories both to compare data and to build theory. The Minnesota Offense Code sits at the end of this chain. It records what the system decided a case </w:t>
      </w:r>
      <w:r w:rsidRPr="009252BD">
        <w:rPr>
          <w:i/>
          <w:iCs/>
        </w:rPr>
        <w:t>*was*</w:t>
      </w:r>
      <w:r w:rsidRPr="009252BD">
        <w:t xml:space="preserve">, not what happened—Sellin's dictum in categorical form. Beneath its fine grain lie four families—person, property, drug, and public </w:t>
      </w:r>
      <w:r w:rsidRPr="009252BD">
        <w:lastRenderedPageBreak/>
        <w:t>order—whose boundaries are acts of human judgment rather than facts of nature, as edge cases like robbery and the mismatches of statutory grading both reveal. Read this way, the MOC is neither a neutral mirror of crime nor a flaw to be corrected, but an administrative decision to be interpreted with care. The next module opens the grid on which offense severity and criminal history combine to produce the number in the `time` column.</w:t>
      </w:r>
    </w:p>
    <w:p w14:paraId="1818C7A6" w14:textId="63D7432E" w:rsidR="009252BD" w:rsidRPr="009252BD" w:rsidRDefault="009252BD" w:rsidP="00837046">
      <w:pPr>
        <w:pStyle w:val="Heading3"/>
        <w:spacing w:line="480" w:lineRule="auto"/>
      </w:pPr>
      <w:r w:rsidRPr="009252BD">
        <w:t>References</w:t>
      </w:r>
    </w:p>
    <w:p w14:paraId="0388FBBF" w14:textId="3A78D7CD" w:rsidR="00C652B7" w:rsidRPr="00C652B7" w:rsidRDefault="00C652B7" w:rsidP="00837046">
      <w:pPr>
        <w:spacing w:line="480" w:lineRule="auto"/>
      </w:pPr>
      <w:r w:rsidRPr="00C652B7">
        <w:t xml:space="preserve">Agan, A., &amp; Starr, S. B. (2018). Ban the box, criminal records, and racial discrimination: A field experiment. </w:t>
      </w:r>
      <w:r w:rsidRPr="00C652B7">
        <w:rPr>
          <w:i/>
          <w:iCs/>
        </w:rPr>
        <w:t>The Quarterly Journal of Economics, 133</w:t>
      </w:r>
      <w:r>
        <w:t>(</w:t>
      </w:r>
      <w:r w:rsidRPr="00C652B7">
        <w:t xml:space="preserve">1), 191–235. </w:t>
      </w:r>
      <w:hyperlink r:id="rId32" w:history="1">
        <w:r w:rsidRPr="00271A47">
          <w:rPr>
            <w:rStyle w:val="Hyperlink"/>
          </w:rPr>
          <w:t>https://doi.org/10.1093/qje/qjx028</w:t>
        </w:r>
      </w:hyperlink>
      <w:r>
        <w:t xml:space="preserve"> </w:t>
      </w:r>
    </w:p>
    <w:p w14:paraId="392E8336" w14:textId="77777777" w:rsidR="00C652B7" w:rsidRPr="00C652B7" w:rsidRDefault="00C652B7" w:rsidP="00837046">
      <w:pPr>
        <w:spacing w:line="480" w:lineRule="auto"/>
      </w:pPr>
    </w:p>
    <w:p w14:paraId="486C8AA1" w14:textId="7B541ACC" w:rsidR="00C652B7" w:rsidRPr="00C652B7" w:rsidRDefault="00C652B7" w:rsidP="00837046">
      <w:pPr>
        <w:spacing w:line="480" w:lineRule="auto"/>
      </w:pPr>
      <w:r w:rsidRPr="00C652B7">
        <w:t xml:space="preserve">Barnum, C. J. (2026, February 13). </w:t>
      </w:r>
      <w:r w:rsidRPr="00C652B7">
        <w:rPr>
          <w:i/>
          <w:iCs/>
        </w:rPr>
        <w:t>Federal prosecutorial discretion: A brief overview</w:t>
      </w:r>
      <w:r w:rsidRPr="00C652B7">
        <w:t xml:space="preserve"> (CRS Legal Sidebar No. LSB11326). Congressional Research Service. </w:t>
      </w:r>
      <w:hyperlink r:id="rId33" w:history="1">
        <w:r w:rsidRPr="00271A47">
          <w:rPr>
            <w:rStyle w:val="Hyperlink"/>
          </w:rPr>
          <w:t>https://www.congress.gov/crs-product/LSB11326</w:t>
        </w:r>
      </w:hyperlink>
      <w:r>
        <w:t xml:space="preserve"> </w:t>
      </w:r>
    </w:p>
    <w:p w14:paraId="070F1E6E" w14:textId="77777777" w:rsidR="00C652B7" w:rsidRPr="00C652B7" w:rsidRDefault="00C652B7" w:rsidP="00837046">
      <w:pPr>
        <w:spacing w:line="480" w:lineRule="auto"/>
      </w:pPr>
    </w:p>
    <w:p w14:paraId="6A0F1090" w14:textId="76C7F61E" w:rsidR="00C652B7" w:rsidRPr="00C652B7" w:rsidRDefault="00C652B7" w:rsidP="00837046">
      <w:pPr>
        <w:spacing w:line="480" w:lineRule="auto"/>
      </w:pPr>
      <w:r w:rsidRPr="00C652B7">
        <w:t xml:space="preserve">Bowker, G. C., &amp; Star, S. L. (1999). </w:t>
      </w:r>
      <w:r w:rsidRPr="00C652B7">
        <w:rPr>
          <w:i/>
          <w:iCs/>
        </w:rPr>
        <w:t>Sorting things out: Classification and its consequences</w:t>
      </w:r>
      <w:r w:rsidRPr="00C652B7">
        <w:t xml:space="preserve">. MIT Press. </w:t>
      </w:r>
      <w:hyperlink r:id="rId34" w:history="1">
        <w:r w:rsidRPr="00271A47">
          <w:rPr>
            <w:rStyle w:val="Hyperlink"/>
          </w:rPr>
          <w:t>https://doi.org/10.7551/mitpress/6352.001.0001</w:t>
        </w:r>
      </w:hyperlink>
      <w:r>
        <w:t xml:space="preserve"> </w:t>
      </w:r>
    </w:p>
    <w:p w14:paraId="5EFB63C4" w14:textId="77777777" w:rsidR="00C652B7" w:rsidRPr="00C652B7" w:rsidRDefault="00C652B7" w:rsidP="00837046">
      <w:pPr>
        <w:spacing w:line="480" w:lineRule="auto"/>
      </w:pPr>
    </w:p>
    <w:p w14:paraId="6D2F2EEA" w14:textId="0813F145" w:rsidR="00C652B7" w:rsidRPr="00C652B7" w:rsidRDefault="00C652B7" w:rsidP="00837046">
      <w:pPr>
        <w:spacing w:line="480" w:lineRule="auto"/>
      </w:pPr>
      <w:r w:rsidRPr="00C652B7">
        <w:t xml:space="preserve">Chin, G. J. (2012). The new civil death: Rethinking punishment in the era of mass conviction. </w:t>
      </w:r>
      <w:r w:rsidRPr="00C652B7">
        <w:rPr>
          <w:i/>
          <w:iCs/>
        </w:rPr>
        <w:t>University of Pennsylvania Law Review, 160</w:t>
      </w:r>
      <w:r w:rsidRPr="00C652B7">
        <w:t xml:space="preserve">(6), 1789–1833. </w:t>
      </w:r>
      <w:hyperlink r:id="rId35" w:history="1">
        <w:r w:rsidRPr="00271A47">
          <w:rPr>
            <w:rStyle w:val="Hyperlink"/>
          </w:rPr>
          <w:t>https://www.jstor.org/stable/41511317</w:t>
        </w:r>
      </w:hyperlink>
      <w:r>
        <w:t xml:space="preserve"> </w:t>
      </w:r>
    </w:p>
    <w:p w14:paraId="4627C99C" w14:textId="77777777" w:rsidR="00C652B7" w:rsidRPr="00C652B7" w:rsidRDefault="00C652B7" w:rsidP="00837046">
      <w:pPr>
        <w:spacing w:line="480" w:lineRule="auto"/>
      </w:pPr>
    </w:p>
    <w:p w14:paraId="7F6E3039" w14:textId="6DDF94DE" w:rsidR="00C652B7" w:rsidRPr="00C652B7" w:rsidRDefault="00C652B7" w:rsidP="00837046">
      <w:pPr>
        <w:spacing w:line="480" w:lineRule="auto"/>
      </w:pPr>
      <w:r w:rsidRPr="00C652B7">
        <w:lastRenderedPageBreak/>
        <w:t xml:space="preserve">Clinard, M. B., &amp; Quinney, R. (1973). </w:t>
      </w:r>
      <w:r w:rsidRPr="00C652B7">
        <w:rPr>
          <w:i/>
          <w:iCs/>
        </w:rPr>
        <w:t>Criminal behavior systems: A typology</w:t>
      </w:r>
      <w:r w:rsidRPr="00C652B7">
        <w:t xml:space="preserve"> (2nd ed.). Holt, Rinehart and Winston. </w:t>
      </w:r>
      <w:hyperlink r:id="rId36" w:history="1">
        <w:r w:rsidRPr="00271A47">
          <w:rPr>
            <w:rStyle w:val="Hyperlink"/>
          </w:rPr>
          <w:t>https://openlibrary.org/books/OL21306189M/Criminal_behavior_systems</w:t>
        </w:r>
      </w:hyperlink>
      <w:r>
        <w:t xml:space="preserve"> </w:t>
      </w:r>
    </w:p>
    <w:p w14:paraId="413CF0A5" w14:textId="77777777" w:rsidR="00C652B7" w:rsidRPr="00C652B7" w:rsidRDefault="00C652B7" w:rsidP="00837046">
      <w:pPr>
        <w:spacing w:line="480" w:lineRule="auto"/>
      </w:pPr>
    </w:p>
    <w:p w14:paraId="59E8C02F" w14:textId="1B9ED5D6" w:rsidR="00C652B7" w:rsidRPr="00C652B7" w:rsidRDefault="00C652B7" w:rsidP="00837046">
      <w:pPr>
        <w:spacing w:line="480" w:lineRule="auto"/>
      </w:pPr>
      <w:r w:rsidRPr="00C652B7">
        <w:t xml:space="preserve">Davis, A. J. (1998). Prosecution and race: The power and privilege of discretion. *Fordham Law Review, 67*(1), 13–67. </w:t>
      </w:r>
      <w:hyperlink r:id="rId37" w:history="1">
        <w:r w:rsidRPr="00271A47">
          <w:rPr>
            <w:rStyle w:val="Hyperlink"/>
          </w:rPr>
          <w:t>https://ir.lawnet.fordham.edu/flr/</w:t>
        </w:r>
        <w:r w:rsidRPr="00271A47">
          <w:rPr>
            <w:rStyle w:val="Hyperlink"/>
          </w:rPr>
          <w:t>v</w:t>
        </w:r>
        <w:r w:rsidRPr="00271A47">
          <w:rPr>
            <w:rStyle w:val="Hyperlink"/>
          </w:rPr>
          <w:t>ol67/iss1/2/</w:t>
        </w:r>
      </w:hyperlink>
      <w:r>
        <w:t xml:space="preserve"> </w:t>
      </w:r>
    </w:p>
    <w:p w14:paraId="5121A789" w14:textId="77777777" w:rsidR="00C652B7" w:rsidRPr="00C652B7" w:rsidRDefault="00C652B7" w:rsidP="00837046">
      <w:pPr>
        <w:spacing w:line="480" w:lineRule="auto"/>
      </w:pPr>
    </w:p>
    <w:p w14:paraId="13251228" w14:textId="49ED7C93" w:rsidR="00C652B7" w:rsidRPr="00C652B7" w:rsidRDefault="00C652B7" w:rsidP="00837046">
      <w:pPr>
        <w:spacing w:line="480" w:lineRule="auto"/>
      </w:pPr>
      <w:r w:rsidRPr="00C652B7">
        <w:t xml:space="preserve">Federal Bureau of Investigation. (n.d.). </w:t>
      </w:r>
      <w:r w:rsidRPr="00C652B7">
        <w:rPr>
          <w:i/>
          <w:iCs/>
        </w:rPr>
        <w:t>A guide to understanding NIBRS</w:t>
      </w:r>
      <w:r w:rsidRPr="00C652B7">
        <w:t xml:space="preserve">. U.S. Department of Justice. </w:t>
      </w:r>
      <w:hyperlink r:id="rId38" w:history="1">
        <w:r w:rsidRPr="00271A47">
          <w:rPr>
            <w:rStyle w:val="Hyperlink"/>
          </w:rPr>
          <w:t>https://ucr.fbi.gov/nibrs/2011/resources/a-guide-to-understanding-nibrs</w:t>
        </w:r>
      </w:hyperlink>
      <w:r>
        <w:t xml:space="preserve"> </w:t>
      </w:r>
    </w:p>
    <w:p w14:paraId="103644C7" w14:textId="77777777" w:rsidR="00C652B7" w:rsidRPr="00C652B7" w:rsidRDefault="00C652B7" w:rsidP="00837046">
      <w:pPr>
        <w:spacing w:line="480" w:lineRule="auto"/>
      </w:pPr>
    </w:p>
    <w:p w14:paraId="0CF93B45" w14:textId="5F37E27D" w:rsidR="00C652B7" w:rsidRPr="00C652B7" w:rsidRDefault="00C652B7" w:rsidP="00837046">
      <w:pPr>
        <w:spacing w:line="480" w:lineRule="auto"/>
      </w:pPr>
      <w:r w:rsidRPr="00C652B7">
        <w:t xml:space="preserve">Holzer, H. J., Raphael, S., &amp; Stoll, M. A. (2006). Perceived criminality, criminal background checks, and the racial hiring practices of employers. </w:t>
      </w:r>
      <w:r w:rsidRPr="00C652B7">
        <w:rPr>
          <w:i/>
          <w:iCs/>
        </w:rPr>
        <w:t>The Journal of Law and Economics, 49</w:t>
      </w:r>
      <w:r w:rsidRPr="00C652B7">
        <w:t xml:space="preserve">(2), 451–480. </w:t>
      </w:r>
      <w:hyperlink r:id="rId39" w:history="1">
        <w:r w:rsidRPr="00271A47">
          <w:rPr>
            <w:rStyle w:val="Hyperlink"/>
          </w:rPr>
          <w:t>https://doi.org/10.1086/501089</w:t>
        </w:r>
      </w:hyperlink>
      <w:r>
        <w:t xml:space="preserve">  </w:t>
      </w:r>
    </w:p>
    <w:p w14:paraId="506389A7" w14:textId="77777777" w:rsidR="00C652B7" w:rsidRPr="00C652B7" w:rsidRDefault="00C652B7" w:rsidP="00837046">
      <w:pPr>
        <w:spacing w:line="480" w:lineRule="auto"/>
      </w:pPr>
    </w:p>
    <w:p w14:paraId="15A49F5E" w14:textId="77777777" w:rsidR="00C652B7" w:rsidRPr="00C652B7" w:rsidRDefault="00C652B7" w:rsidP="00837046">
      <w:pPr>
        <w:spacing w:line="480" w:lineRule="auto"/>
      </w:pPr>
      <w:r w:rsidRPr="00C652B7">
        <w:t xml:space="preserve">LaFave, W. R. (2020). *Search and seizure: A treatise </w:t>
      </w:r>
      <w:proofErr w:type="gramStart"/>
      <w:r w:rsidRPr="00C652B7">
        <w:t>on</w:t>
      </w:r>
      <w:proofErr w:type="gramEnd"/>
      <w:r w:rsidRPr="00C652B7">
        <w:t xml:space="preserve"> the Fourth Amendment* (6th ed.). Thomson Reuters. &lt;https://catalog.sll.texas.gov/bib/60434&gt;</w:t>
      </w:r>
    </w:p>
    <w:p w14:paraId="67828880" w14:textId="77777777" w:rsidR="00C652B7" w:rsidRPr="00C652B7" w:rsidRDefault="00C652B7" w:rsidP="00837046">
      <w:pPr>
        <w:spacing w:line="480" w:lineRule="auto"/>
      </w:pPr>
    </w:p>
    <w:p w14:paraId="15BB8EEA" w14:textId="3313D7D0" w:rsidR="00C652B7" w:rsidRPr="00C652B7" w:rsidRDefault="00C652B7" w:rsidP="00837046">
      <w:pPr>
        <w:spacing w:line="480" w:lineRule="auto"/>
      </w:pPr>
      <w:r w:rsidRPr="00C652B7">
        <w:t xml:space="preserve">Love, M., &amp; Sibilla, N. (2023, December). </w:t>
      </w:r>
      <w:r w:rsidRPr="00C652B7">
        <w:rPr>
          <w:i/>
          <w:iCs/>
        </w:rPr>
        <w:t>Accessing SNAP and TANF benefits after a drug conviction: A survey of state laws</w:t>
      </w:r>
      <w:r w:rsidRPr="00C652B7">
        <w:t xml:space="preserve">. Collateral Consequences Resource Center. </w:t>
      </w:r>
      <w:hyperlink r:id="rId40" w:history="1">
        <w:r w:rsidRPr="00271A47">
          <w:rPr>
            <w:rStyle w:val="Hyperlink"/>
          </w:rPr>
          <w:t>https://ccresourcecenter.org/national-snap-tanf-drug-felony-study/</w:t>
        </w:r>
      </w:hyperlink>
      <w:r>
        <w:t xml:space="preserve"> </w:t>
      </w:r>
    </w:p>
    <w:p w14:paraId="57665683" w14:textId="77777777" w:rsidR="00C652B7" w:rsidRPr="00C652B7" w:rsidRDefault="00C652B7" w:rsidP="00837046">
      <w:pPr>
        <w:spacing w:line="480" w:lineRule="auto"/>
      </w:pPr>
    </w:p>
    <w:p w14:paraId="0C11BF94" w14:textId="21B0D4CD" w:rsidR="00C652B7" w:rsidRPr="00C652B7" w:rsidRDefault="00C652B7" w:rsidP="00837046">
      <w:pPr>
        <w:spacing w:line="480" w:lineRule="auto"/>
      </w:pPr>
      <w:r w:rsidRPr="00C652B7">
        <w:lastRenderedPageBreak/>
        <w:t xml:space="preserve">Mosher, C. J., Miethe, T. D., &amp; Hart, T. C. (2011). </w:t>
      </w:r>
      <w:r w:rsidRPr="00C652B7">
        <w:rPr>
          <w:i/>
          <w:iCs/>
        </w:rPr>
        <w:t>The mismeasure of crime</w:t>
      </w:r>
      <w:r w:rsidRPr="00C652B7">
        <w:t xml:space="preserve"> (2nd ed.). SAGE Publications. </w:t>
      </w:r>
      <w:hyperlink r:id="rId41" w:history="1">
        <w:r w:rsidRPr="00271A47">
          <w:rPr>
            <w:rStyle w:val="Hyperlink"/>
          </w:rPr>
          <w:t>https://doi.org/10.4135/9781483349381</w:t>
        </w:r>
      </w:hyperlink>
      <w:r>
        <w:t xml:space="preserve"> </w:t>
      </w:r>
    </w:p>
    <w:p w14:paraId="1FEF3808" w14:textId="77777777" w:rsidR="00C652B7" w:rsidRPr="00C652B7" w:rsidRDefault="00C652B7" w:rsidP="00837046">
      <w:pPr>
        <w:spacing w:line="480" w:lineRule="auto"/>
      </w:pPr>
    </w:p>
    <w:p w14:paraId="37454547" w14:textId="315E0DEE" w:rsidR="00C652B7" w:rsidRPr="00C652B7" w:rsidRDefault="00C652B7" w:rsidP="00837046">
      <w:pPr>
        <w:spacing w:line="480" w:lineRule="auto"/>
      </w:pPr>
      <w:r w:rsidRPr="00C652B7">
        <w:t xml:space="preserve">Natapoff, A. (2018). </w:t>
      </w:r>
      <w:r w:rsidRPr="00C652B7">
        <w:rPr>
          <w:i/>
          <w:iCs/>
        </w:rPr>
        <w:t>Punishment without crime: How our massive misdemeanor system traps the innocent and makes America more unequal</w:t>
      </w:r>
      <w:r w:rsidRPr="00C652B7">
        <w:t xml:space="preserve">. Basic Books. </w:t>
      </w:r>
      <w:hyperlink r:id="rId42" w:history="1">
        <w:r w:rsidRPr="00271A47">
          <w:rPr>
            <w:rStyle w:val="Hyperlink"/>
          </w:rPr>
          <w:t>https://www.basicbooks.com/titles/alexandra-natapoff/punishment-without-crime/9780465093809/</w:t>
        </w:r>
      </w:hyperlink>
      <w:r>
        <w:t xml:space="preserve"> </w:t>
      </w:r>
    </w:p>
    <w:p w14:paraId="777F7B5F" w14:textId="77777777" w:rsidR="00C652B7" w:rsidRPr="00C652B7" w:rsidRDefault="00C652B7" w:rsidP="00837046">
      <w:pPr>
        <w:spacing w:line="480" w:lineRule="auto"/>
      </w:pPr>
    </w:p>
    <w:p w14:paraId="70ACEFC2" w14:textId="1E0340F0" w:rsidR="00C652B7" w:rsidRPr="00C652B7" w:rsidRDefault="00C652B7" w:rsidP="00837046">
      <w:pPr>
        <w:spacing w:line="480" w:lineRule="auto"/>
      </w:pPr>
      <w:r w:rsidRPr="00C652B7">
        <w:t xml:space="preserve">O’Hear, M. M. (2020). Violent crime and media coverage in one city: A statistical snapshot. </w:t>
      </w:r>
      <w:r w:rsidRPr="00C652B7">
        <w:rPr>
          <w:i/>
          <w:iCs/>
        </w:rPr>
        <w:t>Marquette Law Review, 103</w:t>
      </w:r>
      <w:r w:rsidRPr="00C652B7">
        <w:t xml:space="preserve">(3), 1007–1034. </w:t>
      </w:r>
      <w:hyperlink r:id="rId43" w:history="1">
        <w:r w:rsidRPr="00271A47">
          <w:rPr>
            <w:rStyle w:val="Hyperlink"/>
          </w:rPr>
          <w:t>https://scholarship.law.marquette.edu/mulr/vol103/iss3/14/</w:t>
        </w:r>
      </w:hyperlink>
      <w:r>
        <w:t xml:space="preserve"> </w:t>
      </w:r>
    </w:p>
    <w:p w14:paraId="3576D63F" w14:textId="77777777" w:rsidR="00C652B7" w:rsidRPr="00C652B7" w:rsidRDefault="00C652B7" w:rsidP="00837046">
      <w:pPr>
        <w:spacing w:line="480" w:lineRule="auto"/>
      </w:pPr>
    </w:p>
    <w:p w14:paraId="2B05F09A" w14:textId="7E6189D6" w:rsidR="00C652B7" w:rsidRPr="00C652B7" w:rsidRDefault="00C652B7" w:rsidP="00837046">
      <w:pPr>
        <w:spacing w:line="480" w:lineRule="auto"/>
      </w:pPr>
      <w:r w:rsidRPr="00C652B7">
        <w:t xml:space="preserve">Pager, D. (2003). The mark of a criminal record. </w:t>
      </w:r>
      <w:r w:rsidRPr="00C652B7">
        <w:rPr>
          <w:i/>
          <w:iCs/>
        </w:rPr>
        <w:t>American Journal of Sociology, 108</w:t>
      </w:r>
      <w:r w:rsidRPr="00C652B7">
        <w:t xml:space="preserve">(5), 937–975. </w:t>
      </w:r>
      <w:hyperlink r:id="rId44" w:history="1">
        <w:r w:rsidRPr="00271A47">
          <w:rPr>
            <w:rStyle w:val="Hyperlink"/>
          </w:rPr>
          <w:t>https://doi.org/10.1086/374403</w:t>
        </w:r>
      </w:hyperlink>
      <w:r>
        <w:t xml:space="preserve"> </w:t>
      </w:r>
    </w:p>
    <w:p w14:paraId="1DEC02E3" w14:textId="77777777" w:rsidR="00C652B7" w:rsidRPr="00C652B7" w:rsidRDefault="00C652B7" w:rsidP="00837046">
      <w:pPr>
        <w:spacing w:line="480" w:lineRule="auto"/>
      </w:pPr>
    </w:p>
    <w:p w14:paraId="02378820" w14:textId="7BB04B2E" w:rsidR="00C652B7" w:rsidRPr="00C652B7" w:rsidRDefault="00C652B7" w:rsidP="00837046">
      <w:pPr>
        <w:spacing w:line="480" w:lineRule="auto"/>
      </w:pPr>
      <w:r w:rsidRPr="00C652B7">
        <w:t xml:space="preserve">Personal Responsibility and Work Opportunity Reconciliation Act of 1996, Pub. L. No. 104-193, § 115, 110 Stat. 2105, 2180–2181 (1996). </w:t>
      </w:r>
      <w:hyperlink r:id="rId45" w:history="1">
        <w:r w:rsidRPr="00271A47">
          <w:rPr>
            <w:rStyle w:val="Hyperlink"/>
          </w:rPr>
          <w:t>https://www.congress.gov/104/plaws/publ193/PLAW-104publ193.pdf</w:t>
        </w:r>
      </w:hyperlink>
      <w:r>
        <w:t xml:space="preserve"> </w:t>
      </w:r>
    </w:p>
    <w:p w14:paraId="276DD5F2" w14:textId="77777777" w:rsidR="00C652B7" w:rsidRPr="00C652B7" w:rsidRDefault="00C652B7" w:rsidP="00837046">
      <w:pPr>
        <w:spacing w:line="480" w:lineRule="auto"/>
      </w:pPr>
    </w:p>
    <w:p w14:paraId="3BB55FBC" w14:textId="37B054E4" w:rsidR="00C652B7" w:rsidRPr="00C652B7" w:rsidRDefault="00C652B7" w:rsidP="00837046">
      <w:pPr>
        <w:spacing w:line="480" w:lineRule="auto"/>
      </w:pPr>
      <w:r w:rsidRPr="00C652B7">
        <w:t xml:space="preserve">Robinson, P. H., Gaeta, T., Majarian, M., Schultz, M., &amp; Weck, D. (2010). The modern irrationalities of American criminal codes: An empirical study of offense grading. </w:t>
      </w:r>
      <w:r w:rsidRPr="00C652B7">
        <w:rPr>
          <w:i/>
          <w:iCs/>
        </w:rPr>
        <w:t xml:space="preserve">Journal of Criminal Law and </w:t>
      </w:r>
      <w:r w:rsidRPr="00C652B7">
        <w:rPr>
          <w:i/>
          <w:iCs/>
        </w:rPr>
        <w:lastRenderedPageBreak/>
        <w:t>Criminology, 100</w:t>
      </w:r>
      <w:r w:rsidRPr="00C652B7">
        <w:t xml:space="preserve">(3), 709–764. </w:t>
      </w:r>
      <w:hyperlink r:id="rId46" w:history="1">
        <w:r w:rsidRPr="00271A47">
          <w:rPr>
            <w:rStyle w:val="Hyperlink"/>
          </w:rPr>
          <w:t>https://scholarlycommons.law.northwestern.edu/jclc/vol100/iss3/5/</w:t>
        </w:r>
      </w:hyperlink>
      <w:r>
        <w:t xml:space="preserve"> </w:t>
      </w:r>
    </w:p>
    <w:p w14:paraId="38269054" w14:textId="77777777" w:rsidR="00C652B7" w:rsidRPr="00C652B7" w:rsidRDefault="00C652B7" w:rsidP="00837046">
      <w:pPr>
        <w:spacing w:line="480" w:lineRule="auto"/>
      </w:pPr>
    </w:p>
    <w:p w14:paraId="3A7BC8F9" w14:textId="7ABF9EA8" w:rsidR="00C652B7" w:rsidRPr="00C652B7" w:rsidRDefault="00C652B7" w:rsidP="00837046">
      <w:pPr>
        <w:spacing w:line="480" w:lineRule="auto"/>
      </w:pPr>
      <w:r w:rsidRPr="00C652B7">
        <w:t xml:space="preserve">Rosenmerkel, S., Durose, M. R., &amp; Farole, D. J., Jr. (2009). </w:t>
      </w:r>
      <w:r w:rsidRPr="00C652B7">
        <w:rPr>
          <w:i/>
          <w:iCs/>
        </w:rPr>
        <w:t xml:space="preserve">Felony sentences in state courts, 2006—Statistical tables </w:t>
      </w:r>
      <w:r w:rsidRPr="00C652B7">
        <w:t xml:space="preserve">(NCJ No. 226846). Bureau of Justice Statistics. </w:t>
      </w:r>
      <w:hyperlink r:id="rId47" w:history="1">
        <w:r w:rsidRPr="00271A47">
          <w:rPr>
            <w:rStyle w:val="Hyperlink"/>
          </w:rPr>
          <w:t>https://bjs.ojp.gov/library/publications/felony-sentences-state-courts-2006-statistical-tables-standard-error-tables</w:t>
        </w:r>
      </w:hyperlink>
      <w:r>
        <w:t xml:space="preserve"> </w:t>
      </w:r>
    </w:p>
    <w:p w14:paraId="39D9C5DC" w14:textId="77777777" w:rsidR="00C652B7" w:rsidRPr="00C652B7" w:rsidRDefault="00C652B7" w:rsidP="00837046">
      <w:pPr>
        <w:spacing w:line="480" w:lineRule="auto"/>
      </w:pPr>
    </w:p>
    <w:p w14:paraId="728854BF" w14:textId="06644A32" w:rsidR="00C652B7" w:rsidRPr="00C652B7" w:rsidRDefault="00C652B7" w:rsidP="00837046">
      <w:pPr>
        <w:spacing w:line="480" w:lineRule="auto"/>
      </w:pPr>
      <w:r w:rsidRPr="00C652B7">
        <w:t xml:space="preserve">Sheley, J. F., &amp; Ashkins, C. D. (1981). Crime, crime news, and crime views. </w:t>
      </w:r>
      <w:r w:rsidRPr="00C652B7">
        <w:rPr>
          <w:i/>
          <w:iCs/>
        </w:rPr>
        <w:t>Public Opinion Quarterly, 45</w:t>
      </w:r>
      <w:r w:rsidRPr="00C652B7">
        <w:t xml:space="preserve">(4), 492–506. </w:t>
      </w:r>
      <w:hyperlink r:id="rId48" w:history="1">
        <w:r w:rsidRPr="00271A47">
          <w:rPr>
            <w:rStyle w:val="Hyperlink"/>
          </w:rPr>
          <w:t>https://doi.org/10.1086/268684</w:t>
        </w:r>
      </w:hyperlink>
      <w:r>
        <w:t xml:space="preserve"> </w:t>
      </w:r>
    </w:p>
    <w:p w14:paraId="73281CB1" w14:textId="77777777" w:rsidR="00C652B7" w:rsidRPr="00C652B7" w:rsidRDefault="00C652B7" w:rsidP="00837046">
      <w:pPr>
        <w:spacing w:line="480" w:lineRule="auto"/>
      </w:pPr>
    </w:p>
    <w:p w14:paraId="64E1B580" w14:textId="3AF997A5" w:rsidR="00C652B7" w:rsidRPr="00C652B7" w:rsidRDefault="00C652B7" w:rsidP="00837046">
      <w:pPr>
        <w:spacing w:line="480" w:lineRule="auto"/>
      </w:pPr>
      <w:r w:rsidRPr="00C652B7">
        <w:t xml:space="preserve">von Hirsch, A. (1976). </w:t>
      </w:r>
      <w:r w:rsidRPr="00C652B7">
        <w:rPr>
          <w:i/>
          <w:iCs/>
        </w:rPr>
        <w:t>Doing justice: The choice of punishments</w:t>
      </w:r>
      <w:r w:rsidRPr="00C652B7">
        <w:t xml:space="preserve">. Hill and Wang. </w:t>
      </w:r>
      <w:hyperlink r:id="rId49" w:history="1">
        <w:r w:rsidRPr="00271A47">
          <w:rPr>
            <w:rStyle w:val="Hyperlink"/>
          </w:rPr>
          <w:t>https://archive.org/details/doingjusticechoi0000vonh</w:t>
        </w:r>
      </w:hyperlink>
      <w:r>
        <w:t xml:space="preserve"> </w:t>
      </w:r>
    </w:p>
    <w:p w14:paraId="41FCCB70" w14:textId="77777777" w:rsidR="00C652B7" w:rsidRPr="00C652B7" w:rsidRDefault="00C652B7" w:rsidP="00837046">
      <w:pPr>
        <w:spacing w:line="480" w:lineRule="auto"/>
      </w:pPr>
    </w:p>
    <w:p w14:paraId="3D1F0D69" w14:textId="2C3E738A" w:rsidR="00C652B7" w:rsidRDefault="00C652B7" w:rsidP="00837046">
      <w:pPr>
        <w:spacing w:line="480" w:lineRule="auto"/>
      </w:pPr>
      <w:r w:rsidRPr="00C652B7">
        <w:t xml:space="preserve">Wilson, J. Q. (1968). </w:t>
      </w:r>
      <w:r w:rsidRPr="00C652B7">
        <w:rPr>
          <w:i/>
          <w:iCs/>
        </w:rPr>
        <w:t>Varieties of police behavior: The management of law and order in eight communities</w:t>
      </w:r>
      <w:r w:rsidRPr="00C652B7">
        <w:t xml:space="preserve">. Harvard University Press. </w:t>
      </w:r>
      <w:hyperlink r:id="rId50" w:history="1">
        <w:r w:rsidRPr="00271A47">
          <w:rPr>
            <w:rStyle w:val="Hyperlink"/>
          </w:rPr>
          <w:t>https://doi.org/10.4159/9780674045200</w:t>
        </w:r>
      </w:hyperlink>
    </w:p>
    <w:p w14:paraId="624427BE" w14:textId="297308A3" w:rsidR="00AE6EB4" w:rsidRDefault="00F243E8" w:rsidP="00837046">
      <w:pPr>
        <w:pStyle w:val="Heading2"/>
        <w:spacing w:line="480" w:lineRule="auto"/>
      </w:pPr>
      <w:r>
        <w:t xml:space="preserve">Module 5: </w:t>
      </w:r>
      <w:r w:rsidR="00AE6EB4" w:rsidRPr="00AE6EB4">
        <w:t xml:space="preserve">The </w:t>
      </w:r>
      <w:r w:rsidR="00FE3A2A" w:rsidRPr="00AE6EB4">
        <w:t>Grid</w:t>
      </w:r>
      <w:r w:rsidR="00FE3A2A">
        <w:t xml:space="preserve"> or</w:t>
      </w:r>
      <w:r w:rsidR="00AE6EB4" w:rsidRPr="00AE6EB4">
        <w:t xml:space="preserve"> How a Sentence Becomes a Number</w:t>
      </w:r>
    </w:p>
    <w:p w14:paraId="4451897F" w14:textId="7A5F328A" w:rsidR="00AE6EB4" w:rsidRPr="00AE6EB4" w:rsidRDefault="00AE6EB4" w:rsidP="00837046">
      <w:pPr>
        <w:pStyle w:val="Heading3"/>
        <w:spacing w:line="480" w:lineRule="auto"/>
      </w:pPr>
      <w:r>
        <w:t>Introduction</w:t>
      </w:r>
    </w:p>
    <w:p w14:paraId="6BB58128" w14:textId="77777777" w:rsidR="00AE6EB4" w:rsidRPr="00AE6EB4" w:rsidRDefault="00AE6EB4" w:rsidP="00837046">
      <w:pPr>
        <w:spacing w:line="480" w:lineRule="auto"/>
        <w:rPr>
          <w:rFonts w:eastAsiaTheme="majorEastAsia"/>
        </w:rPr>
      </w:pPr>
      <w:r w:rsidRPr="00AE6EB4">
        <w:rPr>
          <w:rFonts w:eastAsiaTheme="majorEastAsia"/>
        </w:rPr>
        <w:t xml:space="preserve">A felony sentence can look like an individualized judgment. A judge stands in a courtroom, the defendant stands before the court, and a sentence is pronounced. That scene can make the </w:t>
      </w:r>
      <w:r w:rsidRPr="00AE6EB4">
        <w:rPr>
          <w:rFonts w:eastAsiaTheme="majorEastAsia"/>
        </w:rPr>
        <w:lastRenderedPageBreak/>
        <w:t>number appear personal, as though it came directly from the facts of the case and the discretion of the court.</w:t>
      </w:r>
    </w:p>
    <w:p w14:paraId="2D28D345" w14:textId="294EF41C" w:rsidR="00AE6EB4" w:rsidRPr="00AE6EB4" w:rsidRDefault="00AE6EB4" w:rsidP="00837046">
      <w:pPr>
        <w:spacing w:line="480" w:lineRule="auto"/>
        <w:rPr>
          <w:rFonts w:eastAsiaTheme="majorEastAsia"/>
        </w:rPr>
      </w:pPr>
      <w:r w:rsidRPr="00AE6EB4">
        <w:rPr>
          <w:rFonts w:eastAsiaTheme="majorEastAsia"/>
        </w:rPr>
        <w:t xml:space="preserve">That reading is too </w:t>
      </w:r>
      <w:r w:rsidR="008B4902">
        <w:rPr>
          <w:rFonts w:eastAsiaTheme="majorEastAsia"/>
        </w:rPr>
        <w:t>hasty</w:t>
      </w:r>
      <w:r w:rsidRPr="00AE6EB4">
        <w:rPr>
          <w:rFonts w:eastAsiaTheme="majorEastAsia"/>
        </w:rPr>
        <w:t>. In Minnesota felony sentencing, the number is often produced by a legal machine: the sentencing grid. The grid does not eliminate judgment, but it structures it. It converts two inputs, offense severity and criminal-history score, into a presumptive sentence. Once those inputs are known, the expected sentence is no longer a mystery. It is a cell.</w:t>
      </w:r>
    </w:p>
    <w:p w14:paraId="123DBBBC" w14:textId="77777777" w:rsidR="00AE6EB4" w:rsidRPr="00AE6EB4" w:rsidRDefault="00AE6EB4" w:rsidP="00837046">
      <w:pPr>
        <w:spacing w:line="480" w:lineRule="auto"/>
        <w:rPr>
          <w:rFonts w:eastAsiaTheme="majorEastAsia"/>
        </w:rPr>
      </w:pPr>
      <w:r w:rsidRPr="00AE6EB4">
        <w:rPr>
          <w:rFonts w:eastAsiaTheme="majorEastAsia"/>
        </w:rPr>
        <w:t>This module explains how Minnesota’s sentencing grid turns a conviction into a number of months. It also explains why the severity column in the dataset is more complicated than it first appears. The field looks like one variable. It is actually four coding systems stacked into one column: the Standard Grid, the Sex Offender Grid, the Drug Offender Grid, and a small set of off-grid first-degree murder records. The mistake is understandable. The correction is essential.</w:t>
      </w:r>
    </w:p>
    <w:p w14:paraId="6557E194" w14:textId="77777777" w:rsidR="00AE6EB4" w:rsidRPr="00AE6EB4" w:rsidRDefault="00AE6EB4" w:rsidP="00837046">
      <w:pPr>
        <w:pStyle w:val="Heading3"/>
        <w:spacing w:line="480" w:lineRule="auto"/>
      </w:pPr>
      <w:r w:rsidRPr="00AE6EB4">
        <w:t>The Promise of the Grid</w:t>
      </w:r>
    </w:p>
    <w:p w14:paraId="2FE4BAF1" w14:textId="77777777" w:rsidR="007821F1" w:rsidRDefault="007821F1" w:rsidP="00837046">
      <w:pPr>
        <w:spacing w:line="480" w:lineRule="auto"/>
        <w:rPr>
          <w:rFonts w:eastAsiaTheme="majorEastAsia"/>
        </w:rPr>
      </w:pPr>
      <w:r w:rsidRPr="007821F1">
        <w:rPr>
          <w:rFonts w:eastAsiaTheme="majorEastAsia"/>
        </w:rPr>
        <w:t>Before 1980, Minnesota felony sentencing gave judges broad discretion, while the parole board played a substantial role in determining how long a person actually remained in prison. Two people convicted of the same offense, with similar records, could leave court with very different futures. Reformers identified that problem as sentencing disparity: a measured difference in sentencing outcomes among similarly situated cases. By the late 1970s, disparity had become one of the central critiques of American sentencing (Frase, 2005, pp. 132, 139, 142).</w:t>
      </w:r>
      <w:r>
        <w:rPr>
          <w:rFonts w:eastAsiaTheme="majorEastAsia"/>
        </w:rPr>
        <w:t xml:space="preserve"> </w:t>
      </w:r>
    </w:p>
    <w:p w14:paraId="7E31E6E3" w14:textId="5C0466B3" w:rsidR="00AE6EB4" w:rsidRPr="00AE6EB4" w:rsidRDefault="009F68E6" w:rsidP="00837046">
      <w:pPr>
        <w:spacing w:line="480" w:lineRule="auto"/>
        <w:rPr>
          <w:rFonts w:eastAsiaTheme="majorEastAsia"/>
        </w:rPr>
      </w:pPr>
      <w:r w:rsidRPr="009F68E6">
        <w:rPr>
          <w:rFonts w:eastAsiaTheme="majorEastAsia"/>
        </w:rPr>
        <w:t>Minnesota’s response became nationally significant. In 1978, the Legislature created the Minnesota Sentencing Guidelines Commission, and on May 1, 1980, Minnesota became the first state to implement presumptive sentencing guidelines (Frase, 2005, pp. 131, 143, 150; Minn. Stat. § 244.09, subds. 1, 12, 2025).</w:t>
      </w:r>
      <w:r>
        <w:rPr>
          <w:rFonts w:eastAsiaTheme="majorEastAsia"/>
        </w:rPr>
        <w:t xml:space="preserve"> </w:t>
      </w:r>
      <w:r w:rsidR="00AE6EB4" w:rsidRPr="00AE6EB4">
        <w:rPr>
          <w:rFonts w:eastAsiaTheme="majorEastAsia"/>
        </w:rPr>
        <w:t xml:space="preserve">The word presumptive matters. </w:t>
      </w:r>
      <w:r w:rsidR="00B71CEA" w:rsidRPr="00B71CEA">
        <w:rPr>
          <w:rFonts w:eastAsiaTheme="majorEastAsia"/>
        </w:rPr>
        <w:t xml:space="preserve">These were not merely advisory </w:t>
      </w:r>
      <w:r w:rsidR="00B71CEA" w:rsidRPr="00B71CEA">
        <w:rPr>
          <w:rFonts w:eastAsiaTheme="majorEastAsia"/>
        </w:rPr>
        <w:lastRenderedPageBreak/>
        <w:t>suggestions for judges to consult. The legal structure was more precise: although Minnesota law describes the Sentencing Guidelines as “advisory,” the statute also requires the district court to follow guideline procedures, and the Guidelines establish presumptive fixed sentences keyed to offense and offender characteristics (Minn. Stat. § 244.09, subd. 5, 2025). Within that framework, the presumptive sentence is treated as the proper sentence for the ordinary case: the Guidelines deem presumptive sentences appropriate for covered felonies and permit departures only when substantial and compelling circumstances can be identified and articulated (Minnesota Sentencing Guidelines Commission [MSGC], 2024, § 1.A.6). The rule-like character of the system becomes clearest at the point of departure: the court must pronounce the applicable disposition and a sentence within the applicable prison range unless identifiable, substantial, and compelling circumstances support a departure, and any deviation requires written findings explaining the departure (Minn. Stat. § 244.10, subd. 2, 2025; MSGC, 2024, § 2.D.1). Frase describes the same structure historically: the Guidelines specified the sentence “presumed to be correct” for each offense-severity and criminal-history combination, and judges could depart only by citing substantial and compelling circumstances (Frase, 2005, p. 138).</w:t>
      </w:r>
    </w:p>
    <w:p w14:paraId="5B73985C" w14:textId="77777777" w:rsidR="00AE6EB4" w:rsidRPr="00AE6EB4" w:rsidRDefault="00AE6EB4" w:rsidP="00837046">
      <w:pPr>
        <w:spacing w:line="480" w:lineRule="auto"/>
        <w:rPr>
          <w:rFonts w:eastAsiaTheme="majorEastAsia"/>
        </w:rPr>
      </w:pPr>
      <w:r w:rsidRPr="00AE6EB4">
        <w:rPr>
          <w:rFonts w:eastAsiaTheme="majorEastAsia"/>
        </w:rPr>
        <w:t>The statutory purpose was explicit. Minnesota law directs the Commission to establish guidelines that are “neutral with respect to the race, gender, social, or economic status of convicted felons” (Minn. Stat. § 244.09, subd. 5). The grid is the institutional mechanism built to serve that promise. It translates a felony conviction and a criminal-history score into a presumptive sentencing outcome.</w:t>
      </w:r>
    </w:p>
    <w:p w14:paraId="7CA8F209" w14:textId="77777777" w:rsidR="00AE6EB4" w:rsidRPr="00AE6EB4" w:rsidRDefault="00AE6EB4" w:rsidP="00837046">
      <w:pPr>
        <w:spacing w:line="480" w:lineRule="auto"/>
        <w:rPr>
          <w:rFonts w:eastAsiaTheme="majorEastAsia"/>
        </w:rPr>
      </w:pPr>
      <w:r w:rsidRPr="00AE6EB4">
        <w:rPr>
          <w:rFonts w:eastAsiaTheme="majorEastAsia"/>
        </w:rPr>
        <w:t>That promise should be read carefully. The grid does not make sentencing simple. It does not remove all discretion from the system. It does not explain every sentencing outcome in the dataset. What it does is structure the typical case. For the records in this dataset, the grid is the central machine through which presumptive sentence duration becomes visible.</w:t>
      </w:r>
    </w:p>
    <w:p w14:paraId="785A43B2" w14:textId="77777777" w:rsidR="00AE6EB4" w:rsidRPr="00AE6EB4" w:rsidRDefault="00AE6EB4" w:rsidP="00837046">
      <w:pPr>
        <w:pStyle w:val="Heading3"/>
        <w:spacing w:line="480" w:lineRule="auto"/>
      </w:pPr>
      <w:r w:rsidRPr="00AE6EB4">
        <w:lastRenderedPageBreak/>
        <w:t>The Machine Itself</w:t>
      </w:r>
    </w:p>
    <w:p w14:paraId="39E3EA64" w14:textId="006F19C1" w:rsidR="00AE6EB4" w:rsidRPr="00AE6EB4" w:rsidRDefault="00216AEA" w:rsidP="00837046">
      <w:pPr>
        <w:spacing w:line="480" w:lineRule="auto"/>
        <w:rPr>
          <w:rFonts w:eastAsiaTheme="majorEastAsia"/>
        </w:rPr>
      </w:pPr>
      <w:r>
        <w:rPr>
          <w:rFonts w:eastAsiaTheme="majorEastAsia"/>
        </w:rPr>
        <w:t>Two axes dominate the differentiation between sentences in the grid system</w:t>
      </w:r>
      <w:r w:rsidR="00B15517">
        <w:rPr>
          <w:rFonts w:eastAsiaTheme="majorEastAsia"/>
        </w:rPr>
        <w:t xml:space="preserve"> (data)</w:t>
      </w:r>
      <w:r>
        <w:rPr>
          <w:rFonts w:eastAsiaTheme="majorEastAsia"/>
        </w:rPr>
        <w:t>.</w:t>
      </w:r>
    </w:p>
    <w:p w14:paraId="77A3D95D" w14:textId="77777777" w:rsidR="00AE6EB4" w:rsidRPr="00AE6EB4" w:rsidRDefault="00AE6EB4" w:rsidP="00837046">
      <w:pPr>
        <w:spacing w:line="480" w:lineRule="auto"/>
        <w:rPr>
          <w:rFonts w:eastAsiaTheme="majorEastAsia"/>
        </w:rPr>
      </w:pPr>
      <w:r w:rsidRPr="00AE6EB4">
        <w:rPr>
          <w:rFonts w:eastAsiaTheme="majorEastAsia"/>
        </w:rPr>
        <w:t>The first axis is offense severity. Every felony offense covered by the guidelines is assigned a severity level by the Minnesota Sentencing Guidelines Commission. The severity level attaches to the conviction offense, meaning the offense of conviction, not necessarily the original charge filed at the beginning of the case (Minnesota Sentencing Guidelines Commission [MSGC], 2019, § 2.A.1). That distinction matters because the dataset sits downstream from charging, plea bargaining, dismissal, amendment, conviction, and sentencing. A severity level records where the case landed at sentencing. It does not reconstruct every earlier stage.</w:t>
      </w:r>
    </w:p>
    <w:p w14:paraId="63D6B939" w14:textId="50669D8D" w:rsidR="00AE6EB4" w:rsidRPr="00AE6EB4" w:rsidRDefault="00AE6EB4" w:rsidP="00837046">
      <w:pPr>
        <w:spacing w:line="480" w:lineRule="auto"/>
        <w:rPr>
          <w:rFonts w:eastAsiaTheme="majorEastAsia"/>
        </w:rPr>
      </w:pPr>
      <w:r w:rsidRPr="00AE6EB4">
        <w:rPr>
          <w:rFonts w:eastAsiaTheme="majorEastAsia"/>
        </w:rPr>
        <w:t xml:space="preserve">The second axis is criminal-history score. Criminal-history score is a point total built primarily from prior felony convictions, with the grid columns running from zero to six or more (MSGC, 2019, § 4.A). </w:t>
      </w:r>
      <w:r w:rsidR="00B15517">
        <w:rPr>
          <w:rFonts w:eastAsiaTheme="majorEastAsia"/>
        </w:rPr>
        <w:t>From the perspective of the dataset, o</w:t>
      </w:r>
      <w:r w:rsidRPr="00AE6EB4">
        <w:rPr>
          <w:rFonts w:eastAsiaTheme="majorEastAsia"/>
        </w:rPr>
        <w:t xml:space="preserve">nce the severity row and criminal-history column are known, </w:t>
      </w:r>
      <w:r w:rsidR="00B15517">
        <w:rPr>
          <w:rFonts w:eastAsiaTheme="majorEastAsia"/>
        </w:rPr>
        <w:t xml:space="preserve">in most cases the standard distribution of </w:t>
      </w:r>
      <w:r w:rsidR="00B15517">
        <w:rPr>
          <w:rFonts w:eastAsiaTheme="majorEastAsia"/>
          <w:i/>
          <w:iCs/>
        </w:rPr>
        <w:t>time</w:t>
      </w:r>
      <w:r w:rsidR="00B15517">
        <w:rPr>
          <w:rFonts w:eastAsiaTheme="majorEastAsia"/>
        </w:rPr>
        <w:t xml:space="preserve"> collapses drastically</w:t>
      </w:r>
      <w:r w:rsidR="00032AFB">
        <w:rPr>
          <w:rFonts w:eastAsiaTheme="majorEastAsia"/>
        </w:rPr>
        <w:t xml:space="preserve"> (data)</w:t>
      </w:r>
      <w:r w:rsidRPr="00AE6EB4">
        <w:rPr>
          <w:rFonts w:eastAsiaTheme="majorEastAsia"/>
        </w:rPr>
        <w:t>.</w:t>
      </w:r>
    </w:p>
    <w:p w14:paraId="349286EF" w14:textId="54437F9A" w:rsidR="00032AFB" w:rsidRDefault="00032AFB" w:rsidP="00837046">
      <w:pPr>
        <w:spacing w:line="480" w:lineRule="auto"/>
        <w:rPr>
          <w:rFonts w:eastAsiaTheme="majorEastAsia"/>
        </w:rPr>
      </w:pPr>
      <w:r w:rsidRPr="00032AFB">
        <w:rPr>
          <w:rFonts w:eastAsiaTheme="majorEastAsia"/>
        </w:rPr>
        <w:t>Each cell answers two questions at once. The first is disposition: whether the sentence is presumed to be executed or stayed. Under the Minnesota Sentencing Guidelines, a presumptive disposition is the recommendation for either commitment or a stayed sentence; cells outside the shaded area of the</w:t>
      </w:r>
      <w:r>
        <w:rPr>
          <w:rFonts w:eastAsiaTheme="majorEastAsia"/>
        </w:rPr>
        <w:t xml:space="preserve"> Minnesota’s</w:t>
      </w:r>
      <w:r w:rsidRPr="00032AFB">
        <w:rPr>
          <w:rFonts w:eastAsiaTheme="majorEastAsia"/>
        </w:rPr>
        <w:t xml:space="preserve"> grids are presumptive commitments, while cells within the shaded area are presumptive stayed sentences (Minnesota Sentencing Guidelines Commission [MSGC], 2024, § 1.B.13). A stayed sentence may take the form of a stay of execution, in which the prison sentence is pronounced but its execution is stayed, or a stay of imposition, in which imposition of the sentence is stayed to a later date (MSGC, 2024, § 3.A.1). When a court stays imposition or execution, Minnesota law permits the court to place the defendant on probation, with or without supervision, and on conditions prescribed by the court (Minn. Stat. § 609.135, subd. 1).</w:t>
      </w:r>
    </w:p>
    <w:p w14:paraId="117DCF6E" w14:textId="5DA24088" w:rsidR="00AE6EB4" w:rsidRPr="00AE6EB4" w:rsidRDefault="00AE6EB4" w:rsidP="00837046">
      <w:pPr>
        <w:spacing w:line="480" w:lineRule="auto"/>
        <w:rPr>
          <w:rFonts w:eastAsiaTheme="majorEastAsia"/>
        </w:rPr>
      </w:pPr>
      <w:r w:rsidRPr="00AE6EB4">
        <w:rPr>
          <w:rFonts w:eastAsiaTheme="majorEastAsia"/>
        </w:rPr>
        <w:lastRenderedPageBreak/>
        <w:t>The second question is duration: how many months the sentence carries. For prison cells, the grid supplies a fixed presumptive duration and a permissible range around that duration. Minnesota law allows a judge to sentence within a range from 15 percent below to 20 percent above the fixed duration without formally departing (Minn. Stat. § 244.09, subd. 5(2)). The asymmetry matters. The authorized range is wider upward than downward.</w:t>
      </w:r>
    </w:p>
    <w:p w14:paraId="228B607E" w14:textId="77777777" w:rsidR="00AE6EB4" w:rsidRPr="00AE6EB4" w:rsidRDefault="00AE6EB4" w:rsidP="00837046">
      <w:pPr>
        <w:spacing w:line="480" w:lineRule="auto"/>
        <w:rPr>
          <w:rFonts w:eastAsiaTheme="majorEastAsia"/>
        </w:rPr>
      </w:pPr>
      <w:r w:rsidRPr="00AE6EB4">
        <w:rPr>
          <w:rFonts w:eastAsiaTheme="majorEastAsia"/>
        </w:rPr>
        <w:t>A judge who wishes to go outside the presumptive sentence must identify “substantial and compelling circumstances” and state the reasons in writing (Minn. Stat. § 244.10, subd. 2). Departures are therefore not invisible, casual adjustments. They are exceptions that require justification. For the typical case, the grid cell is the sentence.</w:t>
      </w:r>
    </w:p>
    <w:p w14:paraId="580177B8" w14:textId="72D30C2B" w:rsidR="00AE6EB4" w:rsidRPr="00AE6EB4" w:rsidRDefault="00AE6EB4" w:rsidP="00837046">
      <w:pPr>
        <w:spacing w:line="480" w:lineRule="auto"/>
        <w:rPr>
          <w:rFonts w:eastAsiaTheme="majorEastAsia"/>
        </w:rPr>
      </w:pPr>
      <w:r w:rsidRPr="00AE6EB4">
        <w:rPr>
          <w:rFonts w:eastAsiaTheme="majorEastAsia"/>
        </w:rPr>
        <w:t>The portable rule is this: time is the output of a table lookup. That fact predicts much of the shape of the dataset. It also explains why the severity field must be read before it is summarized.</w:t>
      </w:r>
    </w:p>
    <w:p w14:paraId="4B5AC5A7" w14:textId="77777777" w:rsidR="00AE6EB4" w:rsidRPr="00AE6EB4" w:rsidRDefault="00AE6EB4" w:rsidP="00837046">
      <w:pPr>
        <w:spacing w:line="480" w:lineRule="auto"/>
        <w:rPr>
          <w:rFonts w:eastAsiaTheme="majorEastAsia"/>
        </w:rPr>
      </w:pPr>
      <w:r w:rsidRPr="00AE6EB4">
        <w:rPr>
          <w:rFonts w:eastAsiaTheme="majorEastAsia"/>
        </w:rPr>
        <w:t>Here is a task a student could undertake with the Explorer to understand the lookup structure. The student should compare two hypothetical cases with the same offense severity but different criminal-history scores. This task was chosen because it isolates one axis of the grid while holding the other constant. What the student should notice is that the two cases remain on the same severity row but move into different criminal-history columns. What the task is meant to teach is that the presumptive sentence belongs to the cell, not to the offense alone.</w:t>
      </w:r>
    </w:p>
    <w:p w14:paraId="745D8283" w14:textId="77777777" w:rsidR="00AE6EB4" w:rsidRPr="00AE6EB4" w:rsidRDefault="00AE6EB4" w:rsidP="00837046">
      <w:pPr>
        <w:pStyle w:val="Heading3"/>
        <w:spacing w:line="480" w:lineRule="auto"/>
      </w:pPr>
      <w:r w:rsidRPr="00AE6EB4">
        <w:t>One Column, Four Languages</w:t>
      </w:r>
    </w:p>
    <w:p w14:paraId="4264DC8B" w14:textId="77777777" w:rsidR="00AE6EB4" w:rsidRPr="00AE6EB4" w:rsidRDefault="00AE6EB4" w:rsidP="00837046">
      <w:pPr>
        <w:spacing w:line="480" w:lineRule="auto"/>
        <w:rPr>
          <w:rFonts w:eastAsiaTheme="majorEastAsia"/>
        </w:rPr>
      </w:pPr>
      <w:r w:rsidRPr="00AE6EB4">
        <w:rPr>
          <w:rFonts w:eastAsiaTheme="majorEastAsia"/>
        </w:rPr>
        <w:t xml:space="preserve">If </w:t>
      </w:r>
      <w:r w:rsidRPr="00032AFB">
        <w:rPr>
          <w:rFonts w:eastAsiaTheme="majorEastAsia"/>
          <w:i/>
          <w:iCs/>
        </w:rPr>
        <w:t>time</w:t>
      </w:r>
      <w:r w:rsidRPr="00AE6EB4">
        <w:rPr>
          <w:rFonts w:eastAsiaTheme="majorEastAsia"/>
        </w:rPr>
        <w:t xml:space="preserve"> is the output of the lookup table, then offense severity is half of the lookup key. It is one of the most important fields in the dataset. It is also one of the easiest fields to misread.</w:t>
      </w:r>
    </w:p>
    <w:p w14:paraId="326D8B33" w14:textId="77777777" w:rsidR="00AE6EB4" w:rsidRPr="00AE6EB4" w:rsidRDefault="00AE6EB4" w:rsidP="00837046">
      <w:pPr>
        <w:spacing w:line="480" w:lineRule="auto"/>
        <w:rPr>
          <w:rFonts w:eastAsiaTheme="majorEastAsia"/>
        </w:rPr>
      </w:pPr>
      <w:r w:rsidRPr="00AE6EB4">
        <w:rPr>
          <w:rFonts w:eastAsiaTheme="majorEastAsia"/>
        </w:rPr>
        <w:lastRenderedPageBreak/>
        <w:t>At first glance, the severity column looks broken. It contains numbers from 1 to 11. It contains single letters from A through H. It contains two-digit codes in the fifties. It also contains the literal text “Murder 1” for 354 records.</w:t>
      </w:r>
    </w:p>
    <w:p w14:paraId="2F82010A" w14:textId="565AD620" w:rsidR="00AE6EB4" w:rsidRPr="00AE6EB4" w:rsidRDefault="00AE6EB4" w:rsidP="00837046">
      <w:pPr>
        <w:spacing w:line="480" w:lineRule="auto"/>
        <w:rPr>
          <w:rFonts w:eastAsiaTheme="majorEastAsia"/>
        </w:rPr>
      </w:pPr>
      <w:r w:rsidRPr="00AE6EB4">
        <w:rPr>
          <w:rFonts w:eastAsiaTheme="majorEastAsia"/>
        </w:rPr>
        <w:t>The column is not broken. It is</w:t>
      </w:r>
      <w:r w:rsidR="00224EB7">
        <w:rPr>
          <w:rFonts w:eastAsiaTheme="majorEastAsia"/>
        </w:rPr>
        <w:t xml:space="preserve"> living</w:t>
      </w:r>
      <w:r w:rsidRPr="00AE6EB4">
        <w:rPr>
          <w:rFonts w:eastAsiaTheme="majorEastAsia"/>
        </w:rPr>
        <w:t xml:space="preserve"> historical</w:t>
      </w:r>
      <w:r w:rsidR="00224EB7">
        <w:rPr>
          <w:rFonts w:eastAsiaTheme="majorEastAsia"/>
        </w:rPr>
        <w:t xml:space="preserve"> record</w:t>
      </w:r>
      <w:r w:rsidRPr="00AE6EB4">
        <w:rPr>
          <w:rFonts w:eastAsiaTheme="majorEastAsia"/>
        </w:rPr>
        <w:t>.</w:t>
      </w:r>
    </w:p>
    <w:p w14:paraId="296EAA7C" w14:textId="0F1A237D" w:rsidR="00AE6EB4" w:rsidRPr="00AE6EB4" w:rsidRDefault="00AE6EB4" w:rsidP="00837046">
      <w:pPr>
        <w:spacing w:line="480" w:lineRule="auto"/>
        <w:rPr>
          <w:rFonts w:eastAsiaTheme="majorEastAsia"/>
        </w:rPr>
      </w:pPr>
      <w:r w:rsidRPr="00AE6EB4">
        <w:rPr>
          <w:rFonts w:eastAsiaTheme="majorEastAsia"/>
        </w:rPr>
        <w:t>Administrative data often records the outputs of systems that changed over time without translating older records into a single modern scheme</w:t>
      </w:r>
      <w:r w:rsidR="00224EB7">
        <w:rPr>
          <w:rFonts w:eastAsiaTheme="majorEastAsia"/>
        </w:rPr>
        <w:t xml:space="preserve"> </w:t>
      </w:r>
      <w:r w:rsidR="00224EB7" w:rsidRPr="00224EB7">
        <w:rPr>
          <w:rFonts w:eastAsiaTheme="majorEastAsia"/>
        </w:rPr>
        <w:t>(Rothbard, 2013, p. 19)</w:t>
      </w:r>
      <w:r w:rsidRPr="00AE6EB4">
        <w:rPr>
          <w:rFonts w:eastAsiaTheme="majorEastAsia"/>
        </w:rPr>
        <w:t xml:space="preserve">. The severity column is not one clean severity scale. It is four coding regimes </w:t>
      </w:r>
      <w:r w:rsidR="00224EB7">
        <w:rPr>
          <w:rFonts w:eastAsiaTheme="majorEastAsia"/>
        </w:rPr>
        <w:t>stored</w:t>
      </w:r>
      <w:r w:rsidRPr="00AE6EB4">
        <w:rPr>
          <w:rFonts w:eastAsiaTheme="majorEastAsia"/>
        </w:rPr>
        <w:t xml:space="preserve"> in one field. Each regime corresponds to a real institutional structure in Minnesota sentencing.</w:t>
      </w:r>
    </w:p>
    <w:p w14:paraId="1BD5B2A2" w14:textId="77777777" w:rsidR="00224EB7" w:rsidRDefault="00224EB7" w:rsidP="00837046">
      <w:pPr>
        <w:spacing w:line="480" w:lineRule="auto"/>
        <w:rPr>
          <w:rFonts w:eastAsiaTheme="majorEastAsia"/>
        </w:rPr>
      </w:pPr>
      <w:r w:rsidRPr="00224EB7">
        <w:rPr>
          <w:rFonts w:eastAsiaTheme="majorEastAsia"/>
        </w:rPr>
        <w:t>The first habit is to pause when one column contains structurally different kinds of values. Numbers, letters, and text strings should not be averaged or ranked until the reader knows what system produced them. Rothbard (2013) makes the same methodological point in data-quality terms: administrative-data users must inspect frequency distributions, clarify variable definitions, and address changes in coding schemes before treating values as comparable across time or systems (pp. 6, 11–12, 18–19).</w:t>
      </w:r>
    </w:p>
    <w:p w14:paraId="2FBDF85F" w14:textId="630A43BE" w:rsidR="00AE6EB4" w:rsidRPr="00AE6EB4" w:rsidRDefault="00AE6EB4" w:rsidP="00837046">
      <w:pPr>
        <w:spacing w:line="480" w:lineRule="auto"/>
        <w:rPr>
          <w:rFonts w:eastAsiaTheme="majorEastAsia"/>
        </w:rPr>
      </w:pPr>
      <w:r w:rsidRPr="00AE6EB4">
        <w:rPr>
          <w:rFonts w:eastAsiaTheme="majorEastAsia"/>
        </w:rPr>
        <w:t>Here is a task a student could undertake with the Explorer to understand the four-family structure of the severity column. The student should clear all filters and view the distribution of the severity field. This task was chosen because the pattern is visible before any statistical model is needed. What the student should notice is that the column contains four distinct families: integers from 1 through 11, letters from A through H, fifty-series codes from 51 through 59, and “Murder 1.” What the task is meant to teach is that a variable can look singular while carrying multiple administrative histories.</w:t>
      </w:r>
    </w:p>
    <w:p w14:paraId="25EE3386" w14:textId="77777777" w:rsidR="00AE6EB4" w:rsidRPr="00AE6EB4" w:rsidRDefault="00AE6EB4" w:rsidP="00837046">
      <w:pPr>
        <w:pStyle w:val="Heading3"/>
        <w:spacing w:line="480" w:lineRule="auto"/>
      </w:pPr>
      <w:r w:rsidRPr="00AE6EB4">
        <w:lastRenderedPageBreak/>
        <w:t>Family 1: The Standard Grid</w:t>
      </w:r>
    </w:p>
    <w:p w14:paraId="3E3B5B72" w14:textId="77777777" w:rsidR="00AE6EB4" w:rsidRPr="00AE6EB4" w:rsidRDefault="00AE6EB4" w:rsidP="00837046">
      <w:pPr>
        <w:spacing w:line="480" w:lineRule="auto"/>
        <w:rPr>
          <w:rFonts w:eastAsiaTheme="majorEastAsia"/>
        </w:rPr>
      </w:pPr>
      <w:r w:rsidRPr="00AE6EB4">
        <w:rPr>
          <w:rFonts w:eastAsiaTheme="majorEastAsia"/>
        </w:rPr>
        <w:t>The integers belong to the Standard Grid. These are severity levels for felonies other than the sex and drug offenses that later received separate grids. In the modern standard grid, severity levels run from 1 at the low end to 11 at the high end (MSGC, 2019, §§ 1.B, 4.A, 5.A). Level 11 includes the most serious standard-grid offenses, such as intentional second-degree murder. Lower levels include less severe felony categories.</w:t>
      </w:r>
    </w:p>
    <w:p w14:paraId="062FEDFF" w14:textId="2657292A" w:rsidR="00AE6EB4" w:rsidRPr="00AE6EB4" w:rsidRDefault="007821F1" w:rsidP="00837046">
      <w:pPr>
        <w:spacing w:line="480" w:lineRule="auto"/>
        <w:rPr>
          <w:rFonts w:eastAsiaTheme="majorEastAsia"/>
        </w:rPr>
      </w:pPr>
      <w:r w:rsidRPr="007821F1">
        <w:rPr>
          <w:rFonts w:eastAsiaTheme="majorEastAsia"/>
        </w:rPr>
        <w:t>The important historical complication is that the grid did not always have eleven levels. The original 1980 grid had ten severity levels (MSGC, 1980, p. 38).</w:t>
      </w:r>
      <w:r>
        <w:rPr>
          <w:rFonts w:eastAsiaTheme="majorEastAsia"/>
        </w:rPr>
        <w:t xml:space="preserve"> </w:t>
      </w:r>
      <w:r w:rsidR="00AE6EB4" w:rsidRPr="00AE6EB4">
        <w:rPr>
          <w:rFonts w:eastAsiaTheme="majorEastAsia"/>
        </w:rPr>
        <w:t>Effective August 1, 2002, the Commission inserted a new Severity Level 7. The old levels 7 through 10 became levels 8 through 11</w:t>
      </w:r>
      <w:r w:rsidR="009304AB">
        <w:rPr>
          <w:rFonts w:eastAsiaTheme="majorEastAsia"/>
        </w:rPr>
        <w:t xml:space="preserve"> (</w:t>
      </w:r>
      <w:r w:rsidR="009304AB" w:rsidRPr="009304AB">
        <w:rPr>
          <w:rFonts w:eastAsiaTheme="majorEastAsia"/>
        </w:rPr>
        <w:t>MSGC, 2025, p. 9)</w:t>
      </w:r>
      <w:r w:rsidR="00AE6EB4" w:rsidRPr="00AE6EB4">
        <w:rPr>
          <w:rFonts w:eastAsiaTheme="majorEastAsia"/>
        </w:rPr>
        <w:t>.</w:t>
      </w:r>
    </w:p>
    <w:p w14:paraId="77CA1159" w14:textId="77777777" w:rsidR="00AE6EB4" w:rsidRPr="00AE6EB4" w:rsidRDefault="00AE6EB4" w:rsidP="00837046">
      <w:pPr>
        <w:spacing w:line="480" w:lineRule="auto"/>
        <w:rPr>
          <w:rFonts w:eastAsiaTheme="majorEastAsia"/>
        </w:rPr>
      </w:pPr>
      <w:r w:rsidRPr="00AE6EB4">
        <w:rPr>
          <w:rFonts w:eastAsiaTheme="majorEastAsia"/>
        </w:rPr>
        <w:t>That change makes the same number unstable across time. A record coded severity level 7 before the 2002 change and a record coded severity level 7 after the change may not refer to the same rung of the same ladder. The number is identical. The codebook changed underneath it.</w:t>
      </w:r>
    </w:p>
    <w:p w14:paraId="1E0868A3" w14:textId="77777777" w:rsidR="00AE6EB4" w:rsidRPr="00AE6EB4" w:rsidRDefault="00AE6EB4" w:rsidP="00837046">
      <w:pPr>
        <w:spacing w:line="480" w:lineRule="auto"/>
        <w:rPr>
          <w:rFonts w:eastAsiaTheme="majorEastAsia"/>
        </w:rPr>
      </w:pPr>
      <w:r w:rsidRPr="00AE6EB4">
        <w:rPr>
          <w:rFonts w:eastAsiaTheme="majorEastAsia"/>
        </w:rPr>
        <w:t>This is a classification lesson, not a technical nuisance. A code is meaningful only in relation to the system that produced it. When the legal scale changes, the value in the column inherits that history. The dataset does not automatically warn the reader that the meaning of level 7 changed in 2002. The reader must know enough about the institution to ask.</w:t>
      </w:r>
    </w:p>
    <w:p w14:paraId="43A2FEDF" w14:textId="77777777" w:rsidR="00AE6EB4" w:rsidRPr="00AE6EB4" w:rsidRDefault="00AE6EB4" w:rsidP="00837046">
      <w:pPr>
        <w:spacing w:line="480" w:lineRule="auto"/>
        <w:rPr>
          <w:rFonts w:eastAsiaTheme="majorEastAsia"/>
        </w:rPr>
      </w:pPr>
      <w:r w:rsidRPr="00AE6EB4">
        <w:rPr>
          <w:rFonts w:eastAsiaTheme="majorEastAsia"/>
        </w:rPr>
        <w:t>The proper reading is therefore cautious. A severity number identifies a standard-grid level, but the date of the offense matters for interpreting how that level fits into the relevant edition of the grid.</w:t>
      </w:r>
    </w:p>
    <w:p w14:paraId="5F1879B1" w14:textId="77777777" w:rsidR="00AE6EB4" w:rsidRPr="00AE6EB4" w:rsidRDefault="00AE6EB4" w:rsidP="00837046">
      <w:pPr>
        <w:pStyle w:val="Heading3"/>
        <w:spacing w:line="480" w:lineRule="auto"/>
      </w:pPr>
      <w:r w:rsidRPr="00AE6EB4">
        <w:t>Family 2: The Sex Offender Grid</w:t>
      </w:r>
    </w:p>
    <w:p w14:paraId="49015C7C" w14:textId="33AADAC3" w:rsidR="00AE6EB4" w:rsidRPr="00AE6EB4" w:rsidRDefault="00AE6EB4" w:rsidP="00837046">
      <w:pPr>
        <w:spacing w:line="480" w:lineRule="auto"/>
        <w:rPr>
          <w:rFonts w:eastAsiaTheme="majorEastAsia"/>
        </w:rPr>
      </w:pPr>
      <w:r w:rsidRPr="00AE6EB4">
        <w:rPr>
          <w:rFonts w:eastAsiaTheme="majorEastAsia"/>
        </w:rPr>
        <w:t xml:space="preserve">The letters belong to the Sex Offender Grid. Effective for offenses committed on or after August 1, 2006, Minnesota removed criminal sexual conduct and related offenses from the Standard Grid </w:t>
      </w:r>
      <w:r w:rsidRPr="00AE6EB4">
        <w:rPr>
          <w:rFonts w:eastAsiaTheme="majorEastAsia"/>
        </w:rPr>
        <w:lastRenderedPageBreak/>
        <w:t xml:space="preserve">and placed them on a separate grid (MSGC, 2019, § 4.B; MSGC, </w:t>
      </w:r>
      <w:r w:rsidR="009304AB">
        <w:rPr>
          <w:rFonts w:eastAsiaTheme="majorEastAsia"/>
        </w:rPr>
        <w:t>2006</w:t>
      </w:r>
      <w:r w:rsidRPr="00AE6EB4">
        <w:rPr>
          <w:rFonts w:eastAsiaTheme="majorEastAsia"/>
        </w:rPr>
        <w:t>). To distinguish the new grid from the numeric Standard Grid, the Sex Offender Grid used letters rather than numbers. During the 2001 to 2019 window covered by this dataset, the sex grid ran from A through H.</w:t>
      </w:r>
    </w:p>
    <w:p w14:paraId="5445CB13" w14:textId="34017A39" w:rsidR="00AE6EB4" w:rsidRPr="00AE6EB4" w:rsidRDefault="00AE6EB4" w:rsidP="00837046">
      <w:pPr>
        <w:spacing w:line="480" w:lineRule="auto"/>
        <w:rPr>
          <w:rFonts w:eastAsiaTheme="majorEastAsia"/>
        </w:rPr>
      </w:pPr>
      <w:r w:rsidRPr="00AE6EB4">
        <w:rPr>
          <w:rFonts w:eastAsiaTheme="majorEastAsia"/>
        </w:rPr>
        <w:t xml:space="preserve">The letters are not grades in the everyday sense. They are severity levels within a separate sentencing structure. Level A is the highest level, including first-degree criminal sexual conduct. Level H is the lowest level, including failure to register as a predatory offender. That distinction explains the distribution. </w:t>
      </w:r>
      <w:r w:rsidR="009304AB">
        <w:rPr>
          <w:rFonts w:eastAsiaTheme="majorEastAsia"/>
        </w:rPr>
        <w:t xml:space="preserve">(MSGC, 2006). </w:t>
      </w:r>
      <w:r w:rsidR="00216AEA" w:rsidRPr="00216AEA">
        <w:rPr>
          <w:rFonts w:eastAsiaTheme="majorEastAsia"/>
        </w:rPr>
        <w:t>Level H dominates the lettered codes because failure to register as a predatory offender was ranked at Severity Level H on the Sex Offender Grid for offenses committed on or after August 1, 2006, and failure-to-register offenses generated substantial sentencing volume during the relevant period (MSGC</w:t>
      </w:r>
      <w:r w:rsidR="00216AEA">
        <w:rPr>
          <w:rFonts w:eastAsiaTheme="majorEastAsia"/>
        </w:rPr>
        <w:t>,</w:t>
      </w:r>
      <w:r w:rsidR="00216AEA" w:rsidRPr="00216AEA">
        <w:rPr>
          <w:rFonts w:eastAsiaTheme="majorEastAsia"/>
        </w:rPr>
        <w:t xml:space="preserve"> 2014, pp. 4–5).</w:t>
      </w:r>
      <w:r w:rsidR="00216AEA">
        <w:rPr>
          <w:rFonts w:eastAsiaTheme="majorEastAsia"/>
        </w:rPr>
        <w:t xml:space="preserve"> </w:t>
      </w:r>
      <w:r w:rsidRPr="00AE6EB4">
        <w:rPr>
          <w:rFonts w:eastAsiaTheme="majorEastAsia"/>
        </w:rPr>
        <w:t>In the dataset, H appears 4,770 times.</w:t>
      </w:r>
    </w:p>
    <w:p w14:paraId="148C836D" w14:textId="61583D0A" w:rsidR="00AE6EB4" w:rsidRPr="00AE6EB4" w:rsidRDefault="00AE6EB4" w:rsidP="00837046">
      <w:pPr>
        <w:spacing w:line="480" w:lineRule="auto"/>
        <w:rPr>
          <w:rFonts w:eastAsiaTheme="majorEastAsia"/>
        </w:rPr>
      </w:pPr>
      <w:r w:rsidRPr="00AE6EB4">
        <w:rPr>
          <w:rFonts w:eastAsiaTheme="majorEastAsia"/>
        </w:rPr>
        <w:t>The trap is the letter D. The severity column includes 2,501 records coded with the bare letter “D”</w:t>
      </w:r>
      <w:r w:rsidR="000408FE">
        <w:rPr>
          <w:rFonts w:eastAsiaTheme="majorEastAsia"/>
        </w:rPr>
        <w:t xml:space="preserve"> (data</w:t>
      </w:r>
      <w:r w:rsidR="00817961">
        <w:rPr>
          <w:rFonts w:eastAsiaTheme="majorEastAsia"/>
        </w:rPr>
        <w:t>). A</w:t>
      </w:r>
      <w:r w:rsidR="000408FE" w:rsidRPr="000408FE">
        <w:rPr>
          <w:rFonts w:eastAsiaTheme="majorEastAsia"/>
        </w:rPr>
        <w:t xml:space="preserve"> reader familiar with Minnesota’s Drug Offender Grid might be tempted to treat these as drug cases, because the published Guidelines label Drug Offender Grid severity levels as D1 through D9 (MSGC, 2024, § 1.B.17)</w:t>
      </w:r>
      <w:r w:rsidR="000408FE">
        <w:rPr>
          <w:rFonts w:eastAsiaTheme="majorEastAsia"/>
        </w:rPr>
        <w:t xml:space="preserve">. </w:t>
      </w:r>
      <w:r w:rsidRPr="00AE6EB4">
        <w:rPr>
          <w:rFonts w:eastAsiaTheme="majorEastAsia"/>
        </w:rPr>
        <w:t>That would be wrong. A bare “D” is Sex Offender Grid level D</w:t>
      </w:r>
      <w:r w:rsidR="000408FE">
        <w:rPr>
          <w:rFonts w:eastAsiaTheme="majorEastAsia"/>
        </w:rPr>
        <w:t xml:space="preserve"> (codebook)</w:t>
      </w:r>
      <w:r w:rsidRPr="00AE6EB4">
        <w:rPr>
          <w:rFonts w:eastAsiaTheme="majorEastAsia"/>
        </w:rPr>
        <w:t>. Drug-grid codes are not stored as bare letters in this dataset.</w:t>
      </w:r>
    </w:p>
    <w:p w14:paraId="6D9AB92C" w14:textId="6DB46B47" w:rsidR="00AE6EB4" w:rsidRPr="00AE6EB4" w:rsidRDefault="00817961" w:rsidP="00837046">
      <w:pPr>
        <w:spacing w:line="480" w:lineRule="auto"/>
        <w:rPr>
          <w:rFonts w:eastAsiaTheme="majorEastAsia"/>
        </w:rPr>
      </w:pPr>
      <w:r w:rsidRPr="00817961">
        <w:rPr>
          <w:rFonts w:eastAsiaTheme="majorEastAsia"/>
        </w:rPr>
        <w:t>The mistake is understandable because classification systems do not coordinate their symbols for the analyst’s convenience</w:t>
      </w:r>
      <w:r>
        <w:rPr>
          <w:rFonts w:eastAsiaTheme="majorEastAsia"/>
        </w:rPr>
        <w:t xml:space="preserve"> </w:t>
      </w:r>
      <w:r w:rsidRPr="00817961">
        <w:rPr>
          <w:rFonts w:eastAsiaTheme="majorEastAsia"/>
        </w:rPr>
        <w:t>(Rothbard, 2013,</w:t>
      </w:r>
      <w:r>
        <w:rPr>
          <w:rFonts w:eastAsiaTheme="majorEastAsia"/>
        </w:rPr>
        <w:t xml:space="preserve"> p</w:t>
      </w:r>
      <w:r w:rsidR="00D1438F">
        <w:rPr>
          <w:rFonts w:eastAsiaTheme="majorEastAsia"/>
        </w:rPr>
        <w:t>p</w:t>
      </w:r>
      <w:r>
        <w:rPr>
          <w:rFonts w:eastAsiaTheme="majorEastAsia"/>
        </w:rPr>
        <w:t>. 31</w:t>
      </w:r>
      <w:r w:rsidR="00D1438F">
        <w:rPr>
          <w:rFonts w:eastAsiaTheme="majorEastAsia"/>
        </w:rPr>
        <w:t>-32</w:t>
      </w:r>
      <w:r>
        <w:rPr>
          <w:rFonts w:eastAsiaTheme="majorEastAsia"/>
        </w:rPr>
        <w:t>)</w:t>
      </w:r>
      <w:r w:rsidRPr="00817961">
        <w:rPr>
          <w:rFonts w:eastAsiaTheme="majorEastAsia"/>
        </w:rPr>
        <w:t xml:space="preserve">. Administrative-data interpretation requires attention to the source, documentation, and meaning of each variable, especially when similar values may not represent the same information or when coding schemes change across systems or over time (Rothbard, 2013, pp. 11–12, 18–19). In Minnesota sentencing, that problem is visible in the Guidelines themselves: sex offenses are ranked on the Sex Offender Grid using lettered severity levels, while drug offenses are ranked on the Drug Offender Grid using D1 through D9 (MSGC, 2024, </w:t>
      </w:r>
      <w:r w:rsidRPr="00817961">
        <w:rPr>
          <w:rFonts w:eastAsiaTheme="majorEastAsia"/>
        </w:rPr>
        <w:lastRenderedPageBreak/>
        <w:t>§ 1.B.17). The same letter can therefore point to different administrative languages. The proper reading depends on the code family (Rothbard, 2013,</w:t>
      </w:r>
      <w:r>
        <w:rPr>
          <w:rFonts w:eastAsiaTheme="majorEastAsia"/>
        </w:rPr>
        <w:t xml:space="preserve"> p. 19)</w:t>
      </w:r>
      <w:r w:rsidRPr="00817961">
        <w:rPr>
          <w:rFonts w:eastAsiaTheme="majorEastAsia"/>
        </w:rPr>
        <w:t>.</w:t>
      </w:r>
      <w:r>
        <w:rPr>
          <w:rFonts w:eastAsiaTheme="majorEastAsia"/>
        </w:rPr>
        <w:t xml:space="preserve"> </w:t>
      </w:r>
      <w:r w:rsidR="00AE6EB4" w:rsidRPr="00AE6EB4">
        <w:rPr>
          <w:rFonts w:eastAsiaTheme="majorEastAsia"/>
        </w:rPr>
        <w:t>A bare letter belongs to the Sex Offender Grid. A fifty-series number belongs to the Drug Offender Grid.</w:t>
      </w:r>
    </w:p>
    <w:p w14:paraId="2CD50087" w14:textId="4F9F3F5B" w:rsidR="00D1438F" w:rsidRDefault="00D1438F" w:rsidP="00837046">
      <w:pPr>
        <w:spacing w:line="480" w:lineRule="auto"/>
        <w:rPr>
          <w:rFonts w:eastAsiaTheme="majorEastAsia"/>
        </w:rPr>
      </w:pPr>
      <w:r w:rsidRPr="00D1438F">
        <w:rPr>
          <w:rFonts w:eastAsiaTheme="majorEastAsia"/>
        </w:rPr>
        <w:t>A note about timing is also necessary. The Sex Offender Grid later expanded from eight severity levels to nine, changing the relevant range from A through H to A through I (MSGC, 2021, pp. 14–15). That change occurred after the dataset’s 2001–2019 observation window. For this dataset, the relevant letter range is A through H.</w:t>
      </w:r>
    </w:p>
    <w:p w14:paraId="27BBD43E" w14:textId="0D48619A" w:rsidR="00AE6EB4" w:rsidRPr="00AE6EB4" w:rsidRDefault="00AE6EB4" w:rsidP="00837046">
      <w:pPr>
        <w:spacing w:line="480" w:lineRule="auto"/>
        <w:rPr>
          <w:rFonts w:eastAsiaTheme="majorEastAsia"/>
        </w:rPr>
      </w:pPr>
      <w:r w:rsidRPr="00AE6EB4">
        <w:rPr>
          <w:rFonts w:eastAsiaTheme="majorEastAsia"/>
        </w:rPr>
        <w:t>Here is a task a student could undertake with the Explorer to understand the “D” trap. The student should filter the dataset to severity = D and examine the resulting offense family. This task was chosen because it makes a plausible mistake visible before it can contaminate analysis. What the student should notice is that a bare D does not identify drug offenses. What the task is meant to teach is that symbols do not carry meaning by themselves; they carry meaning inside a coding regime.</w:t>
      </w:r>
    </w:p>
    <w:p w14:paraId="6BCA07C4" w14:textId="77777777" w:rsidR="00AE6EB4" w:rsidRPr="00AE6EB4" w:rsidRDefault="00AE6EB4" w:rsidP="00837046">
      <w:pPr>
        <w:pStyle w:val="Heading3"/>
        <w:spacing w:line="480" w:lineRule="auto"/>
      </w:pPr>
      <w:r w:rsidRPr="00AE6EB4">
        <w:t>Family 3: The Drug Offender Grid</w:t>
      </w:r>
    </w:p>
    <w:p w14:paraId="4098E1B7" w14:textId="181BA5D6" w:rsidR="00AE6EB4" w:rsidRPr="00AE6EB4" w:rsidRDefault="00AE6EB4" w:rsidP="00837046">
      <w:pPr>
        <w:spacing w:line="480" w:lineRule="auto"/>
        <w:rPr>
          <w:rFonts w:eastAsiaTheme="majorEastAsia"/>
        </w:rPr>
      </w:pPr>
      <w:r w:rsidRPr="00AE6EB4">
        <w:rPr>
          <w:rFonts w:eastAsiaTheme="majorEastAsia"/>
        </w:rPr>
        <w:t>The fifty-series codes belong to the Drug Offender Grid. For decades, drug felonies were sentenced on the Standard Grid alongside offenses such as burglary and assault. The 2016 Drug Sentencing Reform Act changed that structure. For offenses committed on or after August 1, 2016, controlled-substance crimes moved onto a separate Drug Offender Grid with nine severity levels, labeled D1 through D9 in the published guidelines (MSGC, 2019, § 4.C).</w:t>
      </w:r>
    </w:p>
    <w:p w14:paraId="4417F888" w14:textId="77777777" w:rsidR="00AE6EB4" w:rsidRPr="00AE6EB4" w:rsidRDefault="00AE6EB4" w:rsidP="00837046">
      <w:pPr>
        <w:spacing w:line="480" w:lineRule="auto"/>
        <w:rPr>
          <w:rFonts w:eastAsiaTheme="majorEastAsia"/>
        </w:rPr>
      </w:pPr>
      <w:r w:rsidRPr="00AE6EB4">
        <w:rPr>
          <w:rFonts w:eastAsiaTheme="majorEastAsia"/>
        </w:rPr>
        <w:t xml:space="preserve">The reform was not merely cosmetic. It lowered some drug offense severities and reflected a policy choice to reserve prison resources for more serious drug cases. Fifth-degree controlled substance crime, including simple possession under Minn. Stat. § 152.025, sits at D2. Fourth-degree </w:t>
      </w:r>
      <w:r w:rsidRPr="00AE6EB4">
        <w:rPr>
          <w:rFonts w:eastAsiaTheme="majorEastAsia"/>
        </w:rPr>
        <w:lastRenderedPageBreak/>
        <w:t>controlled substance crime sits at D4. The grid therefore reorganized how drug convictions entered the sentencing machine.</w:t>
      </w:r>
    </w:p>
    <w:p w14:paraId="66A64515" w14:textId="77777777" w:rsidR="00AE6EB4" w:rsidRPr="00AE6EB4" w:rsidRDefault="00AE6EB4" w:rsidP="00837046">
      <w:pPr>
        <w:spacing w:line="480" w:lineRule="auto"/>
        <w:rPr>
          <w:rFonts w:eastAsiaTheme="majorEastAsia"/>
        </w:rPr>
      </w:pPr>
      <w:r w:rsidRPr="00AE6EB4">
        <w:rPr>
          <w:rFonts w:eastAsiaTheme="majorEastAsia"/>
        </w:rPr>
        <w:t>The dataset, however, does not store the published labels D1 through D9. Instead, it stores codes 51 through 59. The natural hypothesis is that the dataset uses an internal encoding: 51 means D1, 52 means D2, and so on through 59 meaning D9.</w:t>
      </w:r>
    </w:p>
    <w:p w14:paraId="13B52201" w14:textId="4C156EBF" w:rsidR="00AE6EB4" w:rsidRPr="00AE6EB4" w:rsidRDefault="00AE6EB4" w:rsidP="00837046">
      <w:pPr>
        <w:spacing w:line="480" w:lineRule="auto"/>
        <w:rPr>
          <w:rFonts w:eastAsiaTheme="majorEastAsia"/>
        </w:rPr>
      </w:pPr>
      <w:r w:rsidRPr="00AE6EB4">
        <w:rPr>
          <w:rFonts w:eastAsiaTheme="majorEastAsia"/>
        </w:rPr>
        <w:t>A hypothesis about a coding system should be tested, not assumed. This one can be tested by triangulating three kinds of evidence: the legal structure, the timing of the codes, and the composition of the records. The legal structure supplies nine drug levels. The dataset supplies nine fifty-series codes. The timing aligns with the August 1, 2016 effective date. The offense-type composition also aligns: cross-tabulation shows that 99.97 percent of 5X-coded records are drug offense records. Finally, the frequency pattern supports the interpretation. Code 52 accounts for 8,711 of the roughly 12,000 fifty-series records, about 72 percent of the family</w:t>
      </w:r>
      <w:r w:rsidR="00321E8D">
        <w:rPr>
          <w:rFonts w:eastAsiaTheme="majorEastAsia"/>
        </w:rPr>
        <w:t>.</w:t>
      </w:r>
      <w:r w:rsidRPr="00AE6EB4">
        <w:rPr>
          <w:rFonts w:eastAsiaTheme="majorEastAsia"/>
        </w:rPr>
        <w:t xml:space="preserve"> </w:t>
      </w:r>
      <w:r w:rsidR="00321E8D" w:rsidRPr="00321E8D">
        <w:rPr>
          <w:rFonts w:eastAsiaTheme="majorEastAsia"/>
        </w:rPr>
        <w:t>In the post-DSRA drug grid, D2 corresponds to felony fifth-degree controlled-substance crime, including qualifying fifth-degree possession under Minn. Stat. § 152.025, subd. 2(1) and subd. 4(b) (Minnesota Sentencing Guidelines Commission [MSGC], 2024, § 5.B; Minn. Stat. § 152.025, subds. 2, 4, 2025)</w:t>
      </w:r>
      <w:r w:rsidRPr="00AE6EB4">
        <w:rPr>
          <w:rFonts w:eastAsiaTheme="majorEastAsia"/>
        </w:rPr>
        <w:t xml:space="preserve">, historically </w:t>
      </w:r>
      <w:r w:rsidR="00321E8D">
        <w:rPr>
          <w:rFonts w:eastAsiaTheme="majorEastAsia"/>
        </w:rPr>
        <w:t xml:space="preserve">this is </w:t>
      </w:r>
      <w:r w:rsidRPr="00AE6EB4">
        <w:rPr>
          <w:rFonts w:eastAsiaTheme="majorEastAsia"/>
        </w:rPr>
        <w:t xml:space="preserve">the state’s highest-volume drug felony </w:t>
      </w:r>
      <w:r w:rsidR="009E2DBA" w:rsidRPr="009E2DBA">
        <w:rPr>
          <w:rFonts w:eastAsiaTheme="majorEastAsia"/>
        </w:rPr>
        <w:t>(MSGC, 201</w:t>
      </w:r>
      <w:r w:rsidR="006A75E7">
        <w:rPr>
          <w:rFonts w:eastAsiaTheme="majorEastAsia"/>
        </w:rPr>
        <w:t>3</w:t>
      </w:r>
      <w:r w:rsidR="00321E8D">
        <w:rPr>
          <w:rFonts w:eastAsiaTheme="majorEastAsia"/>
        </w:rPr>
        <w:t>, p. 5</w:t>
      </w:r>
      <w:r w:rsidR="009E2DBA" w:rsidRPr="009E2DBA">
        <w:rPr>
          <w:rFonts w:eastAsiaTheme="majorEastAsia"/>
        </w:rPr>
        <w:t>)</w:t>
      </w:r>
      <w:r w:rsidR="009E2DBA">
        <w:rPr>
          <w:rFonts w:eastAsiaTheme="majorEastAsia"/>
        </w:rPr>
        <w:t>.</w:t>
      </w:r>
    </w:p>
    <w:p w14:paraId="26E63F01" w14:textId="77777777" w:rsidR="00AE6EB4" w:rsidRPr="00AE6EB4" w:rsidRDefault="00AE6EB4" w:rsidP="00837046">
      <w:pPr>
        <w:spacing w:line="480" w:lineRule="auto"/>
        <w:rPr>
          <w:rFonts w:eastAsiaTheme="majorEastAsia"/>
        </w:rPr>
      </w:pPr>
      <w:r w:rsidRPr="00AE6EB4">
        <w:rPr>
          <w:rFonts w:eastAsiaTheme="majorEastAsia"/>
        </w:rPr>
        <w:t>No public codebook needs to announce the answer for the pattern to become legible. The meaning is recovered by reading the law, the timeline, and the data together. When documentation runs out, structure becomes evidence.</w:t>
      </w:r>
    </w:p>
    <w:p w14:paraId="6A0BDD81" w14:textId="77777777" w:rsidR="00AE6EB4" w:rsidRPr="00AE6EB4" w:rsidRDefault="00AE6EB4" w:rsidP="00837046">
      <w:pPr>
        <w:spacing w:line="480" w:lineRule="auto"/>
        <w:rPr>
          <w:rFonts w:eastAsiaTheme="majorEastAsia"/>
        </w:rPr>
      </w:pPr>
      <w:r w:rsidRPr="00AE6EB4">
        <w:rPr>
          <w:rFonts w:eastAsiaTheme="majorEastAsia"/>
        </w:rPr>
        <w:t xml:space="preserve">That conclusion should still be phrased carefully. The dataset supports the interpretation that 51 through 59 encode Drug Offender Grid levels D1 through D9. The strongest evidence is not merely that there are nine codes and nine levels. A count match is suggestive, but weak on its own. The </w:t>
      </w:r>
      <w:r w:rsidRPr="00AE6EB4">
        <w:rPr>
          <w:rFonts w:eastAsiaTheme="majorEastAsia"/>
        </w:rPr>
        <w:lastRenderedPageBreak/>
        <w:t>stronger evidence is that the codes appear in the right period, attach overwhelmingly to drug offenses, and reproduce the expected frequency signature of Minnesota drug sentencing after reform.</w:t>
      </w:r>
    </w:p>
    <w:p w14:paraId="643D9D64" w14:textId="77777777" w:rsidR="00AE6EB4" w:rsidRPr="00AE6EB4" w:rsidRDefault="00AE6EB4" w:rsidP="00837046">
      <w:pPr>
        <w:spacing w:line="480" w:lineRule="auto"/>
        <w:rPr>
          <w:rFonts w:eastAsiaTheme="majorEastAsia"/>
        </w:rPr>
      </w:pPr>
      <w:r w:rsidRPr="00AE6EB4">
        <w:rPr>
          <w:rFonts w:eastAsiaTheme="majorEastAsia"/>
        </w:rPr>
        <w:t>Here is a task a student could undertake with the Explorer to understand structure as evidence. The student should filter to the fifty-series severity codes and examine offense type and sentencing year. This task was chosen because the public-facing labels do not appear directly in the field. What the student should notice is that the fifty-series codes are almost entirely drug records and appear only after the drug grid took effect. What the task is meant to teach is that undocumented codes can sometimes be interpreted by testing whether legal structure, timing, and empirical composition all point in the same direction.</w:t>
      </w:r>
    </w:p>
    <w:p w14:paraId="2ACBE503" w14:textId="77777777" w:rsidR="00AE6EB4" w:rsidRPr="00AE6EB4" w:rsidRDefault="00AE6EB4" w:rsidP="00837046">
      <w:pPr>
        <w:pStyle w:val="Heading3"/>
        <w:spacing w:line="480" w:lineRule="auto"/>
      </w:pPr>
      <w:r w:rsidRPr="00AE6EB4">
        <w:t>Family 4: The Case the Grid Refuses to Score</w:t>
      </w:r>
    </w:p>
    <w:p w14:paraId="6B1D7C34" w14:textId="77777777" w:rsidR="00AE6EB4" w:rsidRPr="00AE6EB4" w:rsidRDefault="00AE6EB4" w:rsidP="00837046">
      <w:pPr>
        <w:spacing w:line="480" w:lineRule="auto"/>
        <w:rPr>
          <w:rFonts w:eastAsiaTheme="majorEastAsia"/>
        </w:rPr>
      </w:pPr>
      <w:r w:rsidRPr="00AE6EB4">
        <w:rPr>
          <w:rFonts w:eastAsiaTheme="majorEastAsia"/>
        </w:rPr>
        <w:t>The final severity family is not a number and not a letter. It is the text string “Murder 1.” There are 354 such records in the dataset.</w:t>
      </w:r>
    </w:p>
    <w:p w14:paraId="6532C81B" w14:textId="77777777" w:rsidR="00AE6EB4" w:rsidRPr="00AE6EB4" w:rsidRDefault="00AE6EB4" w:rsidP="00837046">
      <w:pPr>
        <w:spacing w:line="480" w:lineRule="auto"/>
        <w:rPr>
          <w:rFonts w:eastAsiaTheme="majorEastAsia"/>
        </w:rPr>
      </w:pPr>
      <w:r w:rsidRPr="00AE6EB4">
        <w:rPr>
          <w:rFonts w:eastAsiaTheme="majorEastAsia"/>
        </w:rPr>
        <w:t>First-degree murder is different because Minnesota law imposes a mandatory life sentence (Minn. Stat. § 609.185). There is no grid lookup to perform. The Minnesota Sentencing Guidelines state that no severity level is assigned to first-degree murder because the punishment is mandatory life by statute (MSGC, 2019, § 2.A.3 cmt.). Some of the most serious sex offenses are excluded in a similar way (Minn. Stat. § 609.3455, subd. 2; MSGC, 2019, § 4.B).</w:t>
      </w:r>
    </w:p>
    <w:p w14:paraId="68339F54" w14:textId="77777777" w:rsidR="00AE6EB4" w:rsidRPr="00AE6EB4" w:rsidRDefault="00AE6EB4" w:rsidP="00837046">
      <w:pPr>
        <w:spacing w:line="480" w:lineRule="auto"/>
        <w:rPr>
          <w:rFonts w:eastAsiaTheme="majorEastAsia"/>
        </w:rPr>
      </w:pPr>
      <w:r w:rsidRPr="00AE6EB4">
        <w:rPr>
          <w:rFonts w:eastAsiaTheme="majorEastAsia"/>
        </w:rPr>
        <w:t>The text string is therefore not sloppy data entry. It is the severity field recording that the case did not enter the grid. A grid produces months. A mandatory life sentence is not a grid cell with a monthly duration. The field refuses to score the case because the legal system refuses to send it through that part of the machine.</w:t>
      </w:r>
    </w:p>
    <w:p w14:paraId="1F744C75" w14:textId="77777777" w:rsidR="00AE6EB4" w:rsidRPr="00AE6EB4" w:rsidRDefault="00AE6EB4" w:rsidP="00837046">
      <w:pPr>
        <w:spacing w:line="480" w:lineRule="auto"/>
        <w:rPr>
          <w:rFonts w:eastAsiaTheme="majorEastAsia"/>
        </w:rPr>
      </w:pPr>
      <w:r w:rsidRPr="00AE6EB4">
        <w:rPr>
          <w:rFonts w:eastAsiaTheme="majorEastAsia"/>
        </w:rPr>
        <w:lastRenderedPageBreak/>
        <w:t>This produces an important asymmetry. Second-degree murder sits on the Standard Grid at level 11. First-degree murder sits outside the grid entirely. The most serious homicide category is not the top row of the grid. It is off-grid. The grid governs the broad middle of felony sentencing; the statutory extremes are handled directly.</w:t>
      </w:r>
    </w:p>
    <w:p w14:paraId="4BA5F068" w14:textId="608565B6" w:rsidR="00AE6EB4" w:rsidRPr="00AE6EB4" w:rsidRDefault="00AE6EB4" w:rsidP="00837046">
      <w:pPr>
        <w:spacing w:line="480" w:lineRule="auto"/>
        <w:rPr>
          <w:rFonts w:eastAsiaTheme="majorEastAsia"/>
        </w:rPr>
      </w:pPr>
      <w:r w:rsidRPr="00AE6EB4">
        <w:rPr>
          <w:rFonts w:eastAsiaTheme="majorEastAsia"/>
        </w:rPr>
        <w:t xml:space="preserve">The practical consequence is methodological. The </w:t>
      </w:r>
      <w:r w:rsidRPr="007D664D">
        <w:rPr>
          <w:rFonts w:eastAsiaTheme="majorEastAsia"/>
          <w:i/>
          <w:iCs/>
        </w:rPr>
        <w:t>time</w:t>
      </w:r>
      <w:r w:rsidRPr="00AE6EB4">
        <w:rPr>
          <w:rFonts w:eastAsiaTheme="majorEastAsia"/>
        </w:rPr>
        <w:t xml:space="preserve"> field for these 354 records is not a usable duration. Some records are blank, while others store large placeholder values. If th</w:t>
      </w:r>
      <w:r w:rsidR="007D664D">
        <w:rPr>
          <w:rFonts w:eastAsiaTheme="majorEastAsia"/>
        </w:rPr>
        <w:tab/>
      </w:r>
      <w:r w:rsidRPr="00AE6EB4">
        <w:rPr>
          <w:rFonts w:eastAsiaTheme="majorEastAsia"/>
        </w:rPr>
        <w:t>ese records are left in a calculation of average sentence duration, mandatory-life cases can silently distort the mean. The careful analyst excludes or separately handles off-grid mandatory-life records before summarizing time.</w:t>
      </w:r>
    </w:p>
    <w:p w14:paraId="38049FB2" w14:textId="77777777" w:rsidR="00AE6EB4" w:rsidRPr="00AE6EB4" w:rsidRDefault="00AE6EB4" w:rsidP="00837046">
      <w:pPr>
        <w:spacing w:line="480" w:lineRule="auto"/>
        <w:rPr>
          <w:rFonts w:eastAsiaTheme="majorEastAsia"/>
        </w:rPr>
      </w:pPr>
      <w:r w:rsidRPr="00AE6EB4">
        <w:rPr>
          <w:rFonts w:eastAsiaTheme="majorEastAsia"/>
        </w:rPr>
        <w:t>The rule is simple: “Murder 1” is not level 12. It is the outside of the grid.</w:t>
      </w:r>
    </w:p>
    <w:p w14:paraId="246F484E" w14:textId="77777777" w:rsidR="00AE6EB4" w:rsidRPr="00AE6EB4" w:rsidRDefault="00AE6EB4" w:rsidP="00837046">
      <w:pPr>
        <w:pStyle w:val="Heading3"/>
        <w:spacing w:line="480" w:lineRule="auto"/>
      </w:pPr>
      <w:r w:rsidRPr="00AE6EB4">
        <w:t>Why the Mess Exists</w:t>
      </w:r>
    </w:p>
    <w:p w14:paraId="5C35AD9A" w14:textId="77777777" w:rsidR="00AE6EB4" w:rsidRPr="00AE6EB4" w:rsidRDefault="00AE6EB4" w:rsidP="00837046">
      <w:pPr>
        <w:spacing w:line="480" w:lineRule="auto"/>
        <w:rPr>
          <w:rFonts w:eastAsiaTheme="majorEastAsia"/>
        </w:rPr>
      </w:pPr>
      <w:r w:rsidRPr="00AE6EB4">
        <w:rPr>
          <w:rFonts w:eastAsiaTheme="majorEastAsia"/>
        </w:rPr>
        <w:t>Once the four families are placed on a timeline, the severity column stops looking chaotic.</w:t>
      </w:r>
    </w:p>
    <w:p w14:paraId="1251E1E9" w14:textId="77777777" w:rsidR="00AE6EB4" w:rsidRPr="00AE6EB4" w:rsidRDefault="00AE6EB4" w:rsidP="00837046">
      <w:pPr>
        <w:spacing w:line="480" w:lineRule="auto"/>
        <w:rPr>
          <w:rFonts w:eastAsiaTheme="majorEastAsia"/>
        </w:rPr>
      </w:pPr>
      <w:r w:rsidRPr="00AE6EB4">
        <w:rPr>
          <w:rFonts w:eastAsiaTheme="majorEastAsia"/>
        </w:rPr>
        <w:t>From 2001 through the 2002 change, the sentencing structure relied on one numeric grid with ten standard severity levels. Effective August 1, 2002, the Standard Grid expanded to eleven levels, and the upper levels were renumbered. Effective August 1, 2006, sex offenses moved to their own lettered grid. Effective August 1, 2016, drug offenses moved to their own grid, stored in this dataset as codes 51 through 59. Throughout the full period, first-degree murder remained outside the grid because it carried a mandatory life sentence.</w:t>
      </w:r>
    </w:p>
    <w:p w14:paraId="6A546FE0" w14:textId="77777777" w:rsidR="00AE6EB4" w:rsidRPr="00AE6EB4" w:rsidRDefault="00AE6EB4" w:rsidP="00837046">
      <w:pPr>
        <w:spacing w:line="480" w:lineRule="auto"/>
        <w:rPr>
          <w:rFonts w:eastAsiaTheme="majorEastAsia"/>
        </w:rPr>
      </w:pPr>
      <w:r w:rsidRPr="00AE6EB4">
        <w:rPr>
          <w:rFonts w:eastAsiaTheme="majorEastAsia"/>
        </w:rPr>
        <w:t>The severity column is therefore a geological cross-section of institutional change. New layers were added as the sentencing system reorganized itself. Older layers were not translated into a single harmonized scale. The field contains the history of the institution that produced it.</w:t>
      </w:r>
    </w:p>
    <w:p w14:paraId="4454C21C" w14:textId="77777777" w:rsidR="00AE6EB4" w:rsidRPr="00AE6EB4" w:rsidRDefault="00AE6EB4" w:rsidP="00837046">
      <w:pPr>
        <w:spacing w:line="480" w:lineRule="auto"/>
        <w:rPr>
          <w:rFonts w:eastAsiaTheme="majorEastAsia"/>
        </w:rPr>
      </w:pPr>
      <w:r w:rsidRPr="00AE6EB4">
        <w:rPr>
          <w:rFonts w:eastAsiaTheme="majorEastAsia"/>
        </w:rPr>
        <w:lastRenderedPageBreak/>
        <w:t>This has an immediate implication for analysis. Severity level 2 dominates the entire column, appearing in 84,511 records, or 28.7 percent of the dataset. The likely explanation is compositional. Before August 2016, high-volume fifth-degree drug possession cases were located in the low numeric levels of the Standard Grid. After the Drug Sentencing Reform Act took effect, those cases moved into the fifty-series codes. If that interpretation is correct, the annual volume of severity level 2 should fall sharply after 2016, while the fifty-series codes should rise from zero.</w:t>
      </w:r>
    </w:p>
    <w:p w14:paraId="02A78EEE" w14:textId="77777777" w:rsidR="00AE6EB4" w:rsidRPr="00AE6EB4" w:rsidRDefault="00AE6EB4" w:rsidP="00837046">
      <w:pPr>
        <w:spacing w:line="480" w:lineRule="auto"/>
        <w:rPr>
          <w:rFonts w:eastAsiaTheme="majorEastAsia"/>
        </w:rPr>
      </w:pPr>
      <w:r w:rsidRPr="00AE6EB4">
        <w:rPr>
          <w:rFonts w:eastAsiaTheme="majorEastAsia"/>
        </w:rPr>
        <w:t>This is not a claim about crime suddenly changing. It is a claim about classification changing. The conduct may be similar. The filing cabinet changed.</w:t>
      </w:r>
    </w:p>
    <w:p w14:paraId="7123035F" w14:textId="77777777" w:rsidR="00AE6EB4" w:rsidRPr="00AE6EB4" w:rsidRDefault="00AE6EB4" w:rsidP="00837046">
      <w:pPr>
        <w:spacing w:line="480" w:lineRule="auto"/>
        <w:rPr>
          <w:rFonts w:eastAsiaTheme="majorEastAsia"/>
        </w:rPr>
      </w:pPr>
      <w:r w:rsidRPr="00AE6EB4">
        <w:rPr>
          <w:rFonts w:eastAsiaTheme="majorEastAsia"/>
        </w:rPr>
        <w:t>Here is a task a student could undertake with the Explorer to understand the migration from the Standard Grid to the Drug Offender Grid. The student should first filter to severity level 2 and examine annual volume by sentencing year. Then the student should clear the filter, filter to the fifty-series codes, and examine annual volume again. This task was chosen because the 2016 reform creates a visible hinge in the data. What the student should notice is that severity level 2 deflates after the reform while the fifty-series appears. What the task is meant to teach is that changes in a distribution may reflect changes in classification rather than changes in underlying conduct.</w:t>
      </w:r>
    </w:p>
    <w:p w14:paraId="67453538" w14:textId="77777777" w:rsidR="00AE6EB4" w:rsidRPr="00AE6EB4" w:rsidRDefault="00AE6EB4" w:rsidP="00837046">
      <w:pPr>
        <w:pStyle w:val="Heading3"/>
        <w:spacing w:line="480" w:lineRule="auto"/>
      </w:pPr>
      <w:r w:rsidRPr="00AE6EB4">
        <w:t>The Grid Is Visible in the Standard Deviation</w:t>
      </w:r>
    </w:p>
    <w:p w14:paraId="651790DD" w14:textId="77777777" w:rsidR="00AE6EB4" w:rsidRPr="00AE6EB4" w:rsidRDefault="00AE6EB4" w:rsidP="00837046">
      <w:pPr>
        <w:spacing w:line="480" w:lineRule="auto"/>
        <w:rPr>
          <w:rFonts w:asciiTheme="majorHAnsi" w:eastAsiaTheme="majorEastAsia" w:hAnsiTheme="majorHAnsi" w:cstheme="majorBidi"/>
          <w:color w:val="BF4E14" w:themeColor="accent2" w:themeShade="BF"/>
          <w:sz w:val="28"/>
          <w:szCs w:val="28"/>
        </w:rPr>
      </w:pPr>
      <w:r w:rsidRPr="00AE6EB4">
        <w:t>The grid also teaches a statistical lesson. A standard deviation is not just noise. It has composition. Some of the spread in a variable comes from genuinely different cases being pooled together. Some comes from variation within like cases. The sentencing grid makes that distinction unusually clear because the law tells the reader how the number is generated.</w:t>
      </w:r>
    </w:p>
    <w:p w14:paraId="541D6139" w14:textId="77777777" w:rsidR="00AE6EB4" w:rsidRPr="00AE6EB4" w:rsidRDefault="00AE6EB4" w:rsidP="00837046">
      <w:pPr>
        <w:spacing w:line="480" w:lineRule="auto"/>
        <w:rPr>
          <w:rFonts w:eastAsiaTheme="majorEastAsia"/>
        </w:rPr>
      </w:pPr>
      <w:r w:rsidRPr="00AE6EB4">
        <w:rPr>
          <w:rFonts w:eastAsiaTheme="majorEastAsia"/>
        </w:rPr>
        <w:lastRenderedPageBreak/>
        <w:t>A lookup table implies a specific pattern. Within a single cell, the presumptive sentence should vary little, because the cell assigns the presumptive value. Between cells, the mean sentence should change substantially, because different cells carry different presumptive durations. In other words, much of the variance in time should live between cells rather than within them.</w:t>
      </w:r>
    </w:p>
    <w:p w14:paraId="0627B9FA" w14:textId="77777777" w:rsidR="00AE6EB4" w:rsidRPr="00AE6EB4" w:rsidRDefault="00AE6EB4" w:rsidP="00837046">
      <w:pPr>
        <w:spacing w:line="480" w:lineRule="auto"/>
        <w:rPr>
          <w:rFonts w:eastAsiaTheme="majorEastAsia"/>
        </w:rPr>
      </w:pPr>
      <w:r w:rsidRPr="00AE6EB4">
        <w:rPr>
          <w:rFonts w:eastAsiaTheme="majorEastAsia"/>
        </w:rPr>
        <w:t>The unit of analysis matters. A grid cell is not severity alone. It is severity and criminal-history score. Filtering only to severity level 8 still pools all criminal-history columns. Because presumptive duration rises across those columns, a severity-only filter will produce a larger standard deviation. That is not a failed demonstration. It is the wrong unit of analysis.</w:t>
      </w:r>
    </w:p>
    <w:p w14:paraId="3D165F5F" w14:textId="77777777" w:rsidR="00AE6EB4" w:rsidRPr="00AE6EB4" w:rsidRDefault="00AE6EB4" w:rsidP="00837046">
      <w:pPr>
        <w:spacing w:line="480" w:lineRule="auto"/>
        <w:rPr>
          <w:rFonts w:eastAsiaTheme="majorEastAsia"/>
        </w:rPr>
      </w:pPr>
      <w:r w:rsidRPr="00AE6EB4">
        <w:rPr>
          <w:rFonts w:eastAsiaTheme="majorEastAsia"/>
        </w:rPr>
        <w:t>The proper unit is the cell.</w:t>
      </w:r>
    </w:p>
    <w:p w14:paraId="54BAE56F" w14:textId="6B890507" w:rsidR="00AE6EB4" w:rsidRPr="00AE6EB4" w:rsidRDefault="00AE6EB4" w:rsidP="00837046">
      <w:pPr>
        <w:spacing w:line="480" w:lineRule="auto"/>
        <w:rPr>
          <w:rFonts w:eastAsiaTheme="majorEastAsia"/>
        </w:rPr>
      </w:pPr>
      <w:r w:rsidRPr="00AE6EB4">
        <w:rPr>
          <w:rFonts w:eastAsiaTheme="majorEastAsia"/>
        </w:rPr>
        <w:t xml:space="preserve">Two caveats are necessary. First, cell variation </w:t>
      </w:r>
      <w:r w:rsidR="009101E8">
        <w:rPr>
          <w:rFonts w:eastAsiaTheme="majorEastAsia"/>
        </w:rPr>
        <w:t>is not</w:t>
      </w:r>
      <w:r w:rsidRPr="00AE6EB4">
        <w:rPr>
          <w:rFonts w:eastAsiaTheme="majorEastAsia"/>
        </w:rPr>
        <w:t xml:space="preserve"> exactly zero. The statutory range and departures allow real</w:t>
      </w:r>
      <w:r w:rsidR="007D664D">
        <w:rPr>
          <w:rFonts w:eastAsiaTheme="majorEastAsia"/>
        </w:rPr>
        <w:t xml:space="preserve"> presumptive</w:t>
      </w:r>
      <w:r w:rsidRPr="00AE6EB4">
        <w:rPr>
          <w:rFonts w:eastAsiaTheme="majorEastAsia"/>
        </w:rPr>
        <w:t xml:space="preserve"> sentences to scatter around the cell value. Second, pooling records from 2001 through 2019 also pools multiple editions of the guidelines. A small amount of remaining variation may reflect the grid changing over time rather than random judicial inconsistency.</w:t>
      </w:r>
      <w:r w:rsidR="009101E8">
        <w:rPr>
          <w:rFonts w:eastAsiaTheme="majorEastAsia"/>
        </w:rPr>
        <w:t xml:space="preserve"> </w:t>
      </w:r>
      <w:r w:rsidRPr="00AE6EB4">
        <w:rPr>
          <w:rFonts w:eastAsiaTheme="majorEastAsia"/>
        </w:rPr>
        <w:t xml:space="preserve">Even with those caveats, the core principle holds. Within-cell variation </w:t>
      </w:r>
      <w:r w:rsidR="009101E8">
        <w:rPr>
          <w:rFonts w:eastAsiaTheme="majorEastAsia"/>
        </w:rPr>
        <w:t>is</w:t>
      </w:r>
      <w:r w:rsidRPr="00AE6EB4">
        <w:rPr>
          <w:rFonts w:eastAsiaTheme="majorEastAsia"/>
        </w:rPr>
        <w:t xml:space="preserve"> much smaller than between-cell differences. </w:t>
      </w:r>
    </w:p>
    <w:p w14:paraId="2100C84A" w14:textId="77777777" w:rsidR="00AE6EB4" w:rsidRPr="00AE6EB4" w:rsidRDefault="00AE6EB4" w:rsidP="00837046">
      <w:pPr>
        <w:spacing w:line="480" w:lineRule="auto"/>
        <w:rPr>
          <w:rFonts w:eastAsiaTheme="majorEastAsia"/>
        </w:rPr>
      </w:pPr>
      <w:r w:rsidRPr="00AE6EB4">
        <w:rPr>
          <w:rFonts w:eastAsiaTheme="majorEastAsia"/>
        </w:rPr>
        <w:t xml:space="preserve">Here is a task a student could undertake with the Explorer to understand variance as composition. The student should filter to Standard Grid records, then filter to severity level 8 and criminal-history score 0. The student should record the count, mean, and standard deviation of time. Next, the student should clear the criminal-history filter and apply criminal-history score 3 while keeping severity level 8. Again, the student should record the count, mean, and standard deviation. This task was chosen because the two filtered views sit on the same severity row and differ only by criminal-history score. What the student should notice is that standard deviation within each cell is </w:t>
      </w:r>
      <w:r w:rsidRPr="00AE6EB4">
        <w:rPr>
          <w:rFonts w:eastAsiaTheme="majorEastAsia"/>
        </w:rPr>
        <w:lastRenderedPageBreak/>
        <w:t>small relative to the difference between the two cell means. What the task is meant to teach is that sentence variation across the dataset is partly the product of cell composition. The grid assigns similar sentences within a cell and different sentences across cells.</w:t>
      </w:r>
    </w:p>
    <w:p w14:paraId="3610871D" w14:textId="77777777" w:rsidR="00AE6EB4" w:rsidRPr="00AE6EB4" w:rsidRDefault="00AE6EB4" w:rsidP="00837046">
      <w:pPr>
        <w:spacing w:line="480" w:lineRule="auto"/>
        <w:rPr>
          <w:rFonts w:eastAsiaTheme="majorEastAsia"/>
        </w:rPr>
      </w:pPr>
      <w:r w:rsidRPr="00AE6EB4">
        <w:rPr>
          <w:rFonts w:eastAsiaTheme="majorEastAsia"/>
        </w:rPr>
        <w:t>The correct interpretation is not that judges in those cells are unusually consistent people. The correct interpretation is institutional. The grid instructs the system to treat typical cases in the same cell similarly. The variance collapses within the cell because the sentencing rule is doing exactly what it was designed to do.</w:t>
      </w:r>
    </w:p>
    <w:p w14:paraId="331C4146" w14:textId="77777777" w:rsidR="00AE6EB4" w:rsidRPr="00AE6EB4" w:rsidRDefault="00AE6EB4" w:rsidP="00837046">
      <w:pPr>
        <w:pStyle w:val="Heading3"/>
        <w:spacing w:line="480" w:lineRule="auto"/>
      </w:pPr>
      <w:r w:rsidRPr="00AE6EB4">
        <w:t>What the Severity Code Cannot Tell You</w:t>
      </w:r>
    </w:p>
    <w:p w14:paraId="5E00D6D2" w14:textId="77777777" w:rsidR="00AE6EB4" w:rsidRPr="00AE6EB4" w:rsidRDefault="00AE6EB4" w:rsidP="00837046">
      <w:pPr>
        <w:spacing w:line="480" w:lineRule="auto"/>
        <w:rPr>
          <w:rFonts w:eastAsiaTheme="majorEastAsia"/>
        </w:rPr>
      </w:pPr>
      <w:r w:rsidRPr="00AE6EB4">
        <w:rPr>
          <w:rFonts w:eastAsiaTheme="majorEastAsia"/>
        </w:rPr>
        <w:t>The severity code is powerful, but it is not omniscient. It records which grid and which rung a conviction offense occupies. It does not record the full facts of the case. It does not describe the harm in ordinary human terms. It does not tell the reader whether the event was desperate, ambiguous, violent, opportunistic, coerced, or unusually damaging.</w:t>
      </w:r>
    </w:p>
    <w:p w14:paraId="613E1F90" w14:textId="77777777" w:rsidR="00AE6EB4" w:rsidRPr="00AE6EB4" w:rsidRDefault="00AE6EB4" w:rsidP="00837046">
      <w:pPr>
        <w:spacing w:line="480" w:lineRule="auto"/>
        <w:rPr>
          <w:rFonts w:eastAsiaTheme="majorEastAsia"/>
        </w:rPr>
      </w:pPr>
      <w:r w:rsidRPr="00AE6EB4">
        <w:rPr>
          <w:rFonts w:eastAsiaTheme="majorEastAsia"/>
        </w:rPr>
        <w:t>Two records at the same severity level may describe cases that victims, defendants, lawyers, or jurors would experience as profoundly different. The classification system treats them as the same for a sentencing purpose. That is what classification does. It decides which differences will matter and which differences will be suppressed.</w:t>
      </w:r>
    </w:p>
    <w:p w14:paraId="634CB696" w14:textId="77777777" w:rsidR="00417F3F" w:rsidRDefault="00417F3F" w:rsidP="00837046">
      <w:pPr>
        <w:spacing w:line="480" w:lineRule="auto"/>
        <w:rPr>
          <w:rFonts w:eastAsiaTheme="majorEastAsia"/>
        </w:rPr>
      </w:pPr>
      <w:r w:rsidRPr="00417F3F">
        <w:rPr>
          <w:rFonts w:eastAsiaTheme="majorEastAsia"/>
        </w:rPr>
        <w:t>This is not a flaw unique to Minnesota sentencing data. It is a basic condition of administrative records. A category is a decision, and a code is not the event itself. Official statistics reflect the organizational processes through which institutions identify, classify, and record conduct. The dataset therefore records the bureaucratic address assigned to a case after it has passed through the criminal-justice funnel, not an unmediated account of the underlying event (Kitsuse &amp; Cicourel, 1963, pp. 136–137).</w:t>
      </w:r>
    </w:p>
    <w:p w14:paraId="6BBFC942" w14:textId="388BB933" w:rsidR="00AE6EB4" w:rsidRPr="00AE6EB4" w:rsidRDefault="00AE6EB4" w:rsidP="00837046">
      <w:pPr>
        <w:spacing w:line="480" w:lineRule="auto"/>
        <w:rPr>
          <w:rFonts w:eastAsiaTheme="majorEastAsia"/>
        </w:rPr>
      </w:pPr>
      <w:r w:rsidRPr="00AE6EB4">
        <w:rPr>
          <w:rFonts w:eastAsiaTheme="majorEastAsia"/>
        </w:rPr>
        <w:lastRenderedPageBreak/>
        <w:t>The off-grid records make the point even sharper. The most serious records in the dataset, the first-degree murder cases, do not receive a numeric severity value at all. The machine’s silence is information. It tells the reader that the grid has an outside and that some of the highest-stakes cases live there.</w:t>
      </w:r>
    </w:p>
    <w:p w14:paraId="3798DE04" w14:textId="77777777" w:rsidR="00AE6EB4" w:rsidRPr="00AE6EB4" w:rsidRDefault="00AE6EB4" w:rsidP="00837046">
      <w:pPr>
        <w:spacing w:line="480" w:lineRule="auto"/>
        <w:rPr>
          <w:rFonts w:eastAsiaTheme="majorEastAsia"/>
        </w:rPr>
      </w:pPr>
      <w:r w:rsidRPr="00AE6EB4">
        <w:rPr>
          <w:rFonts w:eastAsiaTheme="majorEastAsia"/>
        </w:rPr>
        <w:t>The core lesson of this module is that offense severity is not one simple scale. It is a historically layered field that records multiple sentencing grids, statutory exclusions, and reforms over time. The mistake it prevents is treating all severity values as if they belong to one continuous ladder. From this point forward, every use of severity must begin by asking which grid produced the code. The next module extends the same discipline to criminal-history score, where the past becomes a number and enters the second axis of the grid.</w:t>
      </w:r>
    </w:p>
    <w:p w14:paraId="7E8A0ECC" w14:textId="77777777" w:rsidR="00AE6EB4" w:rsidRPr="00AE6EB4" w:rsidRDefault="00AE6EB4" w:rsidP="00837046">
      <w:pPr>
        <w:pStyle w:val="Heading3"/>
        <w:spacing w:line="480" w:lineRule="auto"/>
      </w:pPr>
      <w:r w:rsidRPr="00AE6EB4">
        <w:t>Checkpoints for Interpretation</w:t>
      </w:r>
    </w:p>
    <w:p w14:paraId="1166B607" w14:textId="77777777" w:rsidR="00AE6EB4" w:rsidRPr="00AE6EB4" w:rsidRDefault="00AE6EB4" w:rsidP="00837046">
      <w:pPr>
        <w:spacing w:line="480" w:lineRule="auto"/>
        <w:rPr>
          <w:rFonts w:eastAsiaTheme="majorEastAsia"/>
        </w:rPr>
      </w:pPr>
      <w:r w:rsidRPr="00AE6EB4">
        <w:rPr>
          <w:rFonts w:eastAsiaTheme="majorEastAsia"/>
        </w:rPr>
        <w:t>A student who can read the severity column should be able to identify four code families. Codes 1 through 11 belong to the Standard Grid. Codes A through H belong to the Sex Offender Grid during this dataset’s observation window. Codes 51 through 59 belong to the Drug Offender Grid as stored in this dataset. “Murder 1” does not belong to the top row of the Standard Grid. It identifies first-degree murder, which is off-grid because the sentence is mandatory life.</w:t>
      </w:r>
    </w:p>
    <w:p w14:paraId="2C61DF38" w14:textId="77777777" w:rsidR="00AE6EB4" w:rsidRPr="00AE6EB4" w:rsidRDefault="00AE6EB4" w:rsidP="00837046">
      <w:pPr>
        <w:spacing w:line="480" w:lineRule="auto"/>
        <w:rPr>
          <w:rFonts w:eastAsiaTheme="majorEastAsia"/>
        </w:rPr>
      </w:pPr>
      <w:r w:rsidRPr="00AE6EB4">
        <w:rPr>
          <w:rFonts w:eastAsiaTheme="majorEastAsia"/>
        </w:rPr>
        <w:t>The student should also be able to avoid the bare-D error. A record coded severity “D” belongs to the Sex Offender Grid, not the Drug Offender Grid. The drug grid’s published labels use D1 through D9, but this dataset stores those levels as 51 through 59.</w:t>
      </w:r>
    </w:p>
    <w:p w14:paraId="41BD356B" w14:textId="77777777" w:rsidR="00AE6EB4" w:rsidRPr="00AE6EB4" w:rsidRDefault="00AE6EB4" w:rsidP="00837046">
      <w:pPr>
        <w:spacing w:line="480" w:lineRule="auto"/>
        <w:rPr>
          <w:rFonts w:eastAsiaTheme="majorEastAsia"/>
        </w:rPr>
      </w:pPr>
      <w:r w:rsidRPr="00AE6EB4">
        <w:rPr>
          <w:rFonts w:eastAsiaTheme="majorEastAsia"/>
        </w:rPr>
        <w:t>The student should understand why standard deviation collapses within a single grid cell. A cell fixes the presumptive sentence for typical cases within it. Variation therefore lives largely between cells, not within them.</w:t>
      </w:r>
    </w:p>
    <w:p w14:paraId="12B72E0E" w14:textId="77777777" w:rsidR="00AE6EB4" w:rsidRPr="00AE6EB4" w:rsidRDefault="00AE6EB4" w:rsidP="00837046">
      <w:pPr>
        <w:spacing w:line="480" w:lineRule="auto"/>
        <w:rPr>
          <w:rFonts w:eastAsiaTheme="majorEastAsia"/>
        </w:rPr>
      </w:pPr>
      <w:r w:rsidRPr="00AE6EB4">
        <w:rPr>
          <w:rFonts w:eastAsiaTheme="majorEastAsia"/>
        </w:rPr>
        <w:lastRenderedPageBreak/>
        <w:t>Finally, the student should be able to explain how undocumented codes can be verified. The strongest evidence that the fifty-series codes encode drug-grid levels is not simply that there are nine values. It is that the codes appear after the 2016 reform, attach almost entirely to drug offenses, and follow the expected frequency pattern of Minnesota drug sentencing.</w:t>
      </w:r>
    </w:p>
    <w:p w14:paraId="186E7CF2" w14:textId="77777777" w:rsidR="00AE6EB4" w:rsidRPr="00AE6EB4" w:rsidRDefault="00AE6EB4" w:rsidP="00837046">
      <w:pPr>
        <w:pStyle w:val="Heading3"/>
        <w:spacing w:line="480" w:lineRule="auto"/>
      </w:pPr>
      <w:r w:rsidRPr="00AE6EB4">
        <w:t>References</w:t>
      </w:r>
    </w:p>
    <w:p w14:paraId="05CC5A24" w14:textId="77777777" w:rsidR="00AE6EB4" w:rsidRDefault="00AE6EB4" w:rsidP="00837046">
      <w:pPr>
        <w:spacing w:line="480" w:lineRule="auto"/>
        <w:rPr>
          <w:rFonts w:eastAsiaTheme="majorEastAsia"/>
        </w:rPr>
      </w:pPr>
      <w:r w:rsidRPr="00AE6EB4">
        <w:rPr>
          <w:rFonts w:eastAsiaTheme="majorEastAsia"/>
        </w:rPr>
        <w:t xml:space="preserve">Frase, R. S. (2005). Sentencing guidelines in Minnesota, 1978–2003. </w:t>
      </w:r>
      <w:r w:rsidRPr="00AE6EB4">
        <w:rPr>
          <w:rFonts w:eastAsiaTheme="majorEastAsia"/>
          <w:i/>
          <w:iCs/>
        </w:rPr>
        <w:t>Crime and Justice, 32</w:t>
      </w:r>
      <w:r w:rsidRPr="00AE6EB4">
        <w:rPr>
          <w:rFonts w:eastAsiaTheme="majorEastAsia"/>
        </w:rPr>
        <w:t xml:space="preserve">, 131–219. </w:t>
      </w:r>
      <w:hyperlink r:id="rId51" w:history="1">
        <w:r w:rsidRPr="00AE6EB4">
          <w:rPr>
            <w:rStyle w:val="Hyperlink"/>
          </w:rPr>
          <w:t>https://doi.org/10.1086/655</w:t>
        </w:r>
        <w:r w:rsidRPr="00AE6EB4">
          <w:rPr>
            <w:rStyle w:val="Hyperlink"/>
          </w:rPr>
          <w:t>3</w:t>
        </w:r>
        <w:r w:rsidRPr="00AE6EB4">
          <w:rPr>
            <w:rStyle w:val="Hyperlink"/>
          </w:rPr>
          <w:t>54</w:t>
        </w:r>
      </w:hyperlink>
    </w:p>
    <w:p w14:paraId="1C6F90FB" w14:textId="0BBA7CD3" w:rsidR="00417F3F" w:rsidRPr="00AE6EB4" w:rsidRDefault="00417F3F" w:rsidP="00837046">
      <w:pPr>
        <w:spacing w:line="480" w:lineRule="auto"/>
        <w:rPr>
          <w:rFonts w:eastAsiaTheme="majorEastAsia"/>
        </w:rPr>
      </w:pPr>
      <w:r w:rsidRPr="00417F3F">
        <w:rPr>
          <w:rFonts w:eastAsiaTheme="majorEastAsia"/>
        </w:rPr>
        <w:t xml:space="preserve">Kitsuse, J. I., &amp; Cicourel, A. V. (1963). A note on the uses of official statistics. </w:t>
      </w:r>
      <w:r w:rsidRPr="00417F3F">
        <w:rPr>
          <w:rFonts w:eastAsiaTheme="majorEastAsia"/>
          <w:i/>
          <w:iCs/>
        </w:rPr>
        <w:t>Social Problems, 11</w:t>
      </w:r>
      <w:r w:rsidRPr="00417F3F">
        <w:rPr>
          <w:rFonts w:eastAsiaTheme="majorEastAsia"/>
        </w:rPr>
        <w:t xml:space="preserve">(2), 131–139. </w:t>
      </w:r>
      <w:hyperlink r:id="rId52" w:history="1">
        <w:r w:rsidRPr="00271A47">
          <w:rPr>
            <w:rStyle w:val="Hyperlink"/>
            <w:rFonts w:eastAsiaTheme="majorEastAsia"/>
          </w:rPr>
          <w:t>https://doi.org/10.2307/799220</w:t>
        </w:r>
      </w:hyperlink>
      <w:r>
        <w:rPr>
          <w:rFonts w:eastAsiaTheme="majorEastAsia"/>
        </w:rPr>
        <w:t xml:space="preserve"> </w:t>
      </w:r>
    </w:p>
    <w:p w14:paraId="6D5DE991" w14:textId="77777777" w:rsidR="00D1438F" w:rsidRPr="00D1438F" w:rsidRDefault="00D1438F" w:rsidP="00837046">
      <w:pPr>
        <w:spacing w:line="480" w:lineRule="auto"/>
        <w:rPr>
          <w:rFonts w:eastAsiaTheme="majorEastAsia"/>
        </w:rPr>
      </w:pPr>
      <w:r w:rsidRPr="00D1438F">
        <w:rPr>
          <w:rFonts w:eastAsiaTheme="majorEastAsia"/>
        </w:rPr>
        <w:t xml:space="preserve">Minn. Stat. § 152.025. (2025). </w:t>
      </w:r>
      <w:r w:rsidRPr="00D1438F">
        <w:rPr>
          <w:rFonts w:eastAsiaTheme="majorEastAsia"/>
          <w:i/>
          <w:iCs/>
        </w:rPr>
        <w:t>Controlled substance crime in the fifth degree</w:t>
      </w:r>
      <w:r w:rsidRPr="00D1438F">
        <w:rPr>
          <w:rFonts w:eastAsiaTheme="majorEastAsia"/>
        </w:rPr>
        <w:t xml:space="preserve">. </w:t>
      </w:r>
      <w:hyperlink r:id="rId53" w:tgtFrame="_new" w:history="1">
        <w:r w:rsidRPr="00D1438F">
          <w:rPr>
            <w:rStyle w:val="Hyperlink"/>
            <w:rFonts w:eastAsiaTheme="majorEastAsia"/>
          </w:rPr>
          <w:t>https://www.revisor.mn.gov/statutes/cite/152.025</w:t>
        </w:r>
      </w:hyperlink>
    </w:p>
    <w:p w14:paraId="46D65730" w14:textId="77777777" w:rsidR="00D1438F" w:rsidRPr="00D1438F" w:rsidRDefault="00D1438F" w:rsidP="00837046">
      <w:pPr>
        <w:spacing w:line="480" w:lineRule="auto"/>
        <w:rPr>
          <w:rFonts w:eastAsiaTheme="majorEastAsia"/>
        </w:rPr>
      </w:pPr>
      <w:r w:rsidRPr="00D1438F">
        <w:rPr>
          <w:rFonts w:eastAsiaTheme="majorEastAsia"/>
        </w:rPr>
        <w:t xml:space="preserve">Minn. Stat. § 244.09. (2025). </w:t>
      </w:r>
      <w:r w:rsidRPr="00D1438F">
        <w:rPr>
          <w:rFonts w:eastAsiaTheme="majorEastAsia"/>
          <w:i/>
          <w:iCs/>
        </w:rPr>
        <w:t>Minnesota Sentencing Guidelines Commission</w:t>
      </w:r>
      <w:r w:rsidRPr="00D1438F">
        <w:rPr>
          <w:rFonts w:eastAsiaTheme="majorEastAsia"/>
        </w:rPr>
        <w:t xml:space="preserve">. </w:t>
      </w:r>
      <w:hyperlink r:id="rId54" w:tgtFrame="_new" w:history="1">
        <w:r w:rsidRPr="00D1438F">
          <w:rPr>
            <w:rStyle w:val="Hyperlink"/>
            <w:rFonts w:eastAsiaTheme="majorEastAsia"/>
          </w:rPr>
          <w:t>https://www.revisor.mn.gov/statutes/cite/244.09</w:t>
        </w:r>
      </w:hyperlink>
    </w:p>
    <w:p w14:paraId="27DB9B7D" w14:textId="7E9903BF" w:rsidR="00D1438F" w:rsidRPr="00D1438F" w:rsidRDefault="00D1438F" w:rsidP="00837046">
      <w:pPr>
        <w:spacing w:line="480" w:lineRule="auto"/>
        <w:rPr>
          <w:rFonts w:eastAsiaTheme="majorEastAsia"/>
        </w:rPr>
      </w:pPr>
      <w:r w:rsidRPr="00D1438F">
        <w:rPr>
          <w:rFonts w:eastAsiaTheme="majorEastAsia"/>
        </w:rPr>
        <w:t>Minn. Stat. § 244.10. (2025).</w:t>
      </w:r>
      <w:r w:rsidR="006A75E7" w:rsidRPr="006A75E7">
        <w:t xml:space="preserve"> </w:t>
      </w:r>
      <w:r w:rsidR="006A75E7" w:rsidRPr="006A75E7">
        <w:rPr>
          <w:rFonts w:eastAsiaTheme="majorEastAsia"/>
          <w:i/>
          <w:iCs/>
        </w:rPr>
        <w:t>Sentencing Hearing; Deviation from Guidelines</w:t>
      </w:r>
      <w:r w:rsidR="006A75E7">
        <w:rPr>
          <w:rFonts w:eastAsiaTheme="majorEastAsia"/>
        </w:rPr>
        <w:t xml:space="preserve"> </w:t>
      </w:r>
      <w:hyperlink r:id="rId55" w:tgtFrame="_new" w:history="1">
        <w:r w:rsidRPr="00D1438F">
          <w:rPr>
            <w:rStyle w:val="Hyperlink"/>
            <w:rFonts w:eastAsiaTheme="majorEastAsia"/>
          </w:rPr>
          <w:t>https://www.revisor.mn.gov/statutes/cite/</w:t>
        </w:r>
        <w:r w:rsidRPr="00D1438F">
          <w:rPr>
            <w:rStyle w:val="Hyperlink"/>
            <w:rFonts w:eastAsiaTheme="majorEastAsia"/>
          </w:rPr>
          <w:t>2</w:t>
        </w:r>
        <w:r w:rsidRPr="00D1438F">
          <w:rPr>
            <w:rStyle w:val="Hyperlink"/>
            <w:rFonts w:eastAsiaTheme="majorEastAsia"/>
          </w:rPr>
          <w:t>44.10</w:t>
        </w:r>
      </w:hyperlink>
    </w:p>
    <w:p w14:paraId="2EE8D617" w14:textId="77777777" w:rsidR="00D1438F" w:rsidRPr="00D1438F" w:rsidRDefault="00D1438F" w:rsidP="00837046">
      <w:pPr>
        <w:spacing w:line="480" w:lineRule="auto"/>
        <w:rPr>
          <w:rFonts w:eastAsiaTheme="majorEastAsia"/>
        </w:rPr>
      </w:pPr>
      <w:r w:rsidRPr="00D1438F">
        <w:rPr>
          <w:rFonts w:eastAsiaTheme="majorEastAsia"/>
        </w:rPr>
        <w:t xml:space="preserve">Minn. Stat. § 609.135. (2025). </w:t>
      </w:r>
      <w:r w:rsidRPr="00D1438F">
        <w:rPr>
          <w:rFonts w:eastAsiaTheme="majorEastAsia"/>
          <w:i/>
          <w:iCs/>
        </w:rPr>
        <w:t>Stay of imposition or execution of sentence</w:t>
      </w:r>
      <w:r w:rsidRPr="00D1438F">
        <w:rPr>
          <w:rFonts w:eastAsiaTheme="majorEastAsia"/>
        </w:rPr>
        <w:t xml:space="preserve">. </w:t>
      </w:r>
      <w:hyperlink r:id="rId56" w:tgtFrame="_new" w:history="1">
        <w:r w:rsidRPr="00D1438F">
          <w:rPr>
            <w:rStyle w:val="Hyperlink"/>
            <w:rFonts w:eastAsiaTheme="majorEastAsia"/>
          </w:rPr>
          <w:t>https://www.revisor.mn.gov/statutes/cite/609.135</w:t>
        </w:r>
      </w:hyperlink>
    </w:p>
    <w:p w14:paraId="3569F55E" w14:textId="77777777" w:rsidR="00D1438F" w:rsidRPr="00D1438F" w:rsidRDefault="00D1438F" w:rsidP="00837046">
      <w:pPr>
        <w:spacing w:line="480" w:lineRule="auto"/>
        <w:rPr>
          <w:rFonts w:eastAsiaTheme="majorEastAsia"/>
        </w:rPr>
      </w:pPr>
      <w:r w:rsidRPr="00D1438F">
        <w:rPr>
          <w:rFonts w:eastAsiaTheme="majorEastAsia"/>
        </w:rPr>
        <w:t xml:space="preserve">Minn. Stat. § 609.185. (2025). </w:t>
      </w:r>
      <w:r w:rsidRPr="00D1438F">
        <w:rPr>
          <w:rFonts w:eastAsiaTheme="majorEastAsia"/>
          <w:i/>
          <w:iCs/>
        </w:rPr>
        <w:t>Murder in the first degree</w:t>
      </w:r>
      <w:r w:rsidRPr="00D1438F">
        <w:rPr>
          <w:rFonts w:eastAsiaTheme="majorEastAsia"/>
        </w:rPr>
        <w:t xml:space="preserve">. </w:t>
      </w:r>
      <w:hyperlink r:id="rId57" w:tgtFrame="_new" w:history="1">
        <w:r w:rsidRPr="00D1438F">
          <w:rPr>
            <w:rStyle w:val="Hyperlink"/>
            <w:rFonts w:eastAsiaTheme="majorEastAsia"/>
          </w:rPr>
          <w:t>https://www.revisor.mn.gov/statutes/cite/609.185</w:t>
        </w:r>
      </w:hyperlink>
    </w:p>
    <w:p w14:paraId="69A08FCC" w14:textId="77777777" w:rsidR="006A75E7" w:rsidRDefault="006A75E7" w:rsidP="00837046">
      <w:pPr>
        <w:spacing w:line="480" w:lineRule="auto"/>
        <w:rPr>
          <w:rFonts w:eastAsiaTheme="majorEastAsia"/>
        </w:rPr>
      </w:pPr>
      <w:r w:rsidRPr="006A75E7">
        <w:rPr>
          <w:rFonts w:eastAsiaTheme="majorEastAsia"/>
        </w:rPr>
        <w:t xml:space="preserve">Minn. Stat. § 609.3455. (2025). </w:t>
      </w:r>
      <w:r w:rsidRPr="006A75E7">
        <w:rPr>
          <w:rFonts w:eastAsiaTheme="majorEastAsia"/>
          <w:i/>
          <w:iCs/>
        </w:rPr>
        <w:t>Dangerous sex offenders; life sentences; conditional release</w:t>
      </w:r>
      <w:r w:rsidRPr="006A75E7">
        <w:rPr>
          <w:rFonts w:eastAsiaTheme="majorEastAsia"/>
        </w:rPr>
        <w:t xml:space="preserve">. </w:t>
      </w:r>
      <w:hyperlink r:id="rId58" w:tgtFrame="_new" w:history="1">
        <w:r w:rsidRPr="006A75E7">
          <w:rPr>
            <w:rStyle w:val="Hyperlink"/>
            <w:rFonts w:eastAsiaTheme="majorEastAsia"/>
          </w:rPr>
          <w:t>https://www.revisor.mn.gov/statutes/cite/609.3455</w:t>
        </w:r>
      </w:hyperlink>
    </w:p>
    <w:p w14:paraId="78AB6CF9" w14:textId="43C4A2A6" w:rsidR="009E2DBA" w:rsidRDefault="009E2DBA" w:rsidP="00837046">
      <w:pPr>
        <w:spacing w:line="480" w:lineRule="auto"/>
        <w:rPr>
          <w:rFonts w:eastAsiaTheme="majorEastAsia"/>
        </w:rPr>
      </w:pPr>
      <w:r w:rsidRPr="009E2DBA">
        <w:lastRenderedPageBreak/>
        <w:t>Minnesota Sentencing Guidelines Commission. (2012). Sentencing practices: Controlled substance offenses sentenced in 2010.</w:t>
      </w:r>
      <w:r w:rsidRPr="009E2DBA">
        <w:rPr>
          <w:rFonts w:eastAsiaTheme="majorEastAsia"/>
        </w:rPr>
        <w:t xml:space="preserve"> </w:t>
      </w:r>
      <w:hyperlink r:id="rId59" w:tgtFrame="_new" w:history="1">
        <w:r w:rsidRPr="009E2DBA">
          <w:rPr>
            <w:rStyle w:val="Hyperlink"/>
            <w:rFonts w:eastAsiaTheme="majorEastAsia"/>
          </w:rPr>
          <w:t>https://www.lrl.mn.gov/docs/2013/other/130860.pdf</w:t>
        </w:r>
      </w:hyperlink>
    </w:p>
    <w:p w14:paraId="2D4B3C03" w14:textId="3B6DEAB5" w:rsidR="006A75E7" w:rsidRDefault="006A75E7" w:rsidP="00837046">
      <w:pPr>
        <w:spacing w:line="480" w:lineRule="auto"/>
        <w:rPr>
          <w:rFonts w:eastAsiaTheme="majorEastAsia"/>
        </w:rPr>
      </w:pPr>
      <w:r w:rsidRPr="006A75E7">
        <w:rPr>
          <w:rFonts w:eastAsiaTheme="majorEastAsia"/>
        </w:rPr>
        <w:t xml:space="preserve">Minnesota Sentencing Guidelines Commission. (2013). </w:t>
      </w:r>
      <w:r w:rsidRPr="006A75E7">
        <w:rPr>
          <w:rFonts w:eastAsiaTheme="majorEastAsia"/>
          <w:i/>
          <w:iCs/>
        </w:rPr>
        <w:t>Sentencing practices: Failure-to-register offenses sentenced in 2012</w:t>
      </w:r>
      <w:r w:rsidRPr="006A75E7">
        <w:rPr>
          <w:rFonts w:eastAsiaTheme="majorEastAsia"/>
        </w:rPr>
        <w:t xml:space="preserve">. State of Minnesota. </w:t>
      </w:r>
      <w:hyperlink r:id="rId60" w:tgtFrame="_new" w:history="1">
        <w:r w:rsidRPr="006A75E7">
          <w:rPr>
            <w:rStyle w:val="Hyperlink"/>
            <w:rFonts w:eastAsiaTheme="majorEastAsia"/>
          </w:rPr>
          <w:t>https://www.lrl.mn.gov/docs/2014/other/141024.pdf</w:t>
        </w:r>
      </w:hyperlink>
    </w:p>
    <w:p w14:paraId="415A7470" w14:textId="6F626861" w:rsidR="00AE6EB4" w:rsidRDefault="00AE6EB4" w:rsidP="00837046">
      <w:pPr>
        <w:spacing w:line="480" w:lineRule="auto"/>
        <w:rPr>
          <w:rFonts w:eastAsiaTheme="majorEastAsia"/>
        </w:rPr>
      </w:pPr>
      <w:r w:rsidRPr="00AE6EB4">
        <w:rPr>
          <w:rFonts w:eastAsiaTheme="majorEastAsia"/>
        </w:rPr>
        <w:t xml:space="preserve">Minnesota Sentencing Guidelines Commission. (2019). </w:t>
      </w:r>
      <w:r w:rsidRPr="00AE6EB4">
        <w:rPr>
          <w:rFonts w:eastAsiaTheme="majorEastAsia"/>
          <w:i/>
          <w:iCs/>
        </w:rPr>
        <w:t>Minnesota sentencing guidelines and commentary</w:t>
      </w:r>
      <w:r w:rsidRPr="00AE6EB4">
        <w:rPr>
          <w:rFonts w:eastAsiaTheme="majorEastAsia"/>
        </w:rPr>
        <w:t xml:space="preserve"> (effective August 1, 2019). </w:t>
      </w:r>
      <w:hyperlink r:id="rId61" w:history="1">
        <w:r w:rsidR="00D1438F" w:rsidRPr="00271A47">
          <w:rPr>
            <w:rStyle w:val="Hyperlink"/>
          </w:rPr>
          <w:t>https://mn.gov/msgc-stat/documents/Guidelines/2019/MinnSentencingGuidelinesCommentary.pdf</w:t>
        </w:r>
      </w:hyperlink>
      <w:r w:rsidR="00D1438F">
        <w:t xml:space="preserve"> </w:t>
      </w:r>
    </w:p>
    <w:p w14:paraId="6E960AE3" w14:textId="77777777" w:rsidR="006A75E7" w:rsidRDefault="006A75E7" w:rsidP="00837046">
      <w:pPr>
        <w:spacing w:line="480" w:lineRule="auto"/>
        <w:rPr>
          <w:rFonts w:eastAsiaTheme="majorEastAsia"/>
        </w:rPr>
      </w:pPr>
      <w:r w:rsidRPr="006A75E7">
        <w:rPr>
          <w:rFonts w:eastAsiaTheme="majorEastAsia"/>
        </w:rPr>
        <w:t xml:space="preserve">Minnesota Sentencing Guidelines Commission. (2021). </w:t>
      </w:r>
      <w:r w:rsidRPr="006A75E7">
        <w:rPr>
          <w:rFonts w:eastAsiaTheme="majorEastAsia"/>
          <w:i/>
          <w:iCs/>
        </w:rPr>
        <w:t>2021 1st special session laws: Amendments to crime laws affecting the guidelines</w:t>
      </w:r>
      <w:r w:rsidRPr="006A75E7">
        <w:rPr>
          <w:rFonts w:eastAsiaTheme="majorEastAsia"/>
        </w:rPr>
        <w:t xml:space="preserve">. State of Minnesota. </w:t>
      </w:r>
      <w:hyperlink r:id="rId62" w:tgtFrame="_new" w:history="1">
        <w:r w:rsidRPr="006A75E7">
          <w:rPr>
            <w:rStyle w:val="Hyperlink"/>
            <w:rFonts w:eastAsiaTheme="majorEastAsia"/>
          </w:rPr>
          <w:t>https://mn.gov/sentencing-guidelines/assets/04A1v3-Staff-2021_1SS_LawsAffectingGuidelines_tcm30-489638.pdf</w:t>
        </w:r>
      </w:hyperlink>
    </w:p>
    <w:p w14:paraId="0762AFD8" w14:textId="570ED1DE" w:rsidR="00032AFB" w:rsidRDefault="00AE6EB4" w:rsidP="00837046">
      <w:pPr>
        <w:spacing w:line="480" w:lineRule="auto"/>
        <w:rPr>
          <w:rFonts w:eastAsiaTheme="majorEastAsia"/>
          <w:i/>
          <w:iCs/>
        </w:rPr>
      </w:pPr>
      <w:r w:rsidRPr="00AE6EB4">
        <w:rPr>
          <w:rFonts w:eastAsiaTheme="majorEastAsia"/>
        </w:rPr>
        <w:t xml:space="preserve">Minnesota Sentencing Guidelines Commission. (2024). </w:t>
      </w:r>
      <w:r w:rsidRPr="00AE6EB4">
        <w:rPr>
          <w:rFonts w:eastAsiaTheme="majorEastAsia"/>
          <w:i/>
          <w:iCs/>
        </w:rPr>
        <w:t>2023 sentencing practices: Annual summary statistics for felony cases.</w:t>
      </w:r>
      <w:r w:rsidR="009304AB">
        <w:rPr>
          <w:rFonts w:eastAsiaTheme="majorEastAsia"/>
          <w:i/>
          <w:iCs/>
        </w:rPr>
        <w:t xml:space="preserve"> </w:t>
      </w:r>
      <w:hyperlink r:id="rId63" w:tgtFrame="_new" w:history="1">
        <w:r w:rsidR="009304AB" w:rsidRPr="009304AB">
          <w:rPr>
            <w:rStyle w:val="Hyperlink"/>
            <w:rFonts w:eastAsiaTheme="majorEastAsia"/>
            <w:i/>
            <w:iCs/>
          </w:rPr>
          <w:t>https://mn.gov/sentencing-guidelines/research-data/annualsummary/</w:t>
        </w:r>
      </w:hyperlink>
      <w:r w:rsidR="006A75E7">
        <w:rPr>
          <w:rFonts w:eastAsiaTheme="majorEastAsia"/>
          <w:i/>
          <w:iCs/>
        </w:rPr>
        <w:t xml:space="preserve"> </w:t>
      </w:r>
    </w:p>
    <w:p w14:paraId="45AFCE3F" w14:textId="77777777" w:rsidR="002111F8" w:rsidRDefault="002111F8" w:rsidP="00837046">
      <w:pPr>
        <w:spacing w:line="480" w:lineRule="auto"/>
        <w:rPr>
          <w:rFonts w:eastAsiaTheme="majorEastAsia"/>
          <w:i/>
          <w:iCs/>
        </w:rPr>
      </w:pPr>
      <w:r w:rsidRPr="002111F8">
        <w:rPr>
          <w:rFonts w:eastAsiaTheme="majorEastAsia"/>
          <w:i/>
          <w:iCs/>
        </w:rPr>
        <w:t xml:space="preserve">Minnesota Sentencing Guidelines Commission. (2026). 2024 sentencing practices report: Summary statistics for felony cases. State of Minnesota. </w:t>
      </w:r>
      <w:hyperlink r:id="rId64" w:tgtFrame="_new" w:history="1">
        <w:r w:rsidRPr="002111F8">
          <w:rPr>
            <w:rStyle w:val="Hyperlink"/>
            <w:rFonts w:eastAsiaTheme="majorEastAsia"/>
            <w:i/>
            <w:iCs/>
          </w:rPr>
          <w:t>https://mn.gov/sentencing-guidelines/assets/2024_MSGC_Annual_Summary_Statistics_tcm30-754879.pdf</w:t>
        </w:r>
      </w:hyperlink>
    </w:p>
    <w:p w14:paraId="6C9E54EC" w14:textId="15C87150" w:rsidR="00321E8D" w:rsidRDefault="00321E8D" w:rsidP="00837046">
      <w:pPr>
        <w:spacing w:line="480" w:lineRule="auto"/>
        <w:rPr>
          <w:rFonts w:eastAsiaTheme="majorEastAsia"/>
          <w:i/>
          <w:iCs/>
        </w:rPr>
      </w:pPr>
      <w:r w:rsidRPr="00321E8D">
        <w:rPr>
          <w:rFonts w:eastAsiaTheme="majorEastAsia"/>
          <w:i/>
          <w:iCs/>
        </w:rPr>
        <w:t xml:space="preserve">Minnesota Sentencing Guidelines Commission. (2025). Fifth-degree controlled substance crime, subd. 2(1): Sentenced 2020–2024. State of Minnesota. </w:t>
      </w:r>
      <w:hyperlink r:id="rId65" w:tgtFrame="_new" w:history="1">
        <w:r w:rsidRPr="00321E8D">
          <w:rPr>
            <w:rStyle w:val="Hyperlink"/>
            <w:rFonts w:eastAsiaTheme="majorEastAsia"/>
            <w:i/>
            <w:iCs/>
          </w:rPr>
          <w:t>https://mn.gov/sentencing-guidelines/assets/Drug5_2%281%29_tcm30-696864.pdf</w:t>
        </w:r>
      </w:hyperlink>
    </w:p>
    <w:p w14:paraId="709FD813" w14:textId="77777777" w:rsidR="00817961" w:rsidRDefault="00321E8D" w:rsidP="00837046">
      <w:pPr>
        <w:spacing w:line="480" w:lineRule="auto"/>
      </w:pPr>
      <w:r w:rsidRPr="00321E8D">
        <w:rPr>
          <w:rFonts w:eastAsiaTheme="majorEastAsia"/>
        </w:rPr>
        <w:lastRenderedPageBreak/>
        <w:t xml:space="preserve">Minnesota Sentencing Guidelines Commission. (2024). </w:t>
      </w:r>
      <w:r w:rsidRPr="00321E8D">
        <w:rPr>
          <w:rFonts w:eastAsiaTheme="majorEastAsia"/>
          <w:i/>
          <w:iCs/>
        </w:rPr>
        <w:t>Minnesota sentencing guidelines and commentary</w:t>
      </w:r>
      <w:r w:rsidRPr="00321E8D">
        <w:rPr>
          <w:rFonts w:eastAsiaTheme="majorEastAsia"/>
        </w:rPr>
        <w:t xml:space="preserve">. State of Minnesota. </w:t>
      </w:r>
      <w:hyperlink r:id="rId66" w:history="1">
        <w:r w:rsidRPr="00271A47">
          <w:rPr>
            <w:rStyle w:val="Hyperlink"/>
            <w:rFonts w:eastAsiaTheme="majorEastAsia"/>
          </w:rPr>
          <w:t>https://mn.gov/sentencing-guidelines/assets/2024_Minn_Sentencing_Guidelines_Commentary_tcm30-639154.pdf</w:t>
        </w:r>
      </w:hyperlink>
    </w:p>
    <w:p w14:paraId="7509D2A2" w14:textId="77777777" w:rsidR="006A75E7" w:rsidRDefault="007C3E7B" w:rsidP="00837046">
      <w:pPr>
        <w:spacing w:line="480" w:lineRule="auto"/>
        <w:rPr>
          <w:rFonts w:eastAsiaTheme="majorEastAsia"/>
          <w:i/>
          <w:iCs/>
        </w:rPr>
      </w:pPr>
      <w:r w:rsidRPr="007C3E7B">
        <w:rPr>
          <w:rFonts w:eastAsiaTheme="majorEastAsia"/>
        </w:rPr>
        <w:t xml:space="preserve">Minnesota Sentencing Guidelines Commission. (1980). </w:t>
      </w:r>
      <w:r w:rsidRPr="007C3E7B">
        <w:rPr>
          <w:rFonts w:eastAsiaTheme="majorEastAsia"/>
          <w:i/>
          <w:iCs/>
        </w:rPr>
        <w:t>Sentencing guidelines grid: Presumptive sentence lengths in months</w:t>
      </w:r>
      <w:r w:rsidRPr="007C3E7B">
        <w:rPr>
          <w:rFonts w:eastAsiaTheme="majorEastAsia"/>
        </w:rPr>
        <w:t xml:space="preserve"> [1980 Standard Grid]. State of Minnesota. </w:t>
      </w:r>
      <w:hyperlink r:id="rId67" w:history="1">
        <w:r w:rsidRPr="00271A47">
          <w:rPr>
            <w:rStyle w:val="Hyperlink"/>
            <w:rFonts w:eastAsiaTheme="majorEastAsia"/>
          </w:rPr>
          <w:t>https://mn.gov/sentencing-guidelines/assets/1980-Standard%20Grid_tcm30-31016.pdf</w:t>
        </w:r>
      </w:hyperlink>
      <w:r>
        <w:rPr>
          <w:rFonts w:eastAsiaTheme="majorEastAsia"/>
        </w:rPr>
        <w:t xml:space="preserve"> </w:t>
      </w:r>
    </w:p>
    <w:p w14:paraId="747D3937" w14:textId="3D2C166D" w:rsidR="007C3E7B" w:rsidRPr="006A75E7" w:rsidRDefault="006A75E7" w:rsidP="00837046">
      <w:pPr>
        <w:spacing w:line="480" w:lineRule="auto"/>
        <w:rPr>
          <w:rFonts w:eastAsiaTheme="majorEastAsia"/>
          <w:i/>
          <w:iCs/>
        </w:rPr>
      </w:pPr>
      <w:r w:rsidRPr="00032AFB">
        <w:rPr>
          <w:rFonts w:eastAsiaTheme="majorEastAsia"/>
          <w:i/>
          <w:iCs/>
        </w:rPr>
        <w:t xml:space="preserve">Rothbard, A. (2013). Quality issues in the use of administrative data records. Actionable Intelligence for Social Policy, University of Pennsylvania. </w:t>
      </w:r>
      <w:hyperlink r:id="rId68" w:tgtFrame="_new" w:history="1">
        <w:r w:rsidRPr="00032AFB">
          <w:rPr>
            <w:rStyle w:val="Hyperlink"/>
            <w:rFonts w:eastAsiaTheme="majorEastAsia"/>
            <w:i/>
            <w:iCs/>
          </w:rPr>
          <w:t>https://aisp.upenn.edu/wp-content/uploads/2015/06/Data-Quality-Paper_Final.pdf</w:t>
        </w:r>
      </w:hyperlink>
    </w:p>
    <w:p w14:paraId="247EB4FB" w14:textId="1102A13B" w:rsidR="001C53F8" w:rsidRPr="001C53F8" w:rsidRDefault="001C53F8" w:rsidP="00837046">
      <w:pPr>
        <w:pStyle w:val="Heading2"/>
        <w:spacing w:line="480" w:lineRule="auto"/>
        <w:rPr>
          <w:rFonts w:asciiTheme="minorHAnsi" w:hAnsiTheme="minorHAnsi" w:cstheme="minorBidi"/>
          <w:color w:val="auto"/>
          <w:sz w:val="22"/>
          <w:szCs w:val="22"/>
        </w:rPr>
      </w:pPr>
      <w:r w:rsidRPr="001C53F8">
        <w:t>Module 6: Criminal History — The Second Axis</w:t>
      </w:r>
    </w:p>
    <w:p w14:paraId="1E5D738E" w14:textId="192301BD" w:rsidR="001C53F8" w:rsidRPr="001C53F8" w:rsidRDefault="00624C4E" w:rsidP="00837046">
      <w:pPr>
        <w:spacing w:line="480" w:lineRule="auto"/>
        <w:rPr>
          <w:rFonts w:eastAsiaTheme="majorEastAsia"/>
        </w:rPr>
      </w:pPr>
      <w:r>
        <w:rPr>
          <w:rFonts w:eastAsiaTheme="majorEastAsia"/>
        </w:rPr>
        <w:t>T</w:t>
      </w:r>
      <w:r w:rsidR="0051468A">
        <w:rPr>
          <w:rFonts w:eastAsiaTheme="majorEastAsia"/>
        </w:rPr>
        <w:t>here needs to be a M5 like section for history, but t</w:t>
      </w:r>
      <w:r>
        <w:rPr>
          <w:rFonts w:eastAsiaTheme="majorEastAsia"/>
        </w:rPr>
        <w:t>his is going to require a good deal more research.</w:t>
      </w:r>
    </w:p>
    <w:p w14:paraId="71BB571C" w14:textId="653273EF" w:rsidR="00C47215" w:rsidRPr="00C47215" w:rsidRDefault="00C47215" w:rsidP="00837046">
      <w:pPr>
        <w:pStyle w:val="Heading2"/>
        <w:spacing w:line="480" w:lineRule="auto"/>
      </w:pPr>
      <w:r w:rsidRPr="00C47215">
        <w:t>Module 7: What time Measures</w:t>
      </w:r>
    </w:p>
    <w:p w14:paraId="3B09BDB7" w14:textId="77777777" w:rsidR="00C47215" w:rsidRPr="00C47215" w:rsidRDefault="00C47215" w:rsidP="00837046">
      <w:pPr>
        <w:pStyle w:val="Heading3"/>
        <w:spacing w:line="480" w:lineRule="auto"/>
      </w:pPr>
      <w:r w:rsidRPr="00C47215">
        <w:t>Presumptive, Pronounced, Executed, and Served Time</w:t>
      </w:r>
    </w:p>
    <w:p w14:paraId="7FBFE8B9" w14:textId="77777777" w:rsidR="00C47215" w:rsidRPr="00C47215" w:rsidRDefault="00C47215" w:rsidP="00837046">
      <w:pPr>
        <w:spacing w:line="480" w:lineRule="auto"/>
        <w:rPr>
          <w:rFonts w:eastAsiaTheme="majorEastAsia"/>
        </w:rPr>
      </w:pPr>
      <w:r w:rsidRPr="00C47215">
        <w:rPr>
          <w:rFonts w:eastAsiaTheme="majorEastAsia"/>
        </w:rPr>
        <w:t xml:space="preserve">Throughout these materials, the variable time has done a great deal of work. Students have filtered by offense type, summarized sentence lengths, compared means and medians, and watched the distribution of time change as the view of the data narrowed. Until now, however, the course has deliberately postponed one question that should eventually unsettle every careful reader: what does </w:t>
      </w:r>
      <w:r w:rsidRPr="00C47215">
        <w:rPr>
          <w:rFonts w:eastAsiaTheme="majorEastAsia"/>
          <w:i/>
          <w:iCs/>
        </w:rPr>
        <w:t>time</w:t>
      </w:r>
      <w:r w:rsidRPr="00C47215">
        <w:rPr>
          <w:rFonts w:eastAsiaTheme="majorEastAsia"/>
        </w:rPr>
        <w:t xml:space="preserve"> actually measure?</w:t>
      </w:r>
    </w:p>
    <w:p w14:paraId="004FF9D9" w14:textId="6F9381E4" w:rsidR="00C47215" w:rsidRPr="00C47215" w:rsidRDefault="00C47215" w:rsidP="00837046">
      <w:pPr>
        <w:spacing w:line="480" w:lineRule="auto"/>
        <w:rPr>
          <w:rFonts w:eastAsiaTheme="majorEastAsia"/>
        </w:rPr>
      </w:pPr>
      <w:r w:rsidRPr="00C47215">
        <w:rPr>
          <w:rFonts w:eastAsiaTheme="majorEastAsia"/>
        </w:rPr>
        <w:lastRenderedPageBreak/>
        <w:t xml:space="preserve">The tempting answer is simple: </w:t>
      </w:r>
      <w:r w:rsidRPr="00C47215">
        <w:rPr>
          <w:rFonts w:eastAsiaTheme="majorEastAsia"/>
          <w:i/>
          <w:iCs/>
        </w:rPr>
        <w:t>time</w:t>
      </w:r>
      <w:r w:rsidRPr="00C47215">
        <w:rPr>
          <w:rFonts w:eastAsiaTheme="majorEastAsia"/>
        </w:rPr>
        <w:t xml:space="preserve"> must mean how long a person was sentenced to serve. A row with </w:t>
      </w:r>
      <w:r w:rsidRPr="00C47215">
        <w:rPr>
          <w:rFonts w:eastAsiaTheme="majorEastAsia"/>
          <w:i/>
          <w:iCs/>
        </w:rPr>
        <w:t>time</w:t>
      </w:r>
      <w:r w:rsidRPr="00C47215">
        <w:rPr>
          <w:rFonts w:eastAsiaTheme="majorEastAsia"/>
        </w:rPr>
        <w:t xml:space="preserve"> = 48 appears to say something obvious: this person received 48 months in prison.</w:t>
      </w:r>
      <w:r w:rsidR="006569E2">
        <w:rPr>
          <w:rFonts w:eastAsiaTheme="majorEastAsia"/>
        </w:rPr>
        <w:t xml:space="preserve"> Implied then, they will serve four years in prison.</w:t>
      </w:r>
      <w:r w:rsidRPr="00C47215">
        <w:rPr>
          <w:rFonts w:eastAsiaTheme="majorEastAsia"/>
        </w:rPr>
        <w:t xml:space="preserve"> But that reading compresses several legally distinct ideas into one </w:t>
      </w:r>
      <w:r w:rsidRPr="00F14AC1">
        <w:rPr>
          <w:rFonts w:eastAsiaTheme="majorEastAsia"/>
        </w:rPr>
        <w:t xml:space="preserve">number. </w:t>
      </w:r>
      <w:r w:rsidR="00F14AC1" w:rsidRPr="00F14AC1">
        <w:rPr>
          <w:rFonts w:eastAsiaTheme="majorEastAsia"/>
        </w:rPr>
        <w:t xml:space="preserve">In Minnesota sentencing data, </w:t>
      </w:r>
      <w:r w:rsidR="00F14AC1" w:rsidRPr="00F14AC1">
        <w:rPr>
          <w:rFonts w:eastAsiaTheme="majorEastAsia"/>
          <w:i/>
          <w:iCs/>
        </w:rPr>
        <w:t>time</w:t>
      </w:r>
      <w:r w:rsidR="00F14AC1" w:rsidRPr="00F14AC1">
        <w:rPr>
          <w:rFonts w:eastAsiaTheme="majorEastAsia"/>
        </w:rPr>
        <w:t xml:space="preserve"> is best understood as presumptive sentence duration: the recommended fixed sentence length, measured in months, associated with the applicable sentencing-guidelines grid cell. It is a guideline recommendation, not a complete record of punishment experienced, because the sentence may be stayed, departed from, or divided between imprisonment and supervised release (MSGC, 2024, pp. 5, 7; Minn. Stat. § 244.101, subds. 1–2, 2025).</w:t>
      </w:r>
    </w:p>
    <w:p w14:paraId="17309808" w14:textId="333A84CA" w:rsidR="00C47215" w:rsidRPr="00C47215" w:rsidRDefault="00C47215" w:rsidP="00837046">
      <w:pPr>
        <w:spacing w:line="480" w:lineRule="auto"/>
        <w:rPr>
          <w:rFonts w:eastAsiaTheme="majorEastAsia"/>
        </w:rPr>
      </w:pPr>
      <w:r w:rsidRPr="00C47215">
        <w:rPr>
          <w:rFonts w:eastAsiaTheme="majorEastAsia"/>
        </w:rPr>
        <w:t xml:space="preserve">That distinction changes how every earlier statistic should be read. A median time of 15 months does not necessarily mean that the typical person in the filtered group spent 15 months in prison. A mean time of 48 months does not necessarily mean that the average person served four years. </w:t>
      </w:r>
      <w:r w:rsidR="003B41C4" w:rsidRPr="003B41C4">
        <w:rPr>
          <w:rFonts w:eastAsiaTheme="majorEastAsia"/>
        </w:rPr>
        <w:t>Between the guideline number and punishment experienced stand several mechanisms: whether the sentence is stayed or executed, probation and its conditions, local confinement, dispositional and durational departures, plea-agreement practices, the division of executed sentences between imprisonment and supervised release, and later correctional decisions. MSGC monitoring data capture the sentence pronounced, departure reasons, and local-confinement terms, but do not capture other probation sanctions or subsequent sanctions for probation violations (MSGC, 2026, pp. 21–22, 34, 99–100).</w:t>
      </w:r>
    </w:p>
    <w:p w14:paraId="3E45261A" w14:textId="77777777" w:rsidR="00C47215" w:rsidRPr="00C47215" w:rsidRDefault="00C47215" w:rsidP="00837046">
      <w:pPr>
        <w:spacing w:line="480" w:lineRule="auto"/>
        <w:rPr>
          <w:rFonts w:eastAsiaTheme="majorEastAsia"/>
        </w:rPr>
      </w:pPr>
      <w:r w:rsidRPr="00C47215">
        <w:rPr>
          <w:rFonts w:eastAsiaTheme="majorEastAsia"/>
        </w:rPr>
        <w:t>This module therefore revises the meaning of earlier work without discarding it. The earlier comparisons remain valuable, but their claim must be named precisely. When students compare time, they are comparing presumptive sentence duration. They are not automatically comparing actual prison time, total confinement, or the full experience of punishment.</w:t>
      </w:r>
    </w:p>
    <w:p w14:paraId="7DD38851" w14:textId="77777777" w:rsidR="00C47215" w:rsidRPr="00C47215" w:rsidRDefault="00C47215" w:rsidP="00837046">
      <w:pPr>
        <w:pStyle w:val="Heading3"/>
        <w:spacing w:line="480" w:lineRule="auto"/>
      </w:pPr>
      <w:r w:rsidRPr="00C47215">
        <w:lastRenderedPageBreak/>
        <w:t>The Naive Reading</w:t>
      </w:r>
    </w:p>
    <w:p w14:paraId="37218BC7" w14:textId="329F9886" w:rsidR="00C47215" w:rsidRPr="00C47215" w:rsidRDefault="00C47215" w:rsidP="00837046">
      <w:pPr>
        <w:spacing w:line="480" w:lineRule="auto"/>
        <w:rPr>
          <w:rFonts w:eastAsiaTheme="majorEastAsia"/>
        </w:rPr>
      </w:pPr>
      <w:r w:rsidRPr="00C47215">
        <w:rPr>
          <w:rFonts w:eastAsiaTheme="majorEastAsia"/>
        </w:rPr>
        <w:t>Suppose a student filters the Explorer to a single case and sees time = 48. The first guess is natural: this person spent 48 months in prison. That guess is wrong in several ways.</w:t>
      </w:r>
    </w:p>
    <w:p w14:paraId="1CFC30FB" w14:textId="27589B21" w:rsidR="00C47215" w:rsidRPr="00C47215" w:rsidRDefault="00C47215" w:rsidP="00837046">
      <w:pPr>
        <w:spacing w:line="480" w:lineRule="auto"/>
        <w:rPr>
          <w:rFonts w:eastAsiaTheme="majorEastAsia"/>
        </w:rPr>
      </w:pPr>
      <w:r w:rsidRPr="00C47215">
        <w:rPr>
          <w:rFonts w:eastAsiaTheme="majorEastAsia"/>
        </w:rPr>
        <w:t>First,</w:t>
      </w:r>
      <w:r>
        <w:rPr>
          <w:rFonts w:eastAsiaTheme="majorEastAsia"/>
        </w:rPr>
        <w:t xml:space="preserve"> the kernel of truth:</w:t>
      </w:r>
      <w:r w:rsidRPr="00C47215">
        <w:rPr>
          <w:rFonts w:eastAsiaTheme="majorEastAsia"/>
        </w:rPr>
        <w:t xml:space="preserve"> time is recorded in months. This should already be familiar from earlier modules, especially the recurring value 12.03, which represents one year and one day. </w:t>
      </w:r>
      <w:r>
        <w:rPr>
          <w:rFonts w:eastAsiaTheme="majorEastAsia"/>
        </w:rPr>
        <w:t>However</w:t>
      </w:r>
      <w:r w:rsidRPr="00C47215">
        <w:rPr>
          <w:rFonts w:eastAsiaTheme="majorEastAsia"/>
        </w:rPr>
        <w:t>, time is not necessarily the prison term pronounced by the judge. It represents the presumptive duration associated with the sentencing guidelines.</w:t>
      </w:r>
      <w:r>
        <w:rPr>
          <w:rFonts w:eastAsiaTheme="majorEastAsia"/>
        </w:rPr>
        <w:t xml:space="preserve"> Furthermore</w:t>
      </w:r>
      <w:r w:rsidRPr="00C47215">
        <w:rPr>
          <w:rFonts w:eastAsiaTheme="majorEastAsia"/>
        </w:rPr>
        <w:t>, even when the judge pronounces and executes a prison sentence, the pronounced number is not usually the number of months served inside a state prison.</w:t>
      </w:r>
    </w:p>
    <w:p w14:paraId="11EFBEF0" w14:textId="71FC0E9B" w:rsidR="00C47215" w:rsidRPr="00C47215" w:rsidRDefault="00C47215" w:rsidP="00837046">
      <w:pPr>
        <w:spacing w:line="480" w:lineRule="auto"/>
        <w:rPr>
          <w:rFonts w:eastAsiaTheme="majorEastAsia"/>
        </w:rPr>
      </w:pPr>
      <w:r w:rsidRPr="00C47215">
        <w:rPr>
          <w:rFonts w:eastAsiaTheme="majorEastAsia"/>
        </w:rPr>
        <w:t>The correct answer to “How long in prison if time = 48?” is therefore conditional. If the sentence was stayed, the answer may be zero months in state prison, though the person may still serve local jail time as a condition of probation. If the sentence was executed and followed the ordinary statutory structure, the prison portion would usually be 32 months, with the remaining 16 months served on supervised release. If supervised release was later revoked, or if disciplinary confinement changed the expected path, actual prison time could move closer to the full 48 months (Minn. Stat. § 244.101, 2024; MSGC, 2024).</w:t>
      </w:r>
    </w:p>
    <w:p w14:paraId="357CC80B" w14:textId="77777777" w:rsidR="00C47215" w:rsidRPr="00C47215" w:rsidRDefault="00C47215" w:rsidP="00837046">
      <w:pPr>
        <w:spacing w:line="480" w:lineRule="auto"/>
        <w:rPr>
          <w:rFonts w:eastAsiaTheme="majorEastAsia"/>
        </w:rPr>
      </w:pPr>
      <w:r w:rsidRPr="00C47215">
        <w:rPr>
          <w:rFonts w:eastAsiaTheme="majorEastAsia"/>
        </w:rPr>
        <w:t>One number. Several legal realities. The work of this module is to keep them separate.</w:t>
      </w:r>
    </w:p>
    <w:p w14:paraId="0F131315" w14:textId="77777777" w:rsidR="00C47215" w:rsidRPr="00C47215" w:rsidRDefault="00C47215" w:rsidP="00837046">
      <w:pPr>
        <w:pStyle w:val="Heading3"/>
        <w:spacing w:line="480" w:lineRule="auto"/>
      </w:pPr>
      <w:r w:rsidRPr="00C47215">
        <w:t>What “Presumptive” Means</w:t>
      </w:r>
    </w:p>
    <w:p w14:paraId="69CFD23C" w14:textId="77777777" w:rsidR="00C47215" w:rsidRPr="00C47215" w:rsidRDefault="00C47215" w:rsidP="00837046">
      <w:pPr>
        <w:spacing w:line="480" w:lineRule="auto"/>
        <w:rPr>
          <w:rFonts w:eastAsiaTheme="majorEastAsia"/>
        </w:rPr>
      </w:pPr>
      <w:r w:rsidRPr="00C47215">
        <w:rPr>
          <w:rFonts w:eastAsiaTheme="majorEastAsia"/>
        </w:rPr>
        <w:t>Minnesota’s sentencing guidelines generate a presumptive sentence from two central inputs: the severity level of the conviction offense and the person’s criminal-history score. The sentencing grid combines those two axes. Where offense severity and criminal history intersect, the grid supplies the presumptive sentence (MSGC, 2024a).</w:t>
      </w:r>
    </w:p>
    <w:p w14:paraId="64C13E2F" w14:textId="77777777" w:rsidR="00C47215" w:rsidRPr="00C47215" w:rsidRDefault="00C47215" w:rsidP="00837046">
      <w:pPr>
        <w:spacing w:line="480" w:lineRule="auto"/>
        <w:rPr>
          <w:rFonts w:eastAsiaTheme="majorEastAsia"/>
        </w:rPr>
      </w:pPr>
      <w:r w:rsidRPr="00C47215">
        <w:rPr>
          <w:rFonts w:eastAsiaTheme="majorEastAsia"/>
        </w:rPr>
        <w:lastRenderedPageBreak/>
        <w:t>A presumptive sentence answers two questions at once. The first is disposition: should the sentence be executed as a state-prison commitment, or should it be stayed? The second is duration: what fixed term of months does the grid recommend? These are related but distinct questions. A case may have a presumptive duration, but that does not mean the person will necessarily serve that duration in prison.</w:t>
      </w:r>
    </w:p>
    <w:p w14:paraId="647B6A9D" w14:textId="77777777" w:rsidR="00C47215" w:rsidRPr="00C47215" w:rsidRDefault="00C47215" w:rsidP="00837046">
      <w:pPr>
        <w:spacing w:line="480" w:lineRule="auto"/>
        <w:rPr>
          <w:rFonts w:eastAsiaTheme="majorEastAsia"/>
        </w:rPr>
      </w:pPr>
      <w:r w:rsidRPr="00C47215">
        <w:rPr>
          <w:rFonts w:eastAsiaTheme="majorEastAsia"/>
        </w:rPr>
        <w:t>The word “presumptive” matters because the grid is not a machine that strips the court of all discretion. Minnesota law requires the Guidelines to provide a range around the fixed duration. For presumptive executed prison sentences, the permissible range extends 15 percent below and 20 percent above the fixed duration, and a sentence inside that range is not a departure merely because it differs from the exact grid number (Minn. Stat. § 244.09, 2024; MSGC, 2024a). A 48-month presumptive sentence, for example, does not mean that 44 months is automatically a downward durational departure. It may remain within the presumptive range.</w:t>
      </w:r>
    </w:p>
    <w:p w14:paraId="6DB5E532" w14:textId="77777777" w:rsidR="00C47215" w:rsidRPr="00C47215" w:rsidRDefault="00C47215" w:rsidP="00837046">
      <w:pPr>
        <w:spacing w:line="480" w:lineRule="auto"/>
        <w:rPr>
          <w:rFonts w:eastAsiaTheme="majorEastAsia"/>
        </w:rPr>
      </w:pPr>
      <w:r w:rsidRPr="00C47215">
        <w:rPr>
          <w:rFonts w:eastAsiaTheme="majorEastAsia"/>
        </w:rPr>
        <w:t xml:space="preserve">This is the first correction to the earlier use of time: the number is not a natural measurement, like height or temperature. It is the output of a legal structure. Offense severity, criminal history, sentencing policy, statutory rules, and administrative recordkeeping all pass through the grid before appearing as a number in the dataset. The grid is the machinery; </w:t>
      </w:r>
      <w:r w:rsidRPr="00C47215">
        <w:rPr>
          <w:rFonts w:eastAsiaTheme="majorEastAsia"/>
          <w:i/>
          <w:iCs/>
        </w:rPr>
        <w:t>time</w:t>
      </w:r>
      <w:r w:rsidRPr="00C47215">
        <w:rPr>
          <w:rFonts w:eastAsiaTheme="majorEastAsia"/>
        </w:rPr>
        <w:t xml:space="preserve"> is one of its outputs.</w:t>
      </w:r>
    </w:p>
    <w:p w14:paraId="76269909" w14:textId="77777777" w:rsidR="00C47215" w:rsidRPr="00C47215" w:rsidRDefault="00C47215" w:rsidP="00837046">
      <w:pPr>
        <w:pStyle w:val="Heading3"/>
        <w:spacing w:line="480" w:lineRule="auto"/>
      </w:pPr>
      <w:r w:rsidRPr="00C47215">
        <w:t>The First Exit: Stayed Sentences</w:t>
      </w:r>
    </w:p>
    <w:p w14:paraId="41C9E16F" w14:textId="77777777" w:rsidR="00C47215" w:rsidRPr="00C47215" w:rsidRDefault="00C47215" w:rsidP="00837046">
      <w:pPr>
        <w:spacing w:line="480" w:lineRule="auto"/>
        <w:rPr>
          <w:rFonts w:eastAsiaTheme="majorEastAsia"/>
        </w:rPr>
      </w:pPr>
      <w:r w:rsidRPr="00C47215">
        <w:rPr>
          <w:rFonts w:eastAsiaTheme="majorEastAsia"/>
        </w:rPr>
        <w:t xml:space="preserve">The largest reason </w:t>
      </w:r>
      <w:r w:rsidRPr="00C47215">
        <w:rPr>
          <w:rFonts w:eastAsiaTheme="majorEastAsia"/>
          <w:i/>
          <w:iCs/>
        </w:rPr>
        <w:t>time</w:t>
      </w:r>
      <w:r w:rsidRPr="00C47215">
        <w:rPr>
          <w:rFonts w:eastAsiaTheme="majorEastAsia"/>
        </w:rPr>
        <w:t xml:space="preserve"> is not time served is that most Minnesota felony sentences are not executed as state-prison sentences. A sentence can be stayed. When a sentence is stayed, the person does not immediately go to state prison. Instead, the court places the person on probation, often with conditions that may include local confinement, treatment, restitution, supervision, or other sanctions (Minn. Stat. § 609.135, 2024; MSGC, 2024a).</w:t>
      </w:r>
    </w:p>
    <w:p w14:paraId="78DA4034" w14:textId="77777777" w:rsidR="00C47215" w:rsidRPr="00C47215" w:rsidRDefault="00C47215" w:rsidP="00837046">
      <w:pPr>
        <w:spacing w:line="480" w:lineRule="auto"/>
        <w:rPr>
          <w:rFonts w:eastAsiaTheme="majorEastAsia"/>
        </w:rPr>
      </w:pPr>
      <w:r w:rsidRPr="00C47215">
        <w:rPr>
          <w:rFonts w:eastAsiaTheme="majorEastAsia"/>
        </w:rPr>
        <w:lastRenderedPageBreak/>
        <w:t>Minnesota law recognizes two main stay types. In a stay of execution, the court pronounces a prison sentence but suspends its execution. The prison term exists, but it is not carried out unless the person violates probation. The sentence is, in effect, held over the case. In a stay of imposition, the court does not pronounce a prison duration at all. If the person successfully completes probation, Minnesota law provides that the conviction may be deemed a misdemeanor for certain purposes (Minn. Stat. § 609.13, 2024; Minn. Stat. § 609.135, 2024; MSGC, 2024a).</w:t>
      </w:r>
    </w:p>
    <w:p w14:paraId="67DE05C5" w14:textId="77777777" w:rsidR="00C47215" w:rsidRPr="00C47215" w:rsidRDefault="00C47215" w:rsidP="00837046">
      <w:pPr>
        <w:spacing w:line="480" w:lineRule="auto"/>
        <w:rPr>
          <w:rFonts w:eastAsiaTheme="majorEastAsia"/>
        </w:rPr>
      </w:pPr>
      <w:r w:rsidRPr="00C47215">
        <w:rPr>
          <w:rFonts w:eastAsiaTheme="majorEastAsia"/>
        </w:rPr>
        <w:t>A stayed sentence should not be confused with no punishment. A person may still be placed on probation and may still serve local confinement as a condition of that probation. The Guidelines allow local confinement of up to 364 days as a condition of a stayed sentence (MSGC, 2025). Thus, a person may avoid state prison while still experiencing substantial criminal punishment.</w:t>
      </w:r>
    </w:p>
    <w:p w14:paraId="4B905293" w14:textId="77777777" w:rsidR="00C47215" w:rsidRPr="00C47215" w:rsidRDefault="00C47215" w:rsidP="00837046">
      <w:pPr>
        <w:spacing w:line="480" w:lineRule="auto"/>
        <w:rPr>
          <w:rFonts w:eastAsiaTheme="majorEastAsia"/>
        </w:rPr>
      </w:pPr>
      <w:r w:rsidRPr="00C47215">
        <w:rPr>
          <w:rFonts w:eastAsiaTheme="majorEastAsia"/>
        </w:rPr>
        <w:t>The scale of this distinction is large. In 2024, the actual state-prison rate for Minnesota felony cases was 24 percent, meaning roughly one-quarter of felony cases resulted in an executed prison sentence. At the same time, the total incarceration rate, counting either state prison or local confinement, was 88 percent (MSGC, 2026). Those two facts must be read together. Minnesota confines many people convicted of felonies, but it does not usually do so through executed state-prison sentences for the full guideline duration.</w:t>
      </w:r>
    </w:p>
    <w:p w14:paraId="7ABC9C7A" w14:textId="77777777" w:rsidR="00C47215" w:rsidRPr="00C47215" w:rsidRDefault="00C47215" w:rsidP="00837046">
      <w:pPr>
        <w:spacing w:line="480" w:lineRule="auto"/>
        <w:rPr>
          <w:rFonts w:eastAsiaTheme="majorEastAsia"/>
        </w:rPr>
      </w:pPr>
      <w:r w:rsidRPr="00C47215">
        <w:rPr>
          <w:rFonts w:eastAsiaTheme="majorEastAsia"/>
        </w:rPr>
        <w:t>This is the first major interpretive rule of the module: before reading time as prison exposure, ask whether the sentence was executed. If it was stayed, the two-thirds prison calculation discussed below does not describe what happened.</w:t>
      </w:r>
    </w:p>
    <w:p w14:paraId="30CBF4AC" w14:textId="77777777" w:rsidR="00C47215" w:rsidRPr="00C47215" w:rsidRDefault="00C47215" w:rsidP="00837046">
      <w:pPr>
        <w:pStyle w:val="Heading3"/>
        <w:spacing w:line="480" w:lineRule="auto"/>
      </w:pPr>
      <w:r w:rsidRPr="00C47215">
        <w:t>The Second Exit: The Two-Thirds Rule</w:t>
      </w:r>
    </w:p>
    <w:p w14:paraId="1B764A2C" w14:textId="77777777" w:rsidR="00C47215" w:rsidRPr="00C47215" w:rsidRDefault="00C47215" w:rsidP="00837046">
      <w:pPr>
        <w:spacing w:line="480" w:lineRule="auto"/>
        <w:rPr>
          <w:rFonts w:eastAsiaTheme="majorEastAsia"/>
        </w:rPr>
      </w:pPr>
      <w:r w:rsidRPr="00C47215">
        <w:rPr>
          <w:rFonts w:eastAsiaTheme="majorEastAsia"/>
        </w:rPr>
        <w:t xml:space="preserve">Even when a sentence is executed, the pronounced sentence is not the same thing as expected prison time. For felony offenses committed on or after August 1, 1993, Minnesota divides an </w:t>
      </w:r>
      <w:r w:rsidRPr="00C47215">
        <w:rPr>
          <w:rFonts w:eastAsiaTheme="majorEastAsia"/>
        </w:rPr>
        <w:lastRenderedPageBreak/>
        <w:t>executed sentence into two parts: a term of imprisonment equal to two-thirds of the executed sentence and a supervised release term equal to the remaining one-third (Minn. Stat. § 244.101, 2024).</w:t>
      </w:r>
    </w:p>
    <w:p w14:paraId="24082BBD" w14:textId="77777777" w:rsidR="00C47215" w:rsidRPr="00C47215" w:rsidRDefault="00C47215" w:rsidP="00837046">
      <w:pPr>
        <w:spacing w:line="480" w:lineRule="auto"/>
        <w:rPr>
          <w:rFonts w:eastAsiaTheme="majorEastAsia"/>
        </w:rPr>
      </w:pPr>
      <w:r w:rsidRPr="00C47215">
        <w:rPr>
          <w:rFonts w:eastAsiaTheme="majorEastAsia"/>
        </w:rPr>
        <w:t>A 48-month executed sentence therefore ordinarily means 32 months in prison and 16 months on supervised release. A 60-month executed sentence ordinarily means 40 months in prison and 20 months on supervised release. The sentencing court is required to explain this structure when pronouncing sentence, including the total executed sentence, the term of imprisonment, and the supervised release term (Minn. Stat. § 244.101, 2024; MSGC, 2024a).</w:t>
      </w:r>
    </w:p>
    <w:p w14:paraId="6882BC83" w14:textId="77777777" w:rsidR="00C47215" w:rsidRPr="00C47215" w:rsidRDefault="00C47215" w:rsidP="00837046">
      <w:pPr>
        <w:spacing w:line="480" w:lineRule="auto"/>
        <w:rPr>
          <w:rFonts w:eastAsiaTheme="majorEastAsia"/>
        </w:rPr>
      </w:pPr>
      <w:r w:rsidRPr="00C47215">
        <w:rPr>
          <w:rFonts w:eastAsiaTheme="majorEastAsia"/>
        </w:rPr>
        <w:t>The two-thirds rule is not a guarantee that the person will permanently leave prison after two-thirds of the sentence. Supervised release can be revoked, and disciplinary violations may extend confinement. Minnesota law permits the correctional system to impose consequences for violations that can change the amount of time actually spent in custody (Minn. Stat. § 244.05, 2024; Minn. Stat. § 244.101, 2024). Still, the two-thirds rule provides the ordinary translation between an executed sentence and its prison component.</w:t>
      </w:r>
    </w:p>
    <w:p w14:paraId="7A86D909" w14:textId="77777777" w:rsidR="00C47215" w:rsidRPr="00C47215" w:rsidRDefault="00C47215" w:rsidP="00837046">
      <w:pPr>
        <w:spacing w:line="480" w:lineRule="auto"/>
        <w:rPr>
          <w:rFonts w:eastAsiaTheme="majorEastAsia"/>
        </w:rPr>
      </w:pPr>
      <w:r w:rsidRPr="00C47215">
        <w:rPr>
          <w:rFonts w:eastAsiaTheme="majorEastAsia"/>
        </w:rPr>
        <w:t>This is the second major interpretive rule of the module: even for executed prison sentences, time overstates ordinary prison time if read as months inside a prison. The ordinary prison term is two-thirds of the executed sentence, not the full sentence.</w:t>
      </w:r>
    </w:p>
    <w:p w14:paraId="22411A3E" w14:textId="77777777" w:rsidR="00C47215" w:rsidRPr="00C47215" w:rsidRDefault="00C47215" w:rsidP="00837046">
      <w:pPr>
        <w:pStyle w:val="Heading3"/>
        <w:spacing w:line="480" w:lineRule="auto"/>
      </w:pPr>
      <w:r w:rsidRPr="00C47215">
        <w:t>Departures: When the Court Leaves the Presumptive Path</w:t>
      </w:r>
    </w:p>
    <w:p w14:paraId="36988C9F" w14:textId="77777777" w:rsidR="00C47215" w:rsidRPr="00C47215" w:rsidRDefault="00C47215" w:rsidP="00837046">
      <w:pPr>
        <w:spacing w:line="480" w:lineRule="auto"/>
        <w:rPr>
          <w:rFonts w:eastAsiaTheme="majorEastAsia"/>
        </w:rPr>
      </w:pPr>
      <w:r w:rsidRPr="00C47215">
        <w:rPr>
          <w:rFonts w:eastAsiaTheme="majorEastAsia"/>
        </w:rPr>
        <w:t>The next gap between time and punishment comes from departures. A departure occurs when the court imposes a sentence outside the presumptive recommendation of the Guidelines. Minnesota distinguishes between dispositional departures and durational departures (MSGC, 2024a, 2026).</w:t>
      </w:r>
    </w:p>
    <w:p w14:paraId="15579046" w14:textId="7A94E76B" w:rsidR="00C47215" w:rsidRPr="00C47215" w:rsidRDefault="00C47215" w:rsidP="00837046">
      <w:pPr>
        <w:spacing w:line="480" w:lineRule="auto"/>
        <w:rPr>
          <w:rFonts w:eastAsiaTheme="majorEastAsia"/>
        </w:rPr>
      </w:pPr>
      <w:r w:rsidRPr="00C47215">
        <w:rPr>
          <w:rFonts w:eastAsiaTheme="majorEastAsia"/>
        </w:rPr>
        <w:lastRenderedPageBreak/>
        <w:t>A dispositional departure changes the kind of sentence. If the Guidelines recommend a stayed sentence but the court executes prison, the departure is aggravated. If the Guidelines recommend prison but the court stays the sentence, the departure is mitigated. A durational departure changes the length of the sentence. If the sentence falls more than 15 percent below the fixed duration, it is a mitigated durational departure. If it rises more than 20 percent above the fixed duration, it is an aggravated durational departure (Minn. Stat. § 244.09, 2024; MSGC, 2024).</w:t>
      </w:r>
    </w:p>
    <w:p w14:paraId="5B467F1B" w14:textId="77777777" w:rsidR="00C47215" w:rsidRPr="00C47215" w:rsidRDefault="00C47215" w:rsidP="00837046">
      <w:pPr>
        <w:spacing w:line="480" w:lineRule="auto"/>
        <w:rPr>
          <w:rFonts w:eastAsiaTheme="majorEastAsia"/>
        </w:rPr>
      </w:pPr>
      <w:r w:rsidRPr="00C47215">
        <w:rPr>
          <w:rFonts w:eastAsiaTheme="majorEastAsia"/>
        </w:rPr>
        <w:t>The direction of departures matters. In 2024, 41 percent of presumptive-commitment cases received mitigated dispositional departures, meaning the Guidelines recommended prison but the court stayed the sentence. As a share of all felony cases, mitigated dispositional departures were about 16 percent (MSGC, 2026). Both statistics are true, but they answer different questions. The first asks: among cases where the Guidelines recommended prison, how often did the court stay the sentence instead? The second asks: among all felony cases, how common was that outcome?</w:t>
      </w:r>
    </w:p>
    <w:p w14:paraId="3A87190F" w14:textId="77777777" w:rsidR="00C47215" w:rsidRPr="00C47215" w:rsidRDefault="00C47215" w:rsidP="00837046">
      <w:pPr>
        <w:spacing w:line="480" w:lineRule="auto"/>
        <w:rPr>
          <w:rFonts w:eastAsiaTheme="majorEastAsia"/>
        </w:rPr>
      </w:pPr>
      <w:r w:rsidRPr="00C47215">
        <w:rPr>
          <w:rFonts w:eastAsiaTheme="majorEastAsia"/>
        </w:rPr>
        <w:t>The difference is a denominator lesson wearing a sentencing costume. Whenever a departure statistic appears, the first question should be: departure rate among what population? A percentage of presumptive-commitment cases and a percentage of all felony cases are not interchangeable. Confusing them turns a real statistic into a carnival mirror.</w:t>
      </w:r>
    </w:p>
    <w:p w14:paraId="6BD91DA7" w14:textId="77777777" w:rsidR="00C47215" w:rsidRPr="00C47215" w:rsidRDefault="00C47215" w:rsidP="00837046">
      <w:pPr>
        <w:spacing w:line="480" w:lineRule="auto"/>
        <w:rPr>
          <w:rFonts w:eastAsiaTheme="majorEastAsia"/>
        </w:rPr>
      </w:pPr>
      <w:r w:rsidRPr="00C47215">
        <w:rPr>
          <w:rFonts w:eastAsiaTheme="majorEastAsia"/>
        </w:rPr>
        <w:t xml:space="preserve">Departures show why </w:t>
      </w:r>
      <w:r w:rsidRPr="00CC450B">
        <w:rPr>
          <w:rFonts w:eastAsiaTheme="majorEastAsia"/>
          <w:i/>
          <w:iCs/>
        </w:rPr>
        <w:t>time</w:t>
      </w:r>
      <w:r w:rsidRPr="00C47215">
        <w:rPr>
          <w:rFonts w:eastAsiaTheme="majorEastAsia"/>
        </w:rPr>
        <w:t xml:space="preserve"> should not be read as a simple prediction. The grid gives a presumptive recommendation, but the court may lawfully depart when substantial and compelling reasons justify doing so. A departure is not an error in the data. It is part of the sentencing system the data records.</w:t>
      </w:r>
    </w:p>
    <w:p w14:paraId="03537B45" w14:textId="77777777" w:rsidR="00C47215" w:rsidRPr="00C47215" w:rsidRDefault="00C47215" w:rsidP="00837046">
      <w:pPr>
        <w:pStyle w:val="Heading3"/>
        <w:spacing w:line="480" w:lineRule="auto"/>
      </w:pPr>
      <w:r w:rsidRPr="00C47215">
        <w:lastRenderedPageBreak/>
        <w:t>Plea Bargaining’s Shadow</w:t>
      </w:r>
    </w:p>
    <w:p w14:paraId="74D960E6" w14:textId="78ACBE27" w:rsidR="009815EB" w:rsidRDefault="009815EB" w:rsidP="00837046">
      <w:pPr>
        <w:spacing w:line="480" w:lineRule="auto"/>
        <w:rPr>
          <w:rFonts w:eastAsiaTheme="majorEastAsia"/>
        </w:rPr>
      </w:pPr>
      <w:r w:rsidRPr="009815EB">
        <w:rPr>
          <w:rFonts w:eastAsiaTheme="majorEastAsia"/>
        </w:rPr>
        <w:t>Departures do not capture all discretion. A departure records movement away from the presumptive sentence attached to the conviction offense. But the conviction offense may itself be the product of earlier discretionary choices, including charging, plea negotiation, charge reduction, dismissal, amendment, or the retention of multiple counts. Those choices occur before the applicable guideline cell is selected (Miethe &amp; Moore, 1987</w:t>
      </w:r>
      <w:r w:rsidR="00901464">
        <w:rPr>
          <w:rFonts w:eastAsiaTheme="majorEastAsia"/>
        </w:rPr>
        <w:t>, pp. 38-39</w:t>
      </w:r>
      <w:r w:rsidRPr="009815EB">
        <w:rPr>
          <w:rFonts w:eastAsiaTheme="majorEastAsia"/>
        </w:rPr>
        <w:t>; MSGC, 2024).</w:t>
      </w:r>
    </w:p>
    <w:p w14:paraId="60656608" w14:textId="05504E52" w:rsidR="00C47215" w:rsidRPr="00C47215" w:rsidRDefault="00C47215" w:rsidP="00837046">
      <w:pPr>
        <w:spacing w:line="480" w:lineRule="auto"/>
        <w:rPr>
          <w:rFonts w:eastAsiaTheme="majorEastAsia"/>
        </w:rPr>
      </w:pPr>
      <w:r w:rsidRPr="00C47215">
        <w:rPr>
          <w:rFonts w:eastAsiaTheme="majorEastAsia"/>
        </w:rPr>
        <w:t>This matters because a case can be transformed before time is ever calculated. If a charge is reduced through plea bargaining, the case may land in a different offense category or severity level. The Guidelines then compute a presumptive sentence for the conviction offense, not for every charge initially filed or every fact alleged. From the perspective of the sentencing grid, the sentence may appear compliant. From the perspective of the larger criminal-justice funnel, important discretion has already occurred upstream.</w:t>
      </w:r>
    </w:p>
    <w:p w14:paraId="2D083233" w14:textId="77777777" w:rsidR="00C47215" w:rsidRPr="00C47215" w:rsidRDefault="00C47215" w:rsidP="00837046">
      <w:pPr>
        <w:spacing w:line="480" w:lineRule="auto"/>
        <w:rPr>
          <w:rFonts w:eastAsiaTheme="majorEastAsia"/>
        </w:rPr>
      </w:pPr>
      <w:r w:rsidRPr="00C47215">
        <w:rPr>
          <w:rFonts w:eastAsiaTheme="majorEastAsia"/>
        </w:rPr>
        <w:t>This extends the classification lesson from Module 4. The Minnesota Offense Code records the offense classification that survived the process, not the full underlying event. In the same way, time records the presumptive sentence attached to the conviction structure that survived the process, not the whole path of charging and negotiation that produced it. The dataset sees the final sentencing record more clearly than it sees the bargaining that shaped the record.</w:t>
      </w:r>
    </w:p>
    <w:p w14:paraId="2E7A9A95" w14:textId="77777777" w:rsidR="00C47215" w:rsidRPr="00C47215" w:rsidRDefault="00C47215" w:rsidP="00837046">
      <w:pPr>
        <w:pStyle w:val="Heading3"/>
        <w:spacing w:line="480" w:lineRule="auto"/>
      </w:pPr>
      <w:r w:rsidRPr="00C47215">
        <w:t>Explorer Task: Translating time Through the Two-Thirds Rule</w:t>
      </w:r>
    </w:p>
    <w:p w14:paraId="3089079E" w14:textId="77777777" w:rsidR="00C47215" w:rsidRPr="00C47215" w:rsidRDefault="00C47215" w:rsidP="00837046">
      <w:pPr>
        <w:spacing w:line="480" w:lineRule="auto"/>
        <w:rPr>
          <w:rFonts w:eastAsiaTheme="majorEastAsia"/>
        </w:rPr>
      </w:pPr>
      <w:r w:rsidRPr="00C47215">
        <w:rPr>
          <w:rFonts w:eastAsiaTheme="majorEastAsia"/>
        </w:rPr>
        <w:t>Here is a task a student could undertake with the Explorer to understand the central lesson of this module: the difference between correct arithmetic and correct interpretation.</w:t>
      </w:r>
    </w:p>
    <w:p w14:paraId="13F608CD" w14:textId="77777777" w:rsidR="00C47215" w:rsidRPr="00C47215" w:rsidRDefault="00C47215" w:rsidP="00837046">
      <w:pPr>
        <w:spacing w:line="480" w:lineRule="auto"/>
        <w:rPr>
          <w:rFonts w:eastAsiaTheme="majorEastAsia"/>
        </w:rPr>
      </w:pPr>
      <w:r w:rsidRPr="00C47215">
        <w:rPr>
          <w:rFonts w:eastAsiaTheme="majorEastAsia"/>
        </w:rPr>
        <w:t xml:space="preserve">The task asks students to filter to a familiar offense category, read the median time, translate that median through the two-thirds rule, and then ask whether that calculation applied to the right </w:t>
      </w:r>
      <w:r w:rsidRPr="00C47215">
        <w:rPr>
          <w:rFonts w:eastAsiaTheme="majorEastAsia"/>
        </w:rPr>
        <w:lastRenderedPageBreak/>
        <w:t>population. The task is intentionally simple. The arithmetic is not the point. The point is to teach students that a calculation can be mathematically correct while being substantively wrong because it was applied to cases the rule does not describe.</w:t>
      </w:r>
    </w:p>
    <w:p w14:paraId="60BC5020" w14:textId="77777777" w:rsidR="00C47215" w:rsidRPr="00C47215" w:rsidRDefault="00C47215" w:rsidP="00837046">
      <w:pPr>
        <w:spacing w:line="480" w:lineRule="auto"/>
        <w:rPr>
          <w:rFonts w:eastAsiaTheme="majorEastAsia"/>
        </w:rPr>
      </w:pPr>
      <w:r w:rsidRPr="00C47215">
        <w:rPr>
          <w:rFonts w:eastAsiaTheme="majorEastAsia"/>
        </w:rPr>
        <w:t>This task uses terroristic threats, reached through the filter chain moc1 = A and then moc2 = 9. This offense category is chosen for three reasons. First, students have already encountered it in earlier modules, so the classification is familiar. Second, its sentence distribution was previously used as a relatively compact example, making it less likely that the lab will be dominated by extreme outliers. Third, it gives students a clean setting in which to see how disposition changes the population under analysis.</w:t>
      </w:r>
    </w:p>
    <w:p w14:paraId="335AC98C" w14:textId="77777777" w:rsidR="00C47215" w:rsidRPr="00C47215" w:rsidRDefault="00C47215" w:rsidP="00837046">
      <w:pPr>
        <w:spacing w:line="480" w:lineRule="auto"/>
        <w:rPr>
          <w:rFonts w:eastAsiaTheme="majorEastAsia"/>
        </w:rPr>
      </w:pPr>
      <w:r w:rsidRPr="00C47215">
        <w:rPr>
          <w:rFonts w:eastAsiaTheme="majorEastAsia"/>
        </w:rPr>
        <w:t>What students should learn is precise: the two-thirds rule applies only to executed sentences. If students calculate two-thirds of the median time for all terroristic-threats cases, they have performed correct arithmetic on the wrong denominator. Only after filtering to executed prison sentences does the calculation describe the population to which the rule actually applies.</w:t>
      </w:r>
    </w:p>
    <w:p w14:paraId="3CF2C53E" w14:textId="60635709" w:rsidR="00C47215" w:rsidRPr="00C47215" w:rsidRDefault="00C47215" w:rsidP="00837046">
      <w:pPr>
        <w:spacing w:line="480" w:lineRule="auto"/>
        <w:rPr>
          <w:rFonts w:eastAsiaTheme="majorEastAsia"/>
        </w:rPr>
      </w:pPr>
      <w:r w:rsidRPr="00C47215">
        <w:rPr>
          <w:rFonts w:eastAsiaTheme="majorEastAsia"/>
        </w:rPr>
        <w:t>To begin, students should clear the Explorer and apply the filters moc1 = A and moc2 = 9. They should then read the descriptive statistics for time, beginning with N. N is the denominator for every claim that follows. Students should then record the median of time.</w:t>
      </w:r>
    </w:p>
    <w:p w14:paraId="4885BD01" w14:textId="77777777" w:rsidR="00C47215" w:rsidRPr="00C47215" w:rsidRDefault="00C47215" w:rsidP="00837046">
      <w:pPr>
        <w:spacing w:line="480" w:lineRule="auto"/>
        <w:rPr>
          <w:rFonts w:eastAsiaTheme="majorEastAsia"/>
        </w:rPr>
      </w:pPr>
      <w:r w:rsidRPr="00C47215">
        <w:rPr>
          <w:rFonts w:eastAsiaTheme="majorEastAsia"/>
        </w:rPr>
        <w:t>If the median is 15 months, the two-thirds translation is simple. Two-thirds of 15 months is 10 months. The remaining one-third is 5 months. Under an executed sentence, that would ordinarily mean 10 months in prison and 5 months on supervised release (Minn. Stat. § 244.101, 2024). At this point, the arithmetic is correct.</w:t>
      </w:r>
    </w:p>
    <w:p w14:paraId="4DB0B544" w14:textId="77777777" w:rsidR="00C47215" w:rsidRPr="00C47215" w:rsidRDefault="00C47215" w:rsidP="00837046">
      <w:pPr>
        <w:spacing w:line="480" w:lineRule="auto"/>
        <w:rPr>
          <w:rFonts w:eastAsiaTheme="majorEastAsia"/>
        </w:rPr>
      </w:pPr>
      <w:r w:rsidRPr="00C47215">
        <w:rPr>
          <w:rFonts w:eastAsiaTheme="majorEastAsia"/>
        </w:rPr>
        <w:t xml:space="preserve">But the interpretive problem is now visible. The filtered terroristic-threats view includes all sentencing records in that offense category, not only executed prison sentences. Many of those </w:t>
      </w:r>
      <w:r w:rsidRPr="00C47215">
        <w:rPr>
          <w:rFonts w:eastAsiaTheme="majorEastAsia"/>
        </w:rPr>
        <w:lastRenderedPageBreak/>
        <w:t>sentences may have been stayed. For stayed sentences, the two-thirds prison calculation describes nothing. It is a prison-sentence calculation applied to a group that includes non-prison sentences.</w:t>
      </w:r>
    </w:p>
    <w:p w14:paraId="0F26CCBF" w14:textId="77777777" w:rsidR="00C47215" w:rsidRPr="00C47215" w:rsidRDefault="00C47215" w:rsidP="00837046">
      <w:pPr>
        <w:spacing w:line="480" w:lineRule="auto"/>
        <w:rPr>
          <w:rFonts w:eastAsiaTheme="majorEastAsia"/>
        </w:rPr>
      </w:pPr>
      <w:r w:rsidRPr="00C47215">
        <w:rPr>
          <w:rFonts w:eastAsiaTheme="majorEastAsia"/>
        </w:rPr>
        <w:t xml:space="preserve">The next step is therefore to add a disposition filter. Students should keep the terroristic-threats filters in place and add </w:t>
      </w:r>
      <w:r w:rsidRPr="00CC450B">
        <w:rPr>
          <w:rFonts w:eastAsiaTheme="majorEastAsia"/>
          <w:i/>
          <w:iCs/>
        </w:rPr>
        <w:t>prison</w:t>
      </w:r>
      <w:r w:rsidRPr="00C47215">
        <w:rPr>
          <w:rFonts w:eastAsiaTheme="majorEastAsia"/>
        </w:rPr>
        <w:t xml:space="preserve"> = Yes, using the column that identifies whether the case resulted in an executed prison sentence. This creates the population to which the two-thirds rule is relevant.</w:t>
      </w:r>
    </w:p>
    <w:p w14:paraId="5E896319" w14:textId="7450D4FC" w:rsidR="00C47215" w:rsidRPr="00C47215" w:rsidRDefault="00C47215" w:rsidP="00837046">
      <w:pPr>
        <w:spacing w:line="480" w:lineRule="auto"/>
        <w:rPr>
          <w:rFonts w:eastAsiaTheme="majorEastAsia"/>
        </w:rPr>
      </w:pPr>
      <w:r w:rsidRPr="00C47215">
        <w:rPr>
          <w:rFonts w:eastAsiaTheme="majorEastAsia"/>
        </w:rPr>
        <w:t>The JSON version of the lab reports two expected findings. First, N collapses sharply when the filter is limited to executed prison sentences. Second, the executed-only median rises to about 27 months, compared with about 15 months in the all-cases view. The cases that result in prison are selected. They are not a random sample of all terroristic-threats cases. They are likely to be more serious cases, cases involving higher criminal-history scores, cases with aggravating features, or cases that differ in other recorded and unrecorded ways.</w:t>
      </w:r>
    </w:p>
    <w:p w14:paraId="57AB9A43" w14:textId="77777777" w:rsidR="00C47215" w:rsidRPr="00C47215" w:rsidRDefault="00C47215" w:rsidP="00837046">
      <w:pPr>
        <w:spacing w:line="480" w:lineRule="auto"/>
        <w:rPr>
          <w:rFonts w:eastAsiaTheme="majorEastAsia"/>
        </w:rPr>
      </w:pPr>
      <w:r w:rsidRPr="00C47215">
        <w:rPr>
          <w:rFonts w:eastAsiaTheme="majorEastAsia"/>
        </w:rPr>
        <w:t>That shift is the finding. Filtering to the population for which the two-thirds rule actually applies changes the statistic. The student who translated the all-cases median did not fail at arithmetic. They failed at population definition.</w:t>
      </w:r>
    </w:p>
    <w:p w14:paraId="6D49D08F" w14:textId="77777777" w:rsidR="00C47215" w:rsidRPr="00C47215" w:rsidRDefault="00C47215" w:rsidP="00837046">
      <w:pPr>
        <w:spacing w:line="480" w:lineRule="auto"/>
        <w:rPr>
          <w:rFonts w:eastAsiaTheme="majorEastAsia"/>
        </w:rPr>
      </w:pPr>
      <w:r w:rsidRPr="00C47215">
        <w:rPr>
          <w:rFonts w:eastAsiaTheme="majorEastAsia"/>
        </w:rPr>
        <w:t>The desired takeaway is this sentence: a correct calculation applied to the wrong population produces a confidently wrong answer.</w:t>
      </w:r>
    </w:p>
    <w:p w14:paraId="43D2DE15" w14:textId="77777777" w:rsidR="00C47215" w:rsidRPr="00C47215" w:rsidRDefault="00C47215" w:rsidP="00837046">
      <w:pPr>
        <w:pStyle w:val="Heading3"/>
        <w:spacing w:line="480" w:lineRule="auto"/>
      </w:pPr>
      <w:r w:rsidRPr="00C47215">
        <w:t>What the Dataset Can and Cannot Tell You</w:t>
      </w:r>
    </w:p>
    <w:p w14:paraId="0B9EA745" w14:textId="77777777" w:rsidR="00C47215" w:rsidRPr="00C47215" w:rsidRDefault="00C47215" w:rsidP="00837046">
      <w:pPr>
        <w:spacing w:line="480" w:lineRule="auto"/>
        <w:rPr>
          <w:rFonts w:eastAsiaTheme="majorEastAsia"/>
        </w:rPr>
      </w:pPr>
      <w:r w:rsidRPr="00C47215">
        <w:rPr>
          <w:rFonts w:eastAsiaTheme="majorEastAsia"/>
        </w:rPr>
        <w:t xml:space="preserve">The dataset can help students improve the calculation. If the prison column records whether a sentence was executed, then students can filter to executed cases before applying the two-thirds rule. That creates a better descriptive claim: among executed prison sentences in a given filtered </w:t>
      </w:r>
      <w:r w:rsidRPr="00C47215">
        <w:rPr>
          <w:rFonts w:eastAsiaTheme="majorEastAsia"/>
        </w:rPr>
        <w:lastRenderedPageBreak/>
        <w:t>view, the median sentence can be translated into an ordinary imprisonment term and supervised release term under Minnesota’s two-thirds structure.</w:t>
      </w:r>
    </w:p>
    <w:p w14:paraId="6083BB29" w14:textId="77777777" w:rsidR="00C47215" w:rsidRPr="00C47215" w:rsidRDefault="00C47215" w:rsidP="00837046">
      <w:pPr>
        <w:spacing w:line="480" w:lineRule="auto"/>
        <w:rPr>
          <w:rFonts w:eastAsiaTheme="majorEastAsia"/>
        </w:rPr>
      </w:pPr>
      <w:r w:rsidRPr="00C47215">
        <w:rPr>
          <w:rFonts w:eastAsiaTheme="majorEastAsia"/>
        </w:rPr>
        <w:t>But the dataset still has a ceiling. It does not fully reconstruct punishment experienced. For stayed sentences, it may not fully report local jail time served as a condition of probation. For executed sentences, it may not show whether supervised release was later revoked. It may not show whether disciplinary violations extended confinement. It does not show every charge initially filed, every dismissed count, every plea negotiation, or every unrecorded fact that shaped the conviction offense.</w:t>
      </w:r>
    </w:p>
    <w:p w14:paraId="38AFFD78" w14:textId="77777777" w:rsidR="00C47215" w:rsidRPr="00C47215" w:rsidRDefault="00C47215" w:rsidP="00837046">
      <w:pPr>
        <w:spacing w:line="480" w:lineRule="auto"/>
        <w:rPr>
          <w:rFonts w:eastAsiaTheme="majorEastAsia"/>
        </w:rPr>
      </w:pPr>
      <w:r w:rsidRPr="00C47215">
        <w:rPr>
          <w:rFonts w:eastAsiaTheme="majorEastAsia"/>
        </w:rPr>
        <w:t>Those omissions are not technical trivia. They mark the boundary between a sentencing dataset and a full account of punishment. The time column is an excellent measure of guideline structure. It is useful for comparing presumptive sentence duration across offense categories, years, criminal-history scores, and recorded groups. It is a much weaker proxy for actual time served.</w:t>
      </w:r>
    </w:p>
    <w:p w14:paraId="529BBBCF" w14:textId="77777777" w:rsidR="00C47215" w:rsidRPr="00C47215" w:rsidRDefault="00C47215" w:rsidP="00837046">
      <w:pPr>
        <w:spacing w:line="480" w:lineRule="auto"/>
        <w:rPr>
          <w:rFonts w:eastAsiaTheme="majorEastAsia"/>
        </w:rPr>
      </w:pPr>
      <w:r w:rsidRPr="00C47215">
        <w:rPr>
          <w:rFonts w:eastAsiaTheme="majorEastAsia"/>
        </w:rPr>
        <w:t>This distinction will matter even more in later modules. If one group has a higher median time than another, the dataset has identified a difference in presumptive sentence duration. It has not automatically identified a difference in actual prison months served. The same caution applies to offense categories, years, sex, race, and any other comparison built from time.</w:t>
      </w:r>
    </w:p>
    <w:p w14:paraId="3B80DE86" w14:textId="77777777" w:rsidR="00C47215" w:rsidRPr="00C47215" w:rsidRDefault="00C47215" w:rsidP="00837046">
      <w:pPr>
        <w:pStyle w:val="Heading3"/>
        <w:spacing w:line="480" w:lineRule="auto"/>
      </w:pPr>
      <w:r w:rsidRPr="00C47215">
        <w:t>Summary</w:t>
      </w:r>
    </w:p>
    <w:p w14:paraId="59E58ADA" w14:textId="77777777" w:rsidR="00C47215" w:rsidRPr="00C47215" w:rsidRDefault="00C47215" w:rsidP="00837046">
      <w:pPr>
        <w:spacing w:line="480" w:lineRule="auto"/>
        <w:rPr>
          <w:rFonts w:eastAsiaTheme="majorEastAsia"/>
        </w:rPr>
      </w:pPr>
      <w:r w:rsidRPr="00C47215">
        <w:rPr>
          <w:rFonts w:eastAsiaTheme="majorEastAsia"/>
        </w:rPr>
        <w:t xml:space="preserve">The core claims of this module can be restated compactly. The variable </w:t>
      </w:r>
      <w:r w:rsidRPr="00CC450B">
        <w:rPr>
          <w:rFonts w:eastAsiaTheme="majorEastAsia"/>
          <w:i/>
          <w:iCs/>
        </w:rPr>
        <w:t>time</w:t>
      </w:r>
      <w:r w:rsidRPr="00C47215">
        <w:rPr>
          <w:rFonts w:eastAsiaTheme="majorEastAsia"/>
        </w:rPr>
        <w:t xml:space="preserve"> records presumptive sentence duration in months. It is not, by itself, a record of prison time served. A presumptive sentence combines disposition and duration: whether the Guidelines recommend prison or a stay, and for how long. Many felony sentences are stayed, meaning no state-prison term is immediately executed. Even when a sentence is executed, Minnesota’s two-thirds rule ordinarily divides it into a </w:t>
      </w:r>
      <w:r w:rsidRPr="00C47215">
        <w:rPr>
          <w:rFonts w:eastAsiaTheme="majorEastAsia"/>
        </w:rPr>
        <w:lastRenderedPageBreak/>
        <w:t>prison term and a supervised release term. Departures may move the sentence away from the presumptive recommendation, and plea bargaining may shape the conviction offense before the grid ever produces a number.</w:t>
      </w:r>
    </w:p>
    <w:p w14:paraId="560CB4AC" w14:textId="77777777" w:rsidR="00C47215" w:rsidRPr="00C47215" w:rsidRDefault="00C47215" w:rsidP="00837046">
      <w:pPr>
        <w:spacing w:line="480" w:lineRule="auto"/>
        <w:rPr>
          <w:rFonts w:eastAsiaTheme="majorEastAsia"/>
        </w:rPr>
      </w:pPr>
      <w:r w:rsidRPr="00C47215">
        <w:rPr>
          <w:rFonts w:eastAsiaTheme="majorEastAsia"/>
        </w:rPr>
        <w:t xml:space="preserve">Thus, if </w:t>
      </w:r>
      <w:r w:rsidRPr="00CC450B">
        <w:rPr>
          <w:rFonts w:eastAsiaTheme="majorEastAsia"/>
          <w:i/>
          <w:iCs/>
        </w:rPr>
        <w:t>time</w:t>
      </w:r>
      <w:r w:rsidRPr="00C47215">
        <w:rPr>
          <w:rFonts w:eastAsiaTheme="majorEastAsia"/>
        </w:rPr>
        <w:t xml:space="preserve"> = 48, the honest answer to “how long in prison?” is: it depends. If the sentence was stayed, the answer may be zero months in state prison. If the sentence was executed and followed the ordinary statutory path, the prison portion would usually be 32 months. If release was revoked or disciplinary confinement altered the path, actual confinement could move closer to 48 months.</w:t>
      </w:r>
    </w:p>
    <w:p w14:paraId="407BFE68" w14:textId="77777777" w:rsidR="00C47215" w:rsidRPr="00C47215" w:rsidRDefault="00C47215" w:rsidP="00837046">
      <w:pPr>
        <w:spacing w:line="480" w:lineRule="auto"/>
        <w:rPr>
          <w:rFonts w:eastAsiaTheme="majorEastAsia"/>
        </w:rPr>
      </w:pPr>
      <w:r w:rsidRPr="00C47215">
        <w:rPr>
          <w:rFonts w:eastAsiaTheme="majorEastAsia"/>
        </w:rPr>
        <w:t>One number can point toward several realities. From this point forward, time should be read as the system’s presumptive sentence duration: a powerful measure of guideline structure and a hazardous shortcut for punishment actually experienced.</w:t>
      </w:r>
    </w:p>
    <w:p w14:paraId="6FDBA00A" w14:textId="77777777" w:rsidR="00C47215" w:rsidRDefault="00C47215" w:rsidP="00837046">
      <w:pPr>
        <w:pStyle w:val="Heading3"/>
        <w:spacing w:line="480" w:lineRule="auto"/>
      </w:pPr>
      <w:r w:rsidRPr="00C47215">
        <w:t>References</w:t>
      </w:r>
    </w:p>
    <w:p w14:paraId="2041F7EC" w14:textId="0730320B" w:rsidR="009815EB" w:rsidRPr="009815EB" w:rsidRDefault="009815EB" w:rsidP="00837046">
      <w:pPr>
        <w:spacing w:line="480" w:lineRule="auto"/>
      </w:pPr>
      <w:r w:rsidRPr="009815EB">
        <w:t xml:space="preserve">Miethe, T. D., &amp; Moore, C. A. (1987). </w:t>
      </w:r>
      <w:r w:rsidRPr="009815EB">
        <w:rPr>
          <w:i/>
          <w:iCs/>
        </w:rPr>
        <w:t>Evaluation of Minnesota’s felony sentencing guidelines</w:t>
      </w:r>
      <w:r w:rsidRPr="009815EB">
        <w:t xml:space="preserve"> (NCJ No. 107743) [Final report]. National Institute of Justice.</w:t>
      </w:r>
    </w:p>
    <w:p w14:paraId="57978BAE" w14:textId="77777777" w:rsidR="00C47215" w:rsidRPr="00C47215" w:rsidRDefault="00C47215" w:rsidP="00837046">
      <w:pPr>
        <w:spacing w:line="480" w:lineRule="auto"/>
        <w:rPr>
          <w:rFonts w:eastAsiaTheme="majorEastAsia"/>
        </w:rPr>
      </w:pPr>
      <w:r w:rsidRPr="00C47215">
        <w:rPr>
          <w:rFonts w:eastAsiaTheme="majorEastAsia"/>
        </w:rPr>
        <w:t xml:space="preserve">Minn. Stat. § 244.05 (2024). </w:t>
      </w:r>
      <w:hyperlink r:id="rId69" w:history="1">
        <w:r w:rsidRPr="00C47215">
          <w:rPr>
            <w:rStyle w:val="Hyperlink"/>
            <w:rFonts w:eastAsiaTheme="majorEastAsia"/>
          </w:rPr>
          <w:t>https://www.revisor.mn.gov/statutes/cite/244.05</w:t>
        </w:r>
      </w:hyperlink>
    </w:p>
    <w:p w14:paraId="6BD6695A" w14:textId="77777777" w:rsidR="00C47215" w:rsidRPr="00C47215" w:rsidRDefault="00C47215" w:rsidP="00837046">
      <w:pPr>
        <w:spacing w:line="480" w:lineRule="auto"/>
        <w:rPr>
          <w:rFonts w:eastAsiaTheme="majorEastAsia"/>
        </w:rPr>
      </w:pPr>
      <w:r w:rsidRPr="00C47215">
        <w:rPr>
          <w:rFonts w:eastAsiaTheme="majorEastAsia"/>
        </w:rPr>
        <w:t xml:space="preserve">Minn. Stat. § 244.09 (2024). </w:t>
      </w:r>
      <w:hyperlink r:id="rId70" w:history="1">
        <w:r w:rsidRPr="00C47215">
          <w:rPr>
            <w:rStyle w:val="Hyperlink"/>
            <w:rFonts w:eastAsiaTheme="majorEastAsia"/>
          </w:rPr>
          <w:t>https://www.revisor.mn.gov/statutes/cite/244.09</w:t>
        </w:r>
      </w:hyperlink>
    </w:p>
    <w:p w14:paraId="1B94850E" w14:textId="77777777" w:rsidR="00C47215" w:rsidRPr="00C47215" w:rsidRDefault="00C47215" w:rsidP="00837046">
      <w:pPr>
        <w:spacing w:line="480" w:lineRule="auto"/>
        <w:rPr>
          <w:rFonts w:eastAsiaTheme="majorEastAsia"/>
        </w:rPr>
      </w:pPr>
      <w:r w:rsidRPr="00C47215">
        <w:rPr>
          <w:rFonts w:eastAsiaTheme="majorEastAsia"/>
        </w:rPr>
        <w:t xml:space="preserve">Minn. Stat. § 244.101 (2024). </w:t>
      </w:r>
      <w:hyperlink r:id="rId71" w:history="1">
        <w:r w:rsidRPr="00C47215">
          <w:rPr>
            <w:rStyle w:val="Hyperlink"/>
            <w:rFonts w:eastAsiaTheme="majorEastAsia"/>
          </w:rPr>
          <w:t>https://www.revisor.mn.gov/statutes/cite/244.101</w:t>
        </w:r>
      </w:hyperlink>
    </w:p>
    <w:p w14:paraId="2BC1182B" w14:textId="77777777" w:rsidR="00C47215" w:rsidRPr="00C47215" w:rsidRDefault="00C47215" w:rsidP="00837046">
      <w:pPr>
        <w:spacing w:line="480" w:lineRule="auto"/>
        <w:rPr>
          <w:rFonts w:eastAsiaTheme="majorEastAsia"/>
        </w:rPr>
      </w:pPr>
      <w:r w:rsidRPr="00C47215">
        <w:rPr>
          <w:rFonts w:eastAsiaTheme="majorEastAsia"/>
        </w:rPr>
        <w:t xml:space="preserve">Minn. Stat. § 609.13 (2024). </w:t>
      </w:r>
      <w:hyperlink r:id="rId72" w:history="1">
        <w:r w:rsidRPr="00C47215">
          <w:rPr>
            <w:rStyle w:val="Hyperlink"/>
            <w:rFonts w:eastAsiaTheme="majorEastAsia"/>
          </w:rPr>
          <w:t>https://www.revisor.mn.gov/statutes/cite/609.13</w:t>
        </w:r>
      </w:hyperlink>
    </w:p>
    <w:p w14:paraId="29C8F84C" w14:textId="77777777" w:rsidR="00C47215" w:rsidRPr="00C47215" w:rsidRDefault="00C47215" w:rsidP="00837046">
      <w:pPr>
        <w:spacing w:line="480" w:lineRule="auto"/>
        <w:rPr>
          <w:rFonts w:eastAsiaTheme="majorEastAsia"/>
        </w:rPr>
      </w:pPr>
      <w:r w:rsidRPr="00C47215">
        <w:rPr>
          <w:rFonts w:eastAsiaTheme="majorEastAsia"/>
        </w:rPr>
        <w:t xml:space="preserve">Minn. Stat. § 609.135 (2024). </w:t>
      </w:r>
      <w:hyperlink r:id="rId73" w:history="1">
        <w:r w:rsidRPr="00C47215">
          <w:rPr>
            <w:rStyle w:val="Hyperlink"/>
            <w:rFonts w:eastAsiaTheme="majorEastAsia"/>
          </w:rPr>
          <w:t>https://www.revisor.mn.gov/statutes/cite/609.135</w:t>
        </w:r>
      </w:hyperlink>
    </w:p>
    <w:p w14:paraId="2D7AC792" w14:textId="44513617" w:rsidR="003B41C4" w:rsidRPr="00C47215" w:rsidRDefault="00C47215" w:rsidP="00837046">
      <w:pPr>
        <w:spacing w:line="480" w:lineRule="auto"/>
        <w:rPr>
          <w:rFonts w:eastAsiaTheme="majorEastAsia"/>
        </w:rPr>
      </w:pPr>
      <w:r w:rsidRPr="00C47215">
        <w:rPr>
          <w:rFonts w:eastAsiaTheme="majorEastAsia"/>
        </w:rPr>
        <w:t xml:space="preserve">Minnesota Sentencing Guidelines Commission. (2024). </w:t>
      </w:r>
      <w:r w:rsidRPr="00C47215">
        <w:rPr>
          <w:rFonts w:eastAsiaTheme="majorEastAsia"/>
          <w:i/>
          <w:iCs/>
        </w:rPr>
        <w:t>Minnesota sentencing guidelines and commentary: Effective August 1, 2024</w:t>
      </w:r>
      <w:r w:rsidRPr="00C47215">
        <w:rPr>
          <w:rFonts w:eastAsiaTheme="majorEastAsia"/>
        </w:rPr>
        <w:t xml:space="preserve">. </w:t>
      </w:r>
      <w:hyperlink r:id="rId74" w:history="1">
        <w:r w:rsidRPr="00C47215">
          <w:rPr>
            <w:rStyle w:val="Hyperlink"/>
            <w:rFonts w:eastAsiaTheme="majorEastAsia"/>
          </w:rPr>
          <w:t>https://mn.gov/sentencing-</w:t>
        </w:r>
        <w:r w:rsidRPr="00C47215">
          <w:rPr>
            <w:rStyle w:val="Hyperlink"/>
            <w:rFonts w:eastAsiaTheme="majorEastAsia"/>
          </w:rPr>
          <w:t>guidelines/assets/2024_Minn_Sentencing_Guidelines_Co</w:t>
        </w:r>
        <w:r w:rsidRPr="00C47215">
          <w:rPr>
            <w:rStyle w:val="Hyperlink"/>
            <w:rFonts w:eastAsiaTheme="majorEastAsia"/>
          </w:rPr>
          <w:t>m</w:t>
        </w:r>
        <w:r w:rsidRPr="00C47215">
          <w:rPr>
            <w:rStyle w:val="Hyperlink"/>
            <w:rFonts w:eastAsiaTheme="majorEastAsia"/>
          </w:rPr>
          <w:t>mentary_tcm30-639154.pdf</w:t>
        </w:r>
      </w:hyperlink>
    </w:p>
    <w:p w14:paraId="4044C0D0" w14:textId="77777777" w:rsidR="00C47215" w:rsidRPr="00C47215" w:rsidRDefault="00C47215" w:rsidP="00837046">
      <w:pPr>
        <w:spacing w:line="480" w:lineRule="auto"/>
        <w:rPr>
          <w:rFonts w:eastAsiaTheme="majorEastAsia"/>
        </w:rPr>
      </w:pPr>
      <w:r w:rsidRPr="00C47215">
        <w:rPr>
          <w:rFonts w:eastAsiaTheme="majorEastAsia"/>
        </w:rPr>
        <w:lastRenderedPageBreak/>
        <w:t xml:space="preserve">Minnesota Sentencing Guidelines Commission. (2025). </w:t>
      </w:r>
      <w:r w:rsidRPr="00C47215">
        <w:rPr>
          <w:rFonts w:eastAsiaTheme="majorEastAsia"/>
          <w:i/>
          <w:iCs/>
        </w:rPr>
        <w:t>Minnesota sentencing guidelines and commentary: Effective August 1, 2025</w:t>
      </w:r>
      <w:r w:rsidRPr="00C47215">
        <w:rPr>
          <w:rFonts w:eastAsiaTheme="majorEastAsia"/>
        </w:rPr>
        <w:t xml:space="preserve"> [Standard Grid, § 4.A]. </w:t>
      </w:r>
      <w:hyperlink r:id="rId75" w:history="1">
        <w:r w:rsidRPr="00C47215">
          <w:rPr>
            <w:rStyle w:val="Hyperlink"/>
            <w:rFonts w:eastAsiaTheme="majorEastAsia"/>
          </w:rPr>
          <w:t>https://mn.gov/sentencing-guidelines/assets/2025_Standard_Grid_4A_Minn_Sentencing_Guidelines_Commentary_tcm30-700144.pdf</w:t>
        </w:r>
      </w:hyperlink>
    </w:p>
    <w:p w14:paraId="28A5CEB2" w14:textId="77777777" w:rsidR="00C47215" w:rsidRPr="00C47215" w:rsidRDefault="00C47215" w:rsidP="00837046">
      <w:pPr>
        <w:spacing w:line="480" w:lineRule="auto"/>
        <w:rPr>
          <w:rFonts w:eastAsiaTheme="majorEastAsia"/>
        </w:rPr>
      </w:pPr>
      <w:r w:rsidRPr="00C47215">
        <w:rPr>
          <w:rFonts w:eastAsiaTheme="majorEastAsia"/>
        </w:rPr>
        <w:t xml:space="preserve">Minnesota Sentencing Guidelines Commission. (2026). </w:t>
      </w:r>
      <w:r w:rsidRPr="00C47215">
        <w:rPr>
          <w:rFonts w:eastAsiaTheme="majorEastAsia"/>
          <w:i/>
          <w:iCs/>
        </w:rPr>
        <w:t>2026 report to the legislature</w:t>
      </w:r>
      <w:r w:rsidRPr="00C47215">
        <w:rPr>
          <w:rFonts w:eastAsiaTheme="majorEastAsia"/>
        </w:rPr>
        <w:t xml:space="preserve">. </w:t>
      </w:r>
      <w:hyperlink r:id="rId76" w:history="1">
        <w:r w:rsidRPr="00C47215">
          <w:rPr>
            <w:rStyle w:val="Hyperlink"/>
            <w:rFonts w:eastAsiaTheme="majorEastAsia"/>
          </w:rPr>
          <w:t>https://mn.gov/sentencing-guidelines/assets/2026-Minn-Sentencing-Guidelines-Comm-Report-to-the-Legislature_tcm30-719777.pdf</w:t>
        </w:r>
      </w:hyperlink>
    </w:p>
    <w:p w14:paraId="3BDA69B7" w14:textId="7BF7420D" w:rsidR="001C53F8" w:rsidRPr="001C53F8" w:rsidRDefault="001C53F8" w:rsidP="00837046">
      <w:pPr>
        <w:spacing w:line="480" w:lineRule="auto"/>
        <w:rPr>
          <w:rFonts w:asciiTheme="majorHAnsi" w:eastAsiaTheme="majorEastAsia" w:hAnsiTheme="majorHAnsi" w:cstheme="majorBidi"/>
          <w:color w:val="BF4E14" w:themeColor="accent2" w:themeShade="BF"/>
          <w:sz w:val="28"/>
          <w:szCs w:val="28"/>
        </w:rPr>
      </w:pPr>
    </w:p>
    <w:p w14:paraId="15B5ED25" w14:textId="72E337AB" w:rsidR="001C53F8" w:rsidRPr="001C53F8" w:rsidRDefault="001C53F8" w:rsidP="00837046">
      <w:pPr>
        <w:pStyle w:val="Heading1"/>
        <w:spacing w:line="480" w:lineRule="auto"/>
      </w:pPr>
      <w:r w:rsidRPr="001C53F8">
        <w:t>Unit III — Reading Patterns Responsibly</w:t>
      </w:r>
    </w:p>
    <w:p w14:paraId="7F576507" w14:textId="7326F5CA" w:rsidR="001C53F8" w:rsidRPr="001C53F8" w:rsidRDefault="001C53F8" w:rsidP="00837046">
      <w:pPr>
        <w:pStyle w:val="Heading2"/>
        <w:spacing w:line="480" w:lineRule="auto"/>
      </w:pPr>
      <w:r w:rsidRPr="001C53F8">
        <w:t xml:space="preserve">Module 8: </w:t>
      </w:r>
      <w:r w:rsidRPr="00726BD3">
        <w:t>Change</w:t>
      </w:r>
      <w:r w:rsidRPr="001C53F8">
        <w:t xml:space="preserve"> Over Time</w:t>
      </w:r>
    </w:p>
    <w:p w14:paraId="56CBAD69" w14:textId="77777777" w:rsidR="001C53F8" w:rsidRPr="001C53F8" w:rsidRDefault="001C53F8" w:rsidP="00837046">
      <w:pPr>
        <w:spacing w:line="480" w:lineRule="auto"/>
        <w:rPr>
          <w:rFonts w:eastAsiaTheme="majorEastAsia"/>
        </w:rPr>
      </w:pPr>
      <w:r w:rsidRPr="001C53F8">
        <w:rPr>
          <w:rFonts w:eastAsiaTheme="majorEastAsia"/>
        </w:rPr>
        <w:t>`sentyear` as a variable; volume and median-sentence trends 2001–2019; anchoring trends to</w:t>
      </w:r>
    </w:p>
    <w:p w14:paraId="5EC87653" w14:textId="77777777" w:rsidR="001C53F8" w:rsidRPr="001C53F8" w:rsidRDefault="001C53F8" w:rsidP="00837046">
      <w:pPr>
        <w:spacing w:line="480" w:lineRule="auto"/>
        <w:rPr>
          <w:rFonts w:eastAsiaTheme="majorEastAsia"/>
        </w:rPr>
      </w:pPr>
      <w:r w:rsidRPr="001C53F8">
        <w:rPr>
          <w:rFonts w:eastAsiaTheme="majorEastAsia"/>
        </w:rPr>
        <w:t xml:space="preserve">policy events — centrally the </w:t>
      </w:r>
      <w:r w:rsidRPr="001C53F8">
        <w:rPr>
          <w:rFonts w:eastAsiaTheme="majorEastAsia"/>
          <w:b/>
          <w:bCs/>
        </w:rPr>
        <w:t>**2016 Minnesota drug sentencing reform**</w:t>
      </w:r>
      <w:r w:rsidRPr="001C53F8">
        <w:rPr>
          <w:rFonts w:eastAsiaTheme="majorEastAsia"/>
        </w:rPr>
        <w:t xml:space="preserve"> (verify effective</w:t>
      </w:r>
    </w:p>
    <w:p w14:paraId="4B703E8B" w14:textId="77777777" w:rsidR="001C53F8" w:rsidRPr="001C53F8" w:rsidRDefault="001C53F8" w:rsidP="00837046">
      <w:pPr>
        <w:spacing w:line="480" w:lineRule="auto"/>
        <w:rPr>
          <w:rFonts w:eastAsiaTheme="majorEastAsia"/>
        </w:rPr>
      </w:pPr>
      <w:r w:rsidRPr="001C53F8">
        <w:rPr>
          <w:rFonts w:eastAsiaTheme="majorEastAsia"/>
        </w:rPr>
        <w:t>dates and which offenses; the dataset holds ~3 post-reform years). The lesson in method: a</w:t>
      </w:r>
    </w:p>
    <w:p w14:paraId="2C1C4605" w14:textId="77777777" w:rsidR="001C53F8" w:rsidRPr="001C53F8" w:rsidRDefault="001C53F8" w:rsidP="00837046">
      <w:pPr>
        <w:spacing w:line="480" w:lineRule="auto"/>
        <w:rPr>
          <w:rFonts w:eastAsiaTheme="majorEastAsia"/>
        </w:rPr>
      </w:pPr>
      <w:r w:rsidRPr="001C53F8">
        <w:rPr>
          <w:rFonts w:eastAsiaTheme="majorEastAsia"/>
        </w:rPr>
        <w:t xml:space="preserve">discontinuity that lines up with a law is </w:t>
      </w:r>
      <w:r w:rsidRPr="001C53F8">
        <w:rPr>
          <w:rFonts w:eastAsiaTheme="majorEastAsia"/>
          <w:i/>
          <w:iCs/>
        </w:rPr>
        <w:t>*suggestive*</w:t>
      </w:r>
      <w:r w:rsidRPr="001C53F8">
        <w:rPr>
          <w:rFonts w:eastAsiaTheme="majorEastAsia"/>
        </w:rPr>
        <w:t>, not proof — composition changes too.</w:t>
      </w:r>
    </w:p>
    <w:p w14:paraId="53B6FA64" w14:textId="77777777" w:rsidR="001C53F8" w:rsidRPr="001C53F8" w:rsidRDefault="001C53F8" w:rsidP="00837046">
      <w:pPr>
        <w:spacing w:line="480" w:lineRule="auto"/>
        <w:rPr>
          <w:rFonts w:eastAsiaTheme="majorEastAsia"/>
        </w:rPr>
      </w:pPr>
      <w:r w:rsidRPr="001C53F8">
        <w:rPr>
          <w:rFonts w:eastAsiaTheme="majorEastAsia"/>
          <w:i/>
          <w:iCs/>
        </w:rPr>
        <w:t>*Data anchor to hunt: drug-offense median `time` and volume before/after 2016.*</w:t>
      </w:r>
    </w:p>
    <w:p w14:paraId="2DB0C098" w14:textId="77777777" w:rsidR="001C53F8" w:rsidRPr="001C53F8" w:rsidRDefault="001C53F8" w:rsidP="00837046">
      <w:pPr>
        <w:spacing w:line="480" w:lineRule="auto"/>
        <w:rPr>
          <w:rFonts w:eastAsiaTheme="majorEastAsia"/>
        </w:rPr>
      </w:pPr>
      <w:r w:rsidRPr="001C53F8">
        <w:rPr>
          <w:rFonts w:eastAsiaTheme="majorEastAsia"/>
        </w:rPr>
        <w:t>*Platform prerequisite: this is the module where the absence of line charts hurts most —</w:t>
      </w:r>
    </w:p>
    <w:p w14:paraId="5E702DFD" w14:textId="11DB805A" w:rsidR="001C53F8" w:rsidRPr="00837046" w:rsidRDefault="001C53F8" w:rsidP="00837046">
      <w:pPr>
        <w:spacing w:line="480" w:lineRule="auto"/>
        <w:rPr>
          <w:rFonts w:eastAsiaTheme="majorEastAsia"/>
        </w:rPr>
      </w:pPr>
      <w:r w:rsidRPr="001C53F8">
        <w:rPr>
          <w:rFonts w:eastAsiaTheme="majorEastAsia"/>
        </w:rPr>
        <w:t xml:space="preserve">schedule after visualization </w:t>
      </w:r>
      <w:proofErr w:type="gramStart"/>
      <w:r w:rsidRPr="001C53F8">
        <w:rPr>
          <w:rFonts w:eastAsiaTheme="majorEastAsia"/>
        </w:rPr>
        <w:t>ships, or</w:t>
      </w:r>
      <w:proofErr w:type="gramEnd"/>
      <w:r w:rsidRPr="001C53F8">
        <w:rPr>
          <w:rFonts w:eastAsiaTheme="majorEastAsia"/>
        </w:rPr>
        <w:t xml:space="preserve"> lean on small year-by-year </w:t>
      </w:r>
      <w:proofErr w:type="gramStart"/>
      <w:r w:rsidRPr="001C53F8">
        <w:rPr>
          <w:rFonts w:eastAsiaTheme="majorEastAsia"/>
        </w:rPr>
        <w:t>tables.*</w:t>
      </w:r>
      <w:proofErr w:type="gramEnd"/>
    </w:p>
    <w:p w14:paraId="10A13E9F" w14:textId="4E36EE0C" w:rsidR="001C53F8" w:rsidRPr="001C53F8" w:rsidRDefault="001C53F8" w:rsidP="00837046">
      <w:pPr>
        <w:pStyle w:val="Heading2"/>
        <w:spacing w:line="480" w:lineRule="auto"/>
      </w:pPr>
      <w:r w:rsidRPr="001C53F8">
        <w:lastRenderedPageBreak/>
        <w:t xml:space="preserve">Module 9: Holding </w:t>
      </w:r>
      <w:r w:rsidRPr="00726BD3">
        <w:t>Things</w:t>
      </w:r>
      <w:r w:rsidRPr="001C53F8">
        <w:t xml:space="preserve"> Constant </w:t>
      </w:r>
    </w:p>
    <w:p w14:paraId="14EC08F8" w14:textId="77777777" w:rsidR="001C53F8" w:rsidRPr="001C53F8" w:rsidRDefault="001C53F8" w:rsidP="00837046">
      <w:pPr>
        <w:spacing w:line="480" w:lineRule="auto"/>
        <w:rPr>
          <w:rFonts w:eastAsiaTheme="majorEastAsia"/>
        </w:rPr>
      </w:pPr>
      <w:r w:rsidRPr="001C53F8">
        <w:rPr>
          <w:rFonts w:eastAsiaTheme="majorEastAsia"/>
        </w:rPr>
        <w:t>The course's methodological hinge. Comparing groups fairly: composition effects, the</w:t>
      </w:r>
    </w:p>
    <w:p w14:paraId="3E20D634" w14:textId="77777777" w:rsidR="001C53F8" w:rsidRPr="001C53F8" w:rsidRDefault="001C53F8" w:rsidP="00837046">
      <w:pPr>
        <w:spacing w:line="480" w:lineRule="auto"/>
        <w:rPr>
          <w:rFonts w:eastAsiaTheme="majorEastAsia"/>
        </w:rPr>
      </w:pPr>
      <w:r w:rsidRPr="001C53F8">
        <w:rPr>
          <w:rFonts w:eastAsiaTheme="majorEastAsia"/>
        </w:rPr>
        <w:t>filter-as-control move ("how much of the pattern survives when I hold this constant?"),</w:t>
      </w:r>
    </w:p>
    <w:p w14:paraId="0CC66701" w14:textId="77777777" w:rsidR="001C53F8" w:rsidRPr="001C53F8" w:rsidRDefault="001C53F8" w:rsidP="00837046">
      <w:pPr>
        <w:spacing w:line="480" w:lineRule="auto"/>
        <w:rPr>
          <w:rFonts w:eastAsiaTheme="majorEastAsia"/>
        </w:rPr>
      </w:pPr>
      <w:r w:rsidRPr="001C53F8">
        <w:rPr>
          <w:rFonts w:eastAsiaTheme="majorEastAsia"/>
        </w:rPr>
        <w:t xml:space="preserve">and — if the data yields one — a real </w:t>
      </w:r>
      <w:r w:rsidRPr="001C53F8">
        <w:rPr>
          <w:rFonts w:eastAsiaTheme="majorEastAsia"/>
          <w:b/>
          <w:bCs/>
        </w:rPr>
        <w:t>**Simpson's-paradox**</w:t>
      </w:r>
      <w:r w:rsidRPr="001C53F8">
        <w:rPr>
          <w:rFonts w:eastAsiaTheme="majorEastAsia"/>
        </w:rPr>
        <w:t xml:space="preserve"> example where a gap reverses</w:t>
      </w:r>
    </w:p>
    <w:p w14:paraId="326A4A3C" w14:textId="77777777" w:rsidR="001C53F8" w:rsidRPr="001C53F8" w:rsidRDefault="001C53F8" w:rsidP="00837046">
      <w:pPr>
        <w:spacing w:line="480" w:lineRule="auto"/>
        <w:rPr>
          <w:rFonts w:eastAsiaTheme="majorEastAsia"/>
        </w:rPr>
      </w:pPr>
      <w:r w:rsidRPr="001C53F8">
        <w:rPr>
          <w:rFonts w:eastAsiaTheme="majorEastAsia"/>
        </w:rPr>
        <w:t>inside subgroups. Lab: take a raw gap, add one control filter at a time, narrate what</w:t>
      </w:r>
    </w:p>
    <w:p w14:paraId="32AEB478" w14:textId="77777777" w:rsidR="001C53F8" w:rsidRPr="001C53F8" w:rsidRDefault="001C53F8" w:rsidP="00837046">
      <w:pPr>
        <w:spacing w:line="480" w:lineRule="auto"/>
        <w:rPr>
          <w:rFonts w:eastAsiaTheme="majorEastAsia"/>
        </w:rPr>
      </w:pPr>
      <w:r w:rsidRPr="001C53F8">
        <w:rPr>
          <w:rFonts w:eastAsiaTheme="majorEastAsia"/>
        </w:rPr>
        <w:t>happens to the gap at each step.</w:t>
      </w:r>
    </w:p>
    <w:p w14:paraId="734E1CCF" w14:textId="77777777" w:rsidR="001C53F8" w:rsidRPr="001C53F8" w:rsidRDefault="001C53F8" w:rsidP="00837046">
      <w:pPr>
        <w:spacing w:line="480" w:lineRule="auto"/>
        <w:rPr>
          <w:rFonts w:eastAsiaTheme="majorEastAsia"/>
        </w:rPr>
      </w:pPr>
      <w:r w:rsidRPr="001C53F8">
        <w:rPr>
          <w:rFonts w:eastAsiaTheme="majorEastAsia"/>
        </w:rPr>
        <w:t>*Data anchor to hunt: a genuine sign-reversal or major attenuation example; offense-mix</w:t>
      </w:r>
    </w:p>
    <w:p w14:paraId="166595CC" w14:textId="2CD7BF75" w:rsidR="001C53F8" w:rsidRPr="00837046" w:rsidRDefault="001C53F8" w:rsidP="00837046">
      <w:pPr>
        <w:spacing w:line="480" w:lineRule="auto"/>
        <w:rPr>
          <w:rFonts w:eastAsiaTheme="majorEastAsia"/>
        </w:rPr>
      </w:pPr>
      <w:r w:rsidRPr="001C53F8">
        <w:rPr>
          <w:rFonts w:eastAsiaTheme="majorEastAsia"/>
        </w:rPr>
        <w:t xml:space="preserve">differences between two groups are the most likely </w:t>
      </w:r>
      <w:proofErr w:type="gramStart"/>
      <w:r w:rsidRPr="001C53F8">
        <w:rPr>
          <w:rFonts w:eastAsiaTheme="majorEastAsia"/>
        </w:rPr>
        <w:t>source.*</w:t>
      </w:r>
      <w:proofErr w:type="gramEnd"/>
    </w:p>
    <w:p w14:paraId="52306550" w14:textId="46A789A2" w:rsidR="001C53F8" w:rsidRPr="001C53F8" w:rsidRDefault="001C53F8" w:rsidP="00837046">
      <w:pPr>
        <w:pStyle w:val="Heading2"/>
        <w:spacing w:line="480" w:lineRule="auto"/>
      </w:pPr>
      <w:r w:rsidRPr="001C53F8">
        <w:t xml:space="preserve">Module 10: Small Numbers, Big </w:t>
      </w:r>
      <w:r w:rsidRPr="00726BD3">
        <w:t>Mistakes</w:t>
      </w:r>
      <w:r w:rsidRPr="001C53F8">
        <w:t xml:space="preserve"> </w:t>
      </w:r>
    </w:p>
    <w:p w14:paraId="25AB7C5D" w14:textId="77777777" w:rsidR="001C53F8" w:rsidRPr="001C53F8" w:rsidRDefault="001C53F8" w:rsidP="00837046">
      <w:pPr>
        <w:spacing w:line="480" w:lineRule="auto"/>
        <w:rPr>
          <w:rFonts w:eastAsiaTheme="majorEastAsia"/>
        </w:rPr>
      </w:pPr>
      <w:r w:rsidRPr="001C53F8">
        <w:rPr>
          <w:rFonts w:eastAsiaTheme="majorEastAsia"/>
        </w:rPr>
        <w:t>Expansion of check-N-first: rare offenses, single-county single-year cells, the volatility</w:t>
      </w:r>
    </w:p>
    <w:p w14:paraId="3ECECE82" w14:textId="77777777" w:rsidR="001C53F8" w:rsidRPr="001C53F8" w:rsidRDefault="001C53F8" w:rsidP="00837046">
      <w:pPr>
        <w:spacing w:line="480" w:lineRule="auto"/>
        <w:rPr>
          <w:rFonts w:eastAsiaTheme="majorEastAsia"/>
        </w:rPr>
      </w:pPr>
      <w:r w:rsidRPr="001C53F8">
        <w:rPr>
          <w:rFonts w:eastAsiaTheme="majorEastAsia"/>
        </w:rPr>
        <w:t>of small-cell means across adjacent years (same filter, consecutive years, wildly different</w:t>
      </w:r>
    </w:p>
    <w:p w14:paraId="1ED51916" w14:textId="77777777" w:rsidR="001C53F8" w:rsidRPr="001C53F8" w:rsidRDefault="001C53F8" w:rsidP="00837046">
      <w:pPr>
        <w:spacing w:line="480" w:lineRule="auto"/>
        <w:rPr>
          <w:rFonts w:eastAsiaTheme="majorEastAsia"/>
        </w:rPr>
      </w:pPr>
      <w:r w:rsidRPr="001C53F8">
        <w:rPr>
          <w:rFonts w:eastAsiaTheme="majorEastAsia"/>
        </w:rPr>
        <w:t>means — nothing changed but noise). The fireworks three return as old friends.</w:t>
      </w:r>
    </w:p>
    <w:p w14:paraId="00AAA477" w14:textId="6BD8BF45" w:rsidR="001C53F8" w:rsidRPr="00837046" w:rsidRDefault="001C53F8" w:rsidP="00837046">
      <w:pPr>
        <w:spacing w:line="480" w:lineRule="auto"/>
        <w:rPr>
          <w:rFonts w:eastAsiaTheme="majorEastAsia"/>
        </w:rPr>
      </w:pPr>
      <w:r w:rsidRPr="001C53F8">
        <w:rPr>
          <w:rFonts w:eastAsiaTheme="majorEastAsia"/>
          <w:i/>
          <w:iCs/>
        </w:rPr>
        <w:t xml:space="preserve">*Data anchor: one rare offense whose year-to-year mean swings </w:t>
      </w:r>
      <w:proofErr w:type="gramStart"/>
      <w:r w:rsidRPr="001C53F8">
        <w:rPr>
          <w:rFonts w:eastAsiaTheme="majorEastAsia"/>
          <w:i/>
          <w:iCs/>
        </w:rPr>
        <w:t>absurdly.*</w:t>
      </w:r>
      <w:proofErr w:type="gramEnd"/>
    </w:p>
    <w:p w14:paraId="2D742A58" w14:textId="045586ED" w:rsidR="001C53F8" w:rsidRPr="001C53F8" w:rsidRDefault="001C53F8" w:rsidP="00837046">
      <w:pPr>
        <w:pStyle w:val="Heading2"/>
        <w:spacing w:line="480" w:lineRule="auto"/>
      </w:pPr>
      <w:r w:rsidRPr="001C53F8">
        <w:t xml:space="preserve">Module 11: Sex and </w:t>
      </w:r>
      <w:r w:rsidRPr="00726BD3">
        <w:t>Sentencing</w:t>
      </w:r>
      <w:r w:rsidRPr="001C53F8">
        <w:t xml:space="preserve"> </w:t>
      </w:r>
    </w:p>
    <w:p w14:paraId="5C8945E3" w14:textId="2F0CA9C7" w:rsidR="001C53F8" w:rsidRPr="001C53F8" w:rsidRDefault="001C53F8" w:rsidP="00837046">
      <w:pPr>
        <w:spacing w:line="480" w:lineRule="auto"/>
        <w:rPr>
          <w:rFonts w:eastAsiaTheme="majorEastAsia"/>
        </w:rPr>
      </w:pPr>
      <w:r w:rsidRPr="001C53F8">
        <w:rPr>
          <w:rFonts w:eastAsiaTheme="majorEastAsia"/>
        </w:rPr>
        <w:t xml:space="preserve">The gender gap as the </w:t>
      </w:r>
      <w:r w:rsidRPr="001C53F8">
        <w:rPr>
          <w:rFonts w:eastAsiaTheme="majorEastAsia"/>
          <w:b/>
          <w:bCs/>
        </w:rPr>
        <w:t>methodological dress rehearsal</w:t>
      </w:r>
      <w:r w:rsidRPr="001C53F8">
        <w:rPr>
          <w:rFonts w:eastAsiaTheme="majorEastAsia"/>
        </w:rPr>
        <w:t xml:space="preserve"> for Unit IV: women are rarer in the</w:t>
      </w:r>
    </w:p>
    <w:p w14:paraId="194B0B98" w14:textId="77777777" w:rsidR="001C53F8" w:rsidRPr="001C53F8" w:rsidRDefault="001C53F8" w:rsidP="00837046">
      <w:pPr>
        <w:spacing w:line="480" w:lineRule="auto"/>
        <w:rPr>
          <w:rFonts w:eastAsiaTheme="majorEastAsia"/>
        </w:rPr>
      </w:pPr>
      <w:r w:rsidRPr="001C53F8">
        <w:rPr>
          <w:rFonts w:eastAsiaTheme="majorEastAsia"/>
        </w:rPr>
        <w:t>system and sentenced more shortly — now apply Module 9's toolkit. Does the gap survive</w:t>
      </w:r>
    </w:p>
    <w:p w14:paraId="6F087439" w14:textId="77777777" w:rsidR="001C53F8" w:rsidRPr="001C53F8" w:rsidRDefault="001C53F8" w:rsidP="00837046">
      <w:pPr>
        <w:spacing w:line="480" w:lineRule="auto"/>
        <w:rPr>
          <w:rFonts w:eastAsiaTheme="majorEastAsia"/>
        </w:rPr>
      </w:pPr>
      <w:r w:rsidRPr="001C53F8">
        <w:rPr>
          <w:rFonts w:eastAsiaTheme="majorEastAsia"/>
        </w:rPr>
        <w:t xml:space="preserve">holding offense family constant? History score? What remains, and what </w:t>
      </w:r>
      <w:r w:rsidRPr="001C53F8">
        <w:rPr>
          <w:rFonts w:eastAsiaTheme="majorEastAsia"/>
          <w:i/>
          <w:iCs/>
        </w:rPr>
        <w:t>*can't*</w:t>
      </w:r>
      <w:r w:rsidRPr="001C53F8">
        <w:rPr>
          <w:rFonts w:eastAsiaTheme="majorEastAsia"/>
        </w:rPr>
        <w:t xml:space="preserve"> this data say</w:t>
      </w:r>
    </w:p>
    <w:p w14:paraId="325F9CC7" w14:textId="77777777" w:rsidR="001C53F8" w:rsidRPr="001C53F8" w:rsidRDefault="001C53F8" w:rsidP="00837046">
      <w:pPr>
        <w:spacing w:line="480" w:lineRule="auto"/>
        <w:rPr>
          <w:rFonts w:eastAsiaTheme="majorEastAsia"/>
        </w:rPr>
      </w:pPr>
      <w:r w:rsidRPr="001C53F8">
        <w:rPr>
          <w:rFonts w:eastAsiaTheme="majorEastAsia"/>
        </w:rPr>
        <w:t>about why? The pattern is among the most robust in the sentencing literature, which makes it</w:t>
      </w:r>
    </w:p>
    <w:p w14:paraId="190E51B1" w14:textId="77777777" w:rsidR="001C53F8" w:rsidRPr="001C53F8" w:rsidRDefault="001C53F8" w:rsidP="00837046">
      <w:pPr>
        <w:spacing w:line="480" w:lineRule="auto"/>
        <w:rPr>
          <w:rFonts w:eastAsiaTheme="majorEastAsia"/>
        </w:rPr>
      </w:pPr>
      <w:r w:rsidRPr="001C53F8">
        <w:rPr>
          <w:rFonts w:eastAsiaTheme="majorEastAsia"/>
        </w:rPr>
        <w:lastRenderedPageBreak/>
        <w:t>the right place to practice disparity reasoning with lower interpretive stakes.</w:t>
      </w:r>
    </w:p>
    <w:p w14:paraId="5560AD25" w14:textId="77777777" w:rsidR="001C53F8" w:rsidRPr="001C53F8" w:rsidRDefault="001C53F8" w:rsidP="00837046">
      <w:pPr>
        <w:spacing w:line="480" w:lineRule="auto"/>
        <w:rPr>
          <w:rFonts w:eastAsiaTheme="majorEastAsia"/>
        </w:rPr>
      </w:pPr>
      <w:r w:rsidRPr="001C53F8">
        <w:rPr>
          <w:rFonts w:eastAsiaTheme="majorEastAsia"/>
          <w:i/>
          <w:iCs/>
        </w:rPr>
        <w:t>*Builds directly on the Module-3 base-rate example.*</w:t>
      </w:r>
    </w:p>
    <w:p w14:paraId="6EB64AAC" w14:textId="77777777" w:rsidR="00091443" w:rsidRPr="00091443" w:rsidRDefault="00091443" w:rsidP="00837046">
      <w:pPr>
        <w:spacing w:line="480" w:lineRule="auto"/>
        <w:rPr>
          <w:rFonts w:eastAsiaTheme="majorEastAsia"/>
        </w:rPr>
      </w:pPr>
      <w:r w:rsidRPr="00091443">
        <w:rPr>
          <w:rFonts w:eastAsiaTheme="majorEastAsia"/>
          <w:b/>
          <w:bCs/>
        </w:rPr>
        <w:t>Learning objectives.</w:t>
      </w:r>
      <w:r w:rsidRPr="00091443">
        <w:rPr>
          <w:rFonts w:eastAsiaTheme="majorEastAsia"/>
        </w:rPr>
        <w:t xml:space="preserve"> By the end, students can (1) distinguish a raw gap from a conditional gap; (2) execute a stratified comparison in the Explorer using offense family and criminal-history score; (3) articulate what a residual gap does and does not establish; (4) name at least three candidate explanations the dataset cannot adjudicate between.</w:t>
      </w:r>
    </w:p>
    <w:p w14:paraId="625BAB4F" w14:textId="77777777" w:rsidR="00091443" w:rsidRPr="00091443" w:rsidRDefault="00091443" w:rsidP="00837046">
      <w:pPr>
        <w:spacing w:line="480" w:lineRule="auto"/>
        <w:rPr>
          <w:rFonts w:eastAsiaTheme="majorEastAsia"/>
          <w:b/>
          <w:bCs/>
        </w:rPr>
      </w:pPr>
      <w:r w:rsidRPr="00091443">
        <w:rPr>
          <w:rFonts w:eastAsiaTheme="majorEastAsia"/>
          <w:b/>
          <w:bCs/>
        </w:rPr>
        <w:t>1. Opening hook: two numbers that can't both be the headline (~3 min)</w:t>
      </w:r>
    </w:p>
    <w:p w14:paraId="71C7D53B" w14:textId="77777777" w:rsidR="00091443" w:rsidRPr="00091443" w:rsidRDefault="00091443" w:rsidP="00837046">
      <w:pPr>
        <w:spacing w:line="480" w:lineRule="auto"/>
        <w:rPr>
          <w:rFonts w:eastAsiaTheme="majorEastAsia"/>
        </w:rPr>
      </w:pPr>
      <w:r w:rsidRPr="00091443">
        <w:rPr>
          <w:rFonts w:eastAsiaTheme="majorEastAsia"/>
        </w:rPr>
        <w:t xml:space="preserve">Present the raw pattern without commentary: women are roughly 15–20% of sentencing records, and their mean pronounced time is substantially shorter than men's. Pose the framing question students should now anticipate: </w:t>
      </w:r>
      <w:r w:rsidRPr="00091443">
        <w:rPr>
          <w:rFonts w:eastAsiaTheme="majorEastAsia"/>
          <w:i/>
          <w:iCs/>
        </w:rPr>
        <w:t>is this one fact or two?</w:t>
      </w:r>
      <w:r w:rsidRPr="00091443">
        <w:rPr>
          <w:rFonts w:eastAsiaTheme="majorEastAsia"/>
        </w:rPr>
        <w:t xml:space="preserve"> Fewer women in the data and shorter sentences for women are separate observations, sitting at different funnel depths. Explicit callback to Module 3: recall that men will out-count women on nearly everything simply because of group size — so every comparison in this module must be in percentages and group-wise means, never raw counts.</w:t>
      </w:r>
    </w:p>
    <w:p w14:paraId="1A4C28FB" w14:textId="77777777" w:rsidR="00091443" w:rsidRPr="00091443" w:rsidRDefault="00091443" w:rsidP="00837046">
      <w:pPr>
        <w:spacing w:line="480" w:lineRule="auto"/>
        <w:rPr>
          <w:rFonts w:eastAsiaTheme="majorEastAsia"/>
          <w:b/>
          <w:bCs/>
        </w:rPr>
      </w:pPr>
      <w:r w:rsidRPr="00091443">
        <w:rPr>
          <w:rFonts w:eastAsiaTheme="majorEastAsia"/>
          <w:b/>
          <w:bCs/>
        </w:rPr>
        <w:t>2. Why gender first, race later (~2 min)</w:t>
      </w:r>
    </w:p>
    <w:p w14:paraId="76CCD210" w14:textId="77777777" w:rsidR="00091443" w:rsidRPr="00091443" w:rsidRDefault="00091443" w:rsidP="00837046">
      <w:pPr>
        <w:spacing w:line="480" w:lineRule="auto"/>
        <w:rPr>
          <w:rFonts w:eastAsiaTheme="majorEastAsia"/>
        </w:rPr>
      </w:pPr>
      <w:r w:rsidRPr="00091443">
        <w:rPr>
          <w:rFonts w:eastAsiaTheme="majorEastAsia"/>
        </w:rPr>
        <w:t xml:space="preserve">Name the pedagogical move openly. The gender gap is among the most consistently replicated findings in the sentencing literature (Daly &amp; Bordt; Starr's federal work; MSGC's own monitoring reports), which makes it a low-stakes arena to practice the reasoning: students can focus on </w:t>
      </w:r>
      <w:r w:rsidRPr="00091443">
        <w:rPr>
          <w:rFonts w:eastAsiaTheme="majorEastAsia"/>
          <w:i/>
          <w:iCs/>
        </w:rPr>
        <w:t>method</w:t>
      </w:r>
      <w:r w:rsidRPr="00091443">
        <w:rPr>
          <w:rFonts w:eastAsiaTheme="majorEastAsia"/>
        </w:rPr>
        <w:t xml:space="preserve"> without the interpretive weight Unit IV will carry. State the promise: every move made in this module will be repeated there, with the same discipline.</w:t>
      </w:r>
    </w:p>
    <w:p w14:paraId="2AA3A873" w14:textId="77777777" w:rsidR="00091443" w:rsidRPr="00091443" w:rsidRDefault="00091443" w:rsidP="00837046">
      <w:pPr>
        <w:spacing w:line="480" w:lineRule="auto"/>
        <w:rPr>
          <w:rFonts w:eastAsiaTheme="majorEastAsia"/>
          <w:b/>
          <w:bCs/>
        </w:rPr>
      </w:pPr>
      <w:r w:rsidRPr="00091443">
        <w:rPr>
          <w:rFonts w:eastAsiaTheme="majorEastAsia"/>
          <w:b/>
          <w:bCs/>
        </w:rPr>
        <w:t>3. The naive comparison and why it's not enough (~4 min)</w:t>
      </w:r>
    </w:p>
    <w:p w14:paraId="63820856" w14:textId="77777777" w:rsidR="00091443" w:rsidRPr="00091443" w:rsidRDefault="00091443" w:rsidP="00837046">
      <w:pPr>
        <w:spacing w:line="480" w:lineRule="auto"/>
        <w:rPr>
          <w:rFonts w:eastAsiaTheme="majorEastAsia"/>
        </w:rPr>
      </w:pPr>
      <w:r w:rsidRPr="00091443">
        <w:rPr>
          <w:rFonts w:eastAsiaTheme="majorEastAsia"/>
        </w:rPr>
        <w:lastRenderedPageBreak/>
        <w:t xml:space="preserve">Run the unconditioned crosstab: sex × mean time. Establish the gap's size. Then rehearse the objection students should raise themselves by now: men and women may not be </w:t>
      </w:r>
      <w:r w:rsidRPr="00091443">
        <w:rPr>
          <w:rFonts w:eastAsiaTheme="majorEastAsia"/>
          <w:i/>
          <w:iCs/>
        </w:rPr>
        <w:t>in</w:t>
      </w:r>
      <w:r w:rsidRPr="00091443">
        <w:rPr>
          <w:rFonts w:eastAsiaTheme="majorEastAsia"/>
        </w:rPr>
        <w:t xml:space="preserve"> the data for the same offenses. If women's records cluster in lower-severity offense families (property, drug) and men's in person offenses, the raw gap partly reflects </w:t>
      </w:r>
      <w:r w:rsidRPr="00091443">
        <w:rPr>
          <w:rFonts w:eastAsiaTheme="majorEastAsia"/>
          <w:i/>
          <w:iCs/>
        </w:rPr>
        <w:t>composition</w:t>
      </w:r>
      <w:r w:rsidRPr="00091443">
        <w:rPr>
          <w:rFonts w:eastAsiaTheme="majorEastAsia"/>
        </w:rPr>
        <w:t xml:space="preserve">, not </w:t>
      </w:r>
      <w:r w:rsidRPr="00091443">
        <w:rPr>
          <w:rFonts w:eastAsiaTheme="majorEastAsia"/>
          <w:i/>
          <w:iCs/>
        </w:rPr>
        <w:t>treatment</w:t>
      </w:r>
      <w:r w:rsidRPr="00091443">
        <w:rPr>
          <w:rFonts w:eastAsiaTheme="majorEastAsia"/>
        </w:rPr>
        <w:t>. This is Simpson's-paradox territory — flag the name, keep the math informal.</w:t>
      </w:r>
    </w:p>
    <w:p w14:paraId="0E86ACCD" w14:textId="77777777" w:rsidR="00091443" w:rsidRPr="00091443" w:rsidRDefault="00091443" w:rsidP="00837046">
      <w:pPr>
        <w:spacing w:line="480" w:lineRule="auto"/>
        <w:rPr>
          <w:rFonts w:eastAsiaTheme="majorEastAsia"/>
          <w:b/>
          <w:bCs/>
        </w:rPr>
      </w:pPr>
      <w:r w:rsidRPr="00091443">
        <w:rPr>
          <w:rFonts w:eastAsiaTheme="majorEastAsia"/>
          <w:b/>
          <w:bCs/>
        </w:rPr>
        <w:t>4. First conditioning: hold offense family constant (~5 min)</w:t>
      </w:r>
    </w:p>
    <w:p w14:paraId="5F9FFAFB" w14:textId="77777777" w:rsidR="00091443" w:rsidRPr="00091443" w:rsidRDefault="00091443" w:rsidP="00837046">
      <w:pPr>
        <w:spacing w:line="480" w:lineRule="auto"/>
        <w:rPr>
          <w:rFonts w:eastAsiaTheme="majorEastAsia"/>
        </w:rPr>
      </w:pPr>
      <w:r w:rsidRPr="00091443">
        <w:rPr>
          <w:rFonts w:eastAsiaTheme="majorEastAsia"/>
        </w:rPr>
        <w:t xml:space="preserve">Drill into moc1 families one at a time and re-run sex × mean time within each. Two findings to surface: (a) the composition story is partly right — the mix differs; (b) the gap </w:t>
      </w:r>
      <w:r w:rsidRPr="00091443">
        <w:rPr>
          <w:rFonts w:eastAsiaTheme="majorEastAsia"/>
          <w:i/>
          <w:iCs/>
        </w:rPr>
        <w:t>shrinks but does not vanish</w:t>
      </w:r>
      <w:r w:rsidRPr="00091443">
        <w:rPr>
          <w:rFonts w:eastAsiaTheme="majorEastAsia"/>
        </w:rPr>
        <w:t xml:space="preserve"> within most families. Introduce the vocabulary formally: the </w:t>
      </w:r>
      <w:r w:rsidRPr="00091443">
        <w:rPr>
          <w:rFonts w:eastAsiaTheme="majorEastAsia"/>
          <w:i/>
          <w:iCs/>
        </w:rPr>
        <w:t>within-stratum</w:t>
      </w:r>
      <w:r w:rsidRPr="00091443">
        <w:rPr>
          <w:rFonts w:eastAsiaTheme="majorEastAsia"/>
        </w:rPr>
        <w:t xml:space="preserve"> gap, the </w:t>
      </w:r>
      <w:r w:rsidRPr="00091443">
        <w:rPr>
          <w:rFonts w:eastAsiaTheme="majorEastAsia"/>
          <w:i/>
          <w:iCs/>
        </w:rPr>
        <w:t>residual</w:t>
      </w:r>
      <w:r w:rsidRPr="00091443">
        <w:rPr>
          <w:rFonts w:eastAsiaTheme="majorEastAsia"/>
        </w:rPr>
        <w:t xml:space="preserve"> gap.</w:t>
      </w:r>
    </w:p>
    <w:p w14:paraId="176C461A" w14:textId="77777777" w:rsidR="00091443" w:rsidRPr="00091443" w:rsidRDefault="00091443" w:rsidP="00837046">
      <w:pPr>
        <w:spacing w:line="480" w:lineRule="auto"/>
        <w:rPr>
          <w:rFonts w:eastAsiaTheme="majorEastAsia"/>
          <w:b/>
          <w:bCs/>
        </w:rPr>
      </w:pPr>
      <w:r w:rsidRPr="00091443">
        <w:rPr>
          <w:rFonts w:eastAsiaTheme="majorEastAsia"/>
          <w:b/>
          <w:bCs/>
        </w:rPr>
        <w:t>5. Second conditioning: hold criminal history constant (~5 min)</w:t>
      </w:r>
    </w:p>
    <w:p w14:paraId="2FCA21E6" w14:textId="77777777" w:rsidR="00091443" w:rsidRPr="00091443" w:rsidRDefault="00091443" w:rsidP="00837046">
      <w:pPr>
        <w:spacing w:line="480" w:lineRule="auto"/>
        <w:rPr>
          <w:rFonts w:eastAsiaTheme="majorEastAsia"/>
        </w:rPr>
      </w:pPr>
      <w:r w:rsidRPr="00091443">
        <w:rPr>
          <w:rFonts w:eastAsiaTheme="majorEastAsia"/>
        </w:rPr>
        <w:t xml:space="preserve">Repeat within history bands (0, 1–2, 3+), ideally within a single offense family so students see two-way conditioning. Key observation: women's history scores skew lower, so some of the raw gap flows through history — which is itself an interesting fact, since history scores encode </w:t>
      </w:r>
      <w:r w:rsidRPr="00091443">
        <w:rPr>
          <w:rFonts w:eastAsiaTheme="majorEastAsia"/>
          <w:i/>
          <w:iCs/>
        </w:rPr>
        <w:t>prior</w:t>
      </w:r>
      <w:r w:rsidRPr="00091443">
        <w:rPr>
          <w:rFonts w:eastAsiaTheme="majorEastAsia"/>
        </w:rPr>
        <w:t xml:space="preserve"> system contact, meaning earlier funnel stages are baked into this variable. The gap narrows again. Something remains.</w:t>
      </w:r>
    </w:p>
    <w:p w14:paraId="78832ED9" w14:textId="77777777" w:rsidR="00091443" w:rsidRPr="00091443" w:rsidRDefault="00091443" w:rsidP="00837046">
      <w:pPr>
        <w:spacing w:line="480" w:lineRule="auto"/>
        <w:rPr>
          <w:rFonts w:eastAsiaTheme="majorEastAsia"/>
          <w:b/>
          <w:bCs/>
        </w:rPr>
      </w:pPr>
      <w:r w:rsidRPr="00091443">
        <w:rPr>
          <w:rFonts w:eastAsiaTheme="majorEastAsia"/>
          <w:b/>
          <w:bCs/>
        </w:rPr>
        <w:t>6. The hard part: what the residual gap can't tell you (~5 min)</w:t>
      </w:r>
    </w:p>
    <w:p w14:paraId="5BA920CF" w14:textId="77777777" w:rsidR="00091443" w:rsidRPr="00091443" w:rsidRDefault="00091443" w:rsidP="00837046">
      <w:pPr>
        <w:spacing w:line="480" w:lineRule="auto"/>
        <w:rPr>
          <w:rFonts w:eastAsiaTheme="majorEastAsia"/>
        </w:rPr>
      </w:pPr>
      <w:r w:rsidRPr="00091443">
        <w:rPr>
          <w:rFonts w:eastAsiaTheme="majorEastAsia"/>
        </w:rPr>
        <w:t xml:space="preserve">The module's payload. The residual gap is a </w:t>
      </w:r>
      <w:r w:rsidRPr="00091443">
        <w:rPr>
          <w:rFonts w:eastAsiaTheme="majorEastAsia"/>
          <w:i/>
          <w:iCs/>
        </w:rPr>
        <w:t>description that has survived two adjustments</w:t>
      </w:r>
      <w:r w:rsidRPr="00091443">
        <w:rPr>
          <w:rFonts w:eastAsiaTheme="majorEastAsia"/>
        </w:rPr>
        <w:t xml:space="preserve"> — it is still not an explanation. Walk the candidate explanations the data cannot separate:</w:t>
      </w:r>
    </w:p>
    <w:p w14:paraId="025C8749" w14:textId="77777777" w:rsidR="00091443" w:rsidRPr="00091443" w:rsidRDefault="00091443" w:rsidP="00837046">
      <w:pPr>
        <w:spacing w:line="480" w:lineRule="auto"/>
        <w:rPr>
          <w:rFonts w:eastAsiaTheme="majorEastAsia"/>
        </w:rPr>
      </w:pPr>
      <w:r w:rsidRPr="00091443">
        <w:rPr>
          <w:rFonts w:eastAsiaTheme="majorEastAsia"/>
          <w:b/>
          <w:bCs/>
        </w:rPr>
        <w:t>Judicial leniency</w:t>
      </w:r>
      <w:r w:rsidRPr="00091443">
        <w:rPr>
          <w:rFonts w:eastAsiaTheme="majorEastAsia"/>
        </w:rPr>
        <w:t xml:space="preserve"> (differential treatment at sentencing)</w:t>
      </w:r>
    </w:p>
    <w:p w14:paraId="32BEA614" w14:textId="77777777" w:rsidR="00091443" w:rsidRPr="00091443" w:rsidRDefault="00091443" w:rsidP="00837046">
      <w:pPr>
        <w:spacing w:line="480" w:lineRule="auto"/>
        <w:rPr>
          <w:rFonts w:eastAsiaTheme="majorEastAsia"/>
        </w:rPr>
      </w:pPr>
      <w:r w:rsidRPr="00091443">
        <w:rPr>
          <w:rFonts w:eastAsiaTheme="majorEastAsia"/>
          <w:b/>
          <w:bCs/>
        </w:rPr>
        <w:lastRenderedPageBreak/>
        <w:t>Charging and plea decisions upstream</w:t>
      </w:r>
      <w:r w:rsidRPr="00091443">
        <w:rPr>
          <w:rFonts w:eastAsiaTheme="majorEastAsia"/>
        </w:rPr>
        <w:t xml:space="preserve"> — the funnel again; identical conduct may enter the data as different offense codes by sex</w:t>
      </w:r>
    </w:p>
    <w:p w14:paraId="56F62DB3" w14:textId="77777777" w:rsidR="00091443" w:rsidRPr="00091443" w:rsidRDefault="00091443" w:rsidP="00837046">
      <w:pPr>
        <w:spacing w:line="480" w:lineRule="auto"/>
        <w:rPr>
          <w:rFonts w:eastAsiaTheme="majorEastAsia"/>
        </w:rPr>
      </w:pPr>
      <w:r w:rsidRPr="00091443">
        <w:rPr>
          <w:rFonts w:eastAsiaTheme="majorEastAsia"/>
          <w:b/>
          <w:bCs/>
        </w:rPr>
        <w:t>Unrecorded legally relevant factors</w:t>
      </w:r>
      <w:r w:rsidRPr="00091443">
        <w:rPr>
          <w:rFonts w:eastAsiaTheme="majorEastAsia"/>
        </w:rPr>
        <w:t xml:space="preserve"> — role in the offense, weapon use, victim injury within the same moc code</w:t>
      </w:r>
    </w:p>
    <w:p w14:paraId="3D44141A" w14:textId="77777777" w:rsidR="00091443" w:rsidRPr="00091443" w:rsidRDefault="00091443" w:rsidP="00837046">
      <w:pPr>
        <w:spacing w:line="480" w:lineRule="auto"/>
        <w:rPr>
          <w:rFonts w:eastAsiaTheme="majorEastAsia"/>
        </w:rPr>
      </w:pPr>
      <w:r w:rsidRPr="00091443">
        <w:rPr>
          <w:rFonts w:eastAsiaTheme="majorEastAsia"/>
          <w:b/>
          <w:bCs/>
        </w:rPr>
        <w:t>Unrecorded extralegal factors</w:t>
      </w:r>
      <w:r w:rsidRPr="00091443">
        <w:rPr>
          <w:rFonts w:eastAsiaTheme="majorEastAsia"/>
        </w:rPr>
        <w:t xml:space="preserve"> — caregiving responsibilities, which courts may weigh through departures (Minnesota's dispositional departures are a natural pointer here; MSGC reports show women receive mitigated dispositional departures at higher rates)</w:t>
      </w:r>
    </w:p>
    <w:p w14:paraId="77C40EBF" w14:textId="77777777" w:rsidR="00091443" w:rsidRPr="00091443" w:rsidRDefault="00091443" w:rsidP="00837046">
      <w:pPr>
        <w:spacing w:line="480" w:lineRule="auto"/>
        <w:rPr>
          <w:rFonts w:eastAsiaTheme="majorEastAsia"/>
        </w:rPr>
      </w:pPr>
      <w:r w:rsidRPr="00091443">
        <w:rPr>
          <w:rFonts w:eastAsiaTheme="majorEastAsia"/>
          <w:b/>
          <w:bCs/>
        </w:rPr>
        <w:t>Selection into the dataset itself</w:t>
      </w:r>
      <w:r w:rsidRPr="00091443">
        <w:rPr>
          <w:rFonts w:eastAsiaTheme="majorEastAsia"/>
        </w:rPr>
        <w:t xml:space="preserve"> — if marginal female cases are diverted pre-felony, the women who remain are non-random</w:t>
      </w:r>
    </w:p>
    <w:p w14:paraId="3776A568" w14:textId="77777777" w:rsidR="00091443" w:rsidRPr="00091443" w:rsidRDefault="00091443" w:rsidP="00837046">
      <w:pPr>
        <w:spacing w:line="480" w:lineRule="auto"/>
        <w:rPr>
          <w:rFonts w:eastAsiaTheme="majorEastAsia"/>
        </w:rPr>
      </w:pPr>
      <w:r w:rsidRPr="00091443">
        <w:rPr>
          <w:rFonts w:eastAsiaTheme="majorEastAsia"/>
        </w:rPr>
        <w:t>Close with the discipline restated: the Explorer can shrink a gap; it cannot assign a cause. Adjudicating between these requires data the monitoring system was never designed to collect (Module 1's found-data lesson, returned).</w:t>
      </w:r>
    </w:p>
    <w:p w14:paraId="5DB44F89" w14:textId="77777777" w:rsidR="00091443" w:rsidRPr="00091443" w:rsidRDefault="00091443" w:rsidP="00837046">
      <w:pPr>
        <w:spacing w:line="480" w:lineRule="auto"/>
        <w:rPr>
          <w:rFonts w:eastAsiaTheme="majorEastAsia"/>
          <w:b/>
          <w:bCs/>
        </w:rPr>
      </w:pPr>
      <w:r w:rsidRPr="00091443">
        <w:rPr>
          <w:rFonts w:eastAsiaTheme="majorEastAsia"/>
          <w:b/>
          <w:bCs/>
        </w:rPr>
        <w:t>7. Checkpoint + bridge to Unit IV (~2–3 min)</w:t>
      </w:r>
    </w:p>
    <w:p w14:paraId="695C22EB" w14:textId="77777777" w:rsidR="00091443" w:rsidRPr="00091443" w:rsidRDefault="00091443" w:rsidP="00837046">
      <w:pPr>
        <w:spacing w:line="480" w:lineRule="auto"/>
        <w:rPr>
          <w:rFonts w:eastAsiaTheme="majorEastAsia"/>
        </w:rPr>
      </w:pPr>
      <w:r w:rsidRPr="00091443">
        <w:rPr>
          <w:rFonts w:eastAsiaTheme="majorEastAsia"/>
        </w:rPr>
        <w:t>Short quiz (see tasks below), then the bridge: name the exact sequence just performed — raw gap → composition check → conditioning on offense → conditioning on history → residual gap → enumerate unobservables — and state that Unit IV applies this sequence verbatim, where the stakes and the temptation to skip steps are both higher.</w:t>
      </w:r>
    </w:p>
    <w:p w14:paraId="0EB47DA5" w14:textId="77777777" w:rsidR="00091443" w:rsidRPr="00091443" w:rsidRDefault="00091443" w:rsidP="00837046">
      <w:pPr>
        <w:spacing w:line="480" w:lineRule="auto"/>
        <w:rPr>
          <w:rFonts w:eastAsiaTheme="majorEastAsia"/>
        </w:rPr>
      </w:pPr>
      <w:r w:rsidRPr="00091443">
        <w:rPr>
          <w:rFonts w:eastAsiaTheme="majorEastAsia"/>
        </w:rPr>
        <w:pict w14:anchorId="2D3F413B">
          <v:rect id="_x0000_i1025" style="width:0;height:1.5pt" o:hralign="center" o:hrstd="t" o:hr="t" fillcolor="#a0a0a0" stroked="f"/>
        </w:pict>
      </w:r>
    </w:p>
    <w:p w14:paraId="3D44E87A" w14:textId="77777777" w:rsidR="00091443" w:rsidRPr="00091443" w:rsidRDefault="00091443" w:rsidP="00837046">
      <w:pPr>
        <w:spacing w:line="480" w:lineRule="auto"/>
        <w:rPr>
          <w:rFonts w:eastAsiaTheme="majorEastAsia"/>
          <w:b/>
          <w:bCs/>
        </w:rPr>
      </w:pPr>
      <w:r w:rsidRPr="00091443">
        <w:rPr>
          <w:rFonts w:eastAsiaTheme="majorEastAsia"/>
          <w:b/>
          <w:bCs/>
        </w:rPr>
        <w:t>Interactive task ideas within the Explorer</w:t>
      </w:r>
    </w:p>
    <w:p w14:paraId="17975961" w14:textId="77777777" w:rsidR="00091443" w:rsidRPr="00091443" w:rsidRDefault="00091443" w:rsidP="00837046">
      <w:pPr>
        <w:spacing w:line="480" w:lineRule="auto"/>
        <w:rPr>
          <w:rFonts w:eastAsiaTheme="majorEastAsia"/>
        </w:rPr>
      </w:pPr>
      <w:r w:rsidRPr="00091443">
        <w:rPr>
          <w:rFonts w:eastAsiaTheme="majorEastAsia"/>
          <w:b/>
          <w:bCs/>
        </w:rPr>
        <w:t>Core sequence (in-module)</w:t>
      </w:r>
    </w:p>
    <w:p w14:paraId="244C958A" w14:textId="77777777" w:rsidR="00091443" w:rsidRPr="00091443" w:rsidRDefault="00091443" w:rsidP="00837046">
      <w:pPr>
        <w:spacing w:line="480" w:lineRule="auto"/>
        <w:rPr>
          <w:rFonts w:eastAsiaTheme="majorEastAsia"/>
        </w:rPr>
      </w:pPr>
      <w:r w:rsidRPr="00091443">
        <w:rPr>
          <w:rFonts w:eastAsiaTheme="majorEastAsia"/>
          <w:b/>
          <w:bCs/>
        </w:rPr>
        <w:lastRenderedPageBreak/>
        <w:t>Reproduce the raw gap.</w:t>
      </w:r>
      <w:r w:rsidRPr="00091443">
        <w:rPr>
          <w:rFonts w:eastAsiaTheme="majorEastAsia"/>
        </w:rPr>
        <w:t xml:space="preserve"> Clear history, run column summary on sex (counts and percentages), then crosstab sex × mean time. Record both numbers — reinforces that "rarer" and "shorter" are two findings.</w:t>
      </w:r>
    </w:p>
    <w:p w14:paraId="2911848F" w14:textId="77777777" w:rsidR="00091443" w:rsidRPr="00091443" w:rsidRDefault="00091443" w:rsidP="00837046">
      <w:pPr>
        <w:spacing w:line="480" w:lineRule="auto"/>
        <w:rPr>
          <w:rFonts w:eastAsiaTheme="majorEastAsia"/>
        </w:rPr>
      </w:pPr>
      <w:r w:rsidRPr="00091443">
        <w:rPr>
          <w:rFonts w:eastAsiaTheme="majorEastAsia"/>
          <w:b/>
          <w:bCs/>
        </w:rPr>
        <w:t>Composition audit.</w:t>
      </w:r>
      <w:r w:rsidRPr="00091443">
        <w:rPr>
          <w:rFonts w:eastAsiaTheme="majorEastAsia"/>
        </w:rPr>
        <w:t xml:space="preserve"> Crosstab sex × moc1 in percentages. Question: which offense family shows the largest male–female difference in </w:t>
      </w:r>
      <w:r w:rsidRPr="00091443">
        <w:rPr>
          <w:rFonts w:eastAsiaTheme="majorEastAsia"/>
          <w:i/>
          <w:iCs/>
        </w:rPr>
        <w:t>share of that group's records</w:t>
      </w:r>
      <w:r w:rsidRPr="00091443">
        <w:rPr>
          <w:rFonts w:eastAsiaTheme="majorEastAsia"/>
        </w:rPr>
        <w:t>? (Base-rate reasoning applied.)</w:t>
      </w:r>
    </w:p>
    <w:p w14:paraId="201728FC" w14:textId="77777777" w:rsidR="00091443" w:rsidRPr="00091443" w:rsidRDefault="00091443" w:rsidP="00837046">
      <w:pPr>
        <w:spacing w:line="480" w:lineRule="auto"/>
        <w:rPr>
          <w:rFonts w:eastAsiaTheme="majorEastAsia"/>
        </w:rPr>
      </w:pPr>
      <w:r w:rsidRPr="00091443">
        <w:rPr>
          <w:rFonts w:eastAsiaTheme="majorEastAsia"/>
          <w:b/>
          <w:bCs/>
        </w:rPr>
        <w:t>One-family conditioning.</w:t>
      </w:r>
      <w:r w:rsidRPr="00091443">
        <w:rPr>
          <w:rFonts w:eastAsiaTheme="majorEastAsia"/>
        </w:rPr>
        <w:t xml:space="preserve"> Filter to drug offenses; re-run sex × mean time. Quiz: did the gap grow, shrink, or hold? Repeat for person offenses; compare.</w:t>
      </w:r>
    </w:p>
    <w:p w14:paraId="338C0684" w14:textId="77777777" w:rsidR="00091443" w:rsidRPr="00091443" w:rsidRDefault="00091443" w:rsidP="00837046">
      <w:pPr>
        <w:spacing w:line="480" w:lineRule="auto"/>
        <w:rPr>
          <w:rFonts w:eastAsiaTheme="majorEastAsia"/>
        </w:rPr>
      </w:pPr>
      <w:r w:rsidRPr="00091443">
        <w:rPr>
          <w:rFonts w:eastAsiaTheme="majorEastAsia"/>
          <w:b/>
          <w:bCs/>
        </w:rPr>
        <w:t>Two-way conditioning.</w:t>
      </w:r>
      <w:r w:rsidRPr="00091443">
        <w:rPr>
          <w:rFonts w:eastAsiaTheme="majorEastAsia"/>
        </w:rPr>
        <w:t xml:space="preserve"> Within one offense family, filter history == 0 and compare sex means; then history &gt;= 3. Question: is the gap larger among first-timers or repeat offenders — and write one sentence on why that's interesting </w:t>
      </w:r>
      <w:r w:rsidRPr="00091443">
        <w:rPr>
          <w:rFonts w:eastAsiaTheme="majorEastAsia"/>
          <w:i/>
          <w:iCs/>
        </w:rPr>
        <w:t>without</w:t>
      </w:r>
      <w:r w:rsidRPr="00091443">
        <w:rPr>
          <w:rFonts w:eastAsiaTheme="majorEastAsia"/>
        </w:rPr>
        <w:t xml:space="preserve"> claiming to know the cause.</w:t>
      </w:r>
    </w:p>
    <w:p w14:paraId="1DE2CDEC" w14:textId="77777777" w:rsidR="00091443" w:rsidRPr="00091443" w:rsidRDefault="00091443" w:rsidP="00837046">
      <w:pPr>
        <w:spacing w:line="480" w:lineRule="auto"/>
        <w:rPr>
          <w:rFonts w:eastAsiaTheme="majorEastAsia"/>
        </w:rPr>
      </w:pPr>
      <w:r w:rsidRPr="00091443">
        <w:rPr>
          <w:rFonts w:eastAsiaTheme="majorEastAsia"/>
          <w:b/>
          <w:bCs/>
        </w:rPr>
        <w:t>The trap task.</w:t>
      </w:r>
      <w:r w:rsidRPr="00091443">
        <w:rPr>
          <w:rFonts w:eastAsiaTheme="majorEastAsia"/>
        </w:rPr>
        <w:t xml:space="preserve"> Ask students to find a stratum where the gap </w:t>
      </w:r>
      <w:r w:rsidRPr="00091443">
        <w:rPr>
          <w:rFonts w:eastAsiaTheme="majorEastAsia"/>
          <w:i/>
          <w:iCs/>
        </w:rPr>
        <w:t>reverses</w:t>
      </w:r>
      <w:r w:rsidRPr="00091443">
        <w:rPr>
          <w:rFonts w:eastAsiaTheme="majorEastAsia"/>
        </w:rPr>
        <w:t xml:space="preserve"> or nearly vanishes, then explain why one cell doesn't overturn the overall pattern (small-n cells, mode/mean instability — Module 3 callback).</w:t>
      </w:r>
    </w:p>
    <w:p w14:paraId="210293A7" w14:textId="77777777" w:rsidR="00091443" w:rsidRPr="00091443" w:rsidRDefault="00091443" w:rsidP="00837046">
      <w:pPr>
        <w:spacing w:line="480" w:lineRule="auto"/>
        <w:rPr>
          <w:rFonts w:eastAsiaTheme="majorEastAsia"/>
        </w:rPr>
      </w:pPr>
      <w:r w:rsidRPr="00091443">
        <w:rPr>
          <w:rFonts w:eastAsiaTheme="majorEastAsia"/>
          <w:b/>
          <w:bCs/>
        </w:rPr>
        <w:t>"What can't this view say?"</w:t>
      </w:r>
      <w:r w:rsidRPr="00091443">
        <w:rPr>
          <w:rFonts w:eastAsiaTheme="majorEastAsia"/>
        </w:rPr>
        <w:t xml:space="preserve"> Free-response: given the final conditioned view, list two explanations consistent with it that the dataset cannot distinguish. Graded on enumerating unobservables, not on picking a favorite.</w:t>
      </w:r>
    </w:p>
    <w:p w14:paraId="7AE73AFE" w14:textId="77777777" w:rsidR="00091443" w:rsidRPr="00091443" w:rsidRDefault="00091443" w:rsidP="00837046">
      <w:pPr>
        <w:spacing w:line="480" w:lineRule="auto"/>
        <w:rPr>
          <w:rFonts w:eastAsiaTheme="majorEastAsia"/>
        </w:rPr>
      </w:pPr>
      <w:r w:rsidRPr="00091443">
        <w:rPr>
          <w:rFonts w:eastAsiaTheme="majorEastAsia"/>
          <w:b/>
          <w:bCs/>
        </w:rPr>
        <w:t>Extension / optional</w:t>
      </w:r>
    </w:p>
    <w:p w14:paraId="13CF0D80" w14:textId="77777777" w:rsidR="00091443" w:rsidRPr="00091443" w:rsidRDefault="00091443" w:rsidP="00837046">
      <w:pPr>
        <w:spacing w:line="480" w:lineRule="auto"/>
        <w:rPr>
          <w:rFonts w:eastAsiaTheme="majorEastAsia"/>
        </w:rPr>
      </w:pPr>
      <w:r w:rsidRPr="00091443">
        <w:rPr>
          <w:rFonts w:eastAsiaTheme="majorEastAsia"/>
          <w:b/>
          <w:bCs/>
        </w:rPr>
        <w:t>Median vs. mean check.</w:t>
      </w:r>
      <w:r w:rsidRPr="00091443">
        <w:rPr>
          <w:rFonts w:eastAsiaTheme="majorEastAsia"/>
        </w:rPr>
        <w:t xml:space="preserve"> Re-run a key comparison with medians. If the gap changes size, connect to skew and the mean–median lesson from Module 3.</w:t>
      </w:r>
    </w:p>
    <w:p w14:paraId="09459848" w14:textId="77777777" w:rsidR="00091443" w:rsidRPr="00091443" w:rsidRDefault="00091443" w:rsidP="00837046">
      <w:pPr>
        <w:spacing w:line="480" w:lineRule="auto"/>
        <w:rPr>
          <w:rFonts w:eastAsiaTheme="majorEastAsia"/>
        </w:rPr>
      </w:pPr>
      <w:r w:rsidRPr="00091443">
        <w:rPr>
          <w:rFonts w:eastAsiaTheme="majorEastAsia"/>
          <w:b/>
          <w:bCs/>
        </w:rPr>
        <w:t>Time trend.</w:t>
      </w:r>
      <w:r w:rsidRPr="00091443">
        <w:rPr>
          <w:rFonts w:eastAsiaTheme="majorEastAsia"/>
        </w:rPr>
        <w:t xml:space="preserve"> Crosstab sentyear × mean time split by sex: has the gap narrowed since 2001? Caution prompt: guideline changes over time are a confound.</w:t>
      </w:r>
    </w:p>
    <w:p w14:paraId="4DEFBF26" w14:textId="77777777" w:rsidR="00091443" w:rsidRPr="00091443" w:rsidRDefault="00091443" w:rsidP="00837046">
      <w:pPr>
        <w:spacing w:line="480" w:lineRule="auto"/>
        <w:rPr>
          <w:rFonts w:eastAsiaTheme="majorEastAsia"/>
        </w:rPr>
      </w:pPr>
      <w:r w:rsidRPr="00091443">
        <w:rPr>
          <w:rFonts w:eastAsiaTheme="majorEastAsia"/>
          <w:b/>
          <w:bCs/>
        </w:rPr>
        <w:lastRenderedPageBreak/>
        <w:t>Severity-weight probe.</w:t>
      </w:r>
      <w:r w:rsidRPr="00091443">
        <w:rPr>
          <w:rFonts w:eastAsiaTheme="majorEastAsia"/>
        </w:rPr>
        <w:t xml:space="preserve"> Compare tweight distributions by sex within an offense family — a proxy for whether men's cases carry more additional counts, i.e., composition hiding </w:t>
      </w:r>
      <w:r w:rsidRPr="00091443">
        <w:rPr>
          <w:rFonts w:eastAsiaTheme="majorEastAsia"/>
          <w:i/>
          <w:iCs/>
        </w:rPr>
        <w:t>inside</w:t>
      </w:r>
      <w:r w:rsidRPr="00091443">
        <w:rPr>
          <w:rFonts w:eastAsiaTheme="majorEastAsia"/>
        </w:rPr>
        <w:t xml:space="preserve"> a stratum.</w:t>
      </w:r>
    </w:p>
    <w:p w14:paraId="0184E91A" w14:textId="77777777" w:rsidR="00091443" w:rsidRPr="00091443" w:rsidRDefault="00091443" w:rsidP="00837046">
      <w:pPr>
        <w:spacing w:line="480" w:lineRule="auto"/>
        <w:rPr>
          <w:rFonts w:eastAsiaTheme="majorEastAsia"/>
        </w:rPr>
      </w:pPr>
      <w:r w:rsidRPr="00091443">
        <w:rPr>
          <w:rFonts w:eastAsiaTheme="majorEastAsia"/>
          <w:b/>
          <w:bCs/>
        </w:rPr>
        <w:t>Predict-then-check.</w:t>
      </w:r>
      <w:r w:rsidRPr="00091443">
        <w:rPr>
          <w:rFonts w:eastAsiaTheme="majorEastAsia"/>
        </w:rPr>
        <w:t xml:space="preserve"> Before running task 3, students write a predicted direction and magnitude; the Explorer adjudicates. Builds the habit of registering expectations before looking.</w:t>
      </w:r>
    </w:p>
    <w:p w14:paraId="62EF4B2E" w14:textId="77777777" w:rsidR="00091443" w:rsidRPr="00091443" w:rsidRDefault="00091443" w:rsidP="00837046">
      <w:pPr>
        <w:spacing w:line="480" w:lineRule="auto"/>
        <w:rPr>
          <w:rFonts w:eastAsiaTheme="majorEastAsia"/>
        </w:rPr>
      </w:pPr>
      <w:r w:rsidRPr="00091443">
        <w:rPr>
          <w:rFonts w:eastAsiaTheme="majorEastAsia"/>
          <w:b/>
          <w:bCs/>
        </w:rPr>
        <w:t>Simpson's construction challenge.</w:t>
      </w:r>
      <w:r w:rsidRPr="00091443">
        <w:rPr>
          <w:rFonts w:eastAsiaTheme="majorEastAsia"/>
        </w:rPr>
        <w:t xml:space="preserve"> Advanced: find (or approximate) a pair of strata where within-group gaps point one way but the pooled gap points differently, and explain the aggregation mechanics.</w:t>
      </w:r>
    </w:p>
    <w:p w14:paraId="11242185" w14:textId="77777777" w:rsidR="00091443" w:rsidRDefault="00091443" w:rsidP="00837046">
      <w:pPr>
        <w:spacing w:line="480" w:lineRule="auto"/>
        <w:rPr>
          <w:rFonts w:eastAsiaTheme="majorEastAsia"/>
        </w:rPr>
      </w:pPr>
      <w:r w:rsidRPr="00091443">
        <w:rPr>
          <w:rFonts w:eastAsiaTheme="majorEastAsia"/>
          <w:b/>
          <w:bCs/>
        </w:rPr>
        <w:t>Write the honest headline.</w:t>
      </w:r>
      <w:r w:rsidRPr="00091443">
        <w:rPr>
          <w:rFonts w:eastAsiaTheme="majorEastAsia"/>
        </w:rPr>
        <w:t xml:space="preserve"> Students draft a one-sentence, publication-ready summary of the module's finding that a methodologist couldn't object to — practicing the descriptive register ("women's sentences average X months shorter within the same offense family and history band") over the causal one ("courts favor women").</w:t>
      </w:r>
    </w:p>
    <w:p w14:paraId="25794516" w14:textId="77777777" w:rsidR="00726BD3" w:rsidRPr="00091443" w:rsidRDefault="00726BD3" w:rsidP="00837046">
      <w:pPr>
        <w:spacing w:line="480" w:lineRule="auto"/>
        <w:rPr>
          <w:rFonts w:eastAsiaTheme="majorEastAsia"/>
        </w:rPr>
      </w:pPr>
    </w:p>
    <w:p w14:paraId="2B138A11" w14:textId="7E6371A2" w:rsidR="001C53F8" w:rsidRDefault="001C53F8" w:rsidP="00837046">
      <w:pPr>
        <w:pStyle w:val="Heading1"/>
        <w:spacing w:line="480" w:lineRule="auto"/>
      </w:pPr>
      <w:r w:rsidRPr="001C53F8">
        <w:t>Unit IV — The Big Question</w:t>
      </w:r>
    </w:p>
    <w:p w14:paraId="747F3C05" w14:textId="77777777" w:rsidR="00726BD3" w:rsidRPr="00726BD3" w:rsidRDefault="00726BD3" w:rsidP="00837046">
      <w:pPr>
        <w:spacing w:line="480" w:lineRule="auto"/>
      </w:pPr>
    </w:p>
    <w:p w14:paraId="753637F9" w14:textId="2669ACF7" w:rsidR="00726BD3" w:rsidRDefault="00726BD3" w:rsidP="00837046">
      <w:pPr>
        <w:pStyle w:val="Heading2"/>
        <w:spacing w:line="480" w:lineRule="auto"/>
      </w:pPr>
      <w:r>
        <w:t>Module 12: Race &amp; Sentencing Disparity</w:t>
      </w:r>
    </w:p>
    <w:p w14:paraId="52959D99" w14:textId="5EEE40BB" w:rsidR="00FA09EE" w:rsidRPr="00FA09EE" w:rsidRDefault="00FA09EE" w:rsidP="00837046">
      <w:pPr>
        <w:pStyle w:val="Heading3"/>
        <w:spacing w:line="480" w:lineRule="auto"/>
      </w:pPr>
      <w:r w:rsidRPr="00FA09EE">
        <w:t>Race and Sentencing Disparity</w:t>
      </w:r>
    </w:p>
    <w:p w14:paraId="50CBC9D4" w14:textId="77777777" w:rsidR="00FA09EE" w:rsidRPr="00FA09EE" w:rsidRDefault="00FA09EE" w:rsidP="00837046">
      <w:pPr>
        <w:spacing w:line="480" w:lineRule="auto"/>
        <w:rPr>
          <w:rFonts w:eastAsiaTheme="majorEastAsia"/>
        </w:rPr>
      </w:pPr>
      <w:r w:rsidRPr="00FA09EE">
        <w:rPr>
          <w:rFonts w:eastAsiaTheme="majorEastAsia"/>
        </w:rPr>
        <w:t>A racial gap in sentencing appears to invite an immediate conclusion. The number looks political, moral, and empirical all at once. If Black defendants receive longer sentences than White defendants in the unfiltered dataset, it is tempting to say that the sentencing system discriminates.</w:t>
      </w:r>
    </w:p>
    <w:p w14:paraId="731A874A" w14:textId="77777777" w:rsidR="00FA09EE" w:rsidRPr="00FA09EE" w:rsidRDefault="00FA09EE" w:rsidP="00837046">
      <w:pPr>
        <w:spacing w:line="480" w:lineRule="auto"/>
        <w:rPr>
          <w:rFonts w:eastAsiaTheme="majorEastAsia"/>
        </w:rPr>
      </w:pPr>
      <w:r w:rsidRPr="00FA09EE">
        <w:rPr>
          <w:rFonts w:eastAsiaTheme="majorEastAsia"/>
        </w:rPr>
        <w:lastRenderedPageBreak/>
        <w:t>This module is the point toward which the course has been moving, and for that reason it requires the greatest restraint. Students now have the tools to split sentence length by any group in the data, including race. The Explorer can produce a raw racial crosstab in seconds. The harder task is learning what that table can mean, what it cannot mean, and how to write the result without allowing the claim to outrun the evidence.</w:t>
      </w:r>
    </w:p>
    <w:p w14:paraId="5BC51BDD" w14:textId="77777777" w:rsidR="00FA09EE" w:rsidRPr="00FA09EE" w:rsidRDefault="00FA09EE" w:rsidP="00837046">
      <w:pPr>
        <w:spacing w:line="480" w:lineRule="auto"/>
        <w:rPr>
          <w:rFonts w:eastAsiaTheme="majorEastAsia"/>
        </w:rPr>
      </w:pPr>
      <w:r w:rsidRPr="00FA09EE">
        <w:rPr>
          <w:rFonts w:eastAsiaTheme="majorEastAsia"/>
        </w:rPr>
        <w:t xml:space="preserve">The governing distinction is between disparity and discrimination. Descriptive data can document disparity. It cannot, </w:t>
      </w:r>
      <w:r w:rsidRPr="00FA09EE">
        <w:rPr>
          <w:rFonts w:eastAsiaTheme="majorEastAsia"/>
          <w:b/>
          <w:bCs/>
        </w:rPr>
        <w:t>by itself</w:t>
      </w:r>
      <w:r w:rsidRPr="00FA09EE">
        <w:rPr>
          <w:rFonts w:eastAsiaTheme="majorEastAsia"/>
        </w:rPr>
        <w:t>, prove discrimination (National Research Council [NRC], 2004). That distinction is not a minor vocabulary preference. It is the boundary between a measured pattern and a causal claim.</w:t>
      </w:r>
    </w:p>
    <w:p w14:paraId="33CAE266" w14:textId="77777777" w:rsidR="00FA09EE" w:rsidRPr="00FA09EE" w:rsidRDefault="00FA09EE" w:rsidP="00837046">
      <w:pPr>
        <w:spacing w:line="480" w:lineRule="auto"/>
        <w:rPr>
          <w:rFonts w:eastAsiaTheme="majorEastAsia"/>
        </w:rPr>
      </w:pPr>
      <w:r w:rsidRPr="00FA09EE">
        <w:rPr>
          <w:rFonts w:eastAsiaTheme="majorEastAsia"/>
        </w:rPr>
        <w:t>The criminal-justice funnel should remain visible throughout the analysis. Each row in the dataset represents a felony sentencing record that has already passed through policing, charging, plea negotiation, conviction, and sentencing. The dataset observes the bottom of the funnel. It does not observe everyone who offended, everyone who was stopped, everyone who was investigated, everyone who was charged, or everyone whose case was dismissed. By the time a case becomes a row, upstream decisions have already shaped who appears in the data. That fact does not make the dataset useless. It makes the dataset bounded.</w:t>
      </w:r>
    </w:p>
    <w:p w14:paraId="095C393A" w14:textId="77777777" w:rsidR="00FA09EE" w:rsidRPr="00FA09EE" w:rsidRDefault="00FA09EE" w:rsidP="00837046">
      <w:pPr>
        <w:pStyle w:val="Heading3"/>
        <w:spacing w:line="480" w:lineRule="auto"/>
      </w:pPr>
      <w:r w:rsidRPr="00FA09EE">
        <w:t>Disparity and Discrimination</w:t>
      </w:r>
    </w:p>
    <w:p w14:paraId="4FE564DC" w14:textId="77777777" w:rsidR="00FA09EE" w:rsidRDefault="00FA09EE" w:rsidP="00837046">
      <w:pPr>
        <w:spacing w:line="480" w:lineRule="auto"/>
        <w:rPr>
          <w:rFonts w:eastAsiaTheme="majorEastAsia"/>
        </w:rPr>
      </w:pPr>
      <w:r w:rsidRPr="00FA09EE">
        <w:rPr>
          <w:rFonts w:eastAsiaTheme="majorEastAsia"/>
        </w:rPr>
        <w:t xml:space="preserve">Disparity is a measured difference in outcomes between groups. It is descriptive rather than causal. A statement such as “Black defendants in this dataset receive longer median sentences than White defendants” identifies a disparity in the sentencing records; it does not, by itself, establish why that difference exists or whether it reflects discrimination. Mitchell and MacKenzie (2004) make this distinction directly, explaining that racial and ethnic disparity indicates </w:t>
      </w:r>
      <w:r w:rsidRPr="00FA09EE">
        <w:rPr>
          <w:rFonts w:eastAsiaTheme="majorEastAsia"/>
        </w:rPr>
        <w:lastRenderedPageBreak/>
        <w:t>differences between groups on an outcome, whereas discrimination refers to differences that stem from biased treatment.</w:t>
      </w:r>
    </w:p>
    <w:p w14:paraId="14962909" w14:textId="21A4F205" w:rsidR="00FA09EE" w:rsidRPr="00FA09EE" w:rsidRDefault="00FA09EE" w:rsidP="00837046">
      <w:pPr>
        <w:spacing w:line="480" w:lineRule="auto"/>
        <w:rPr>
          <w:rFonts w:eastAsiaTheme="majorEastAsia"/>
        </w:rPr>
      </w:pPr>
      <w:r w:rsidRPr="00FA09EE">
        <w:rPr>
          <w:rFonts w:eastAsiaTheme="majorEastAsia"/>
        </w:rPr>
        <w:t>Discrimination is a causal claim. It means that race itself changed how the case was handled, holding everything else constant. The cleanest version of the question is counterfactual: would this defendant’s sentence have been different if only the defendant’s race were different, with the same offense, the same conduct, the same criminal history, the same case facts, and the same institutional path? The phrase “all else equal” carries the entire difficulty (Baumer, 2013; NRC, 2004).</w:t>
      </w:r>
    </w:p>
    <w:p w14:paraId="5FB0FA23" w14:textId="4DD185CE" w:rsidR="00FA09EE" w:rsidRPr="00FA09EE" w:rsidRDefault="00FA09EE" w:rsidP="00837046">
      <w:pPr>
        <w:spacing w:line="480" w:lineRule="auto"/>
        <w:rPr>
          <w:rFonts w:eastAsiaTheme="majorEastAsia"/>
        </w:rPr>
      </w:pPr>
      <w:r w:rsidRPr="00FA09EE">
        <w:rPr>
          <w:rFonts w:eastAsiaTheme="majorEastAsia"/>
        </w:rPr>
        <w:t xml:space="preserve">Criminal-justice scholarship has long treated this distinction as essential. A disparity may signal that discrimination is possible, but establishing discrimination requires showing that the difference reflects unequal treatment rather than other differences between groups, cases, or institutional pathways (Garland et al., 2008). The pattern is real. The explanation remains </w:t>
      </w:r>
      <w:r w:rsidR="00BE4523">
        <w:rPr>
          <w:rFonts w:eastAsiaTheme="majorEastAsia"/>
        </w:rPr>
        <w:t>complex</w:t>
      </w:r>
      <w:r w:rsidRPr="00FA09EE">
        <w:rPr>
          <w:rFonts w:eastAsiaTheme="majorEastAsia"/>
        </w:rPr>
        <w:t>.</w:t>
      </w:r>
    </w:p>
    <w:p w14:paraId="2378EF93" w14:textId="77777777" w:rsidR="00FA09EE" w:rsidRPr="00FA09EE" w:rsidRDefault="00FA09EE" w:rsidP="00837046">
      <w:pPr>
        <w:spacing w:line="480" w:lineRule="auto"/>
        <w:rPr>
          <w:rFonts w:eastAsiaTheme="majorEastAsia"/>
        </w:rPr>
      </w:pPr>
      <w:r w:rsidRPr="00FA09EE">
        <w:rPr>
          <w:rFonts w:eastAsiaTheme="majorEastAsia"/>
        </w:rPr>
        <w:t>This distinction gives students their first rule for the module: say “disparity” when the claim is descriptive, and reserve “discrimination” for evidence that supports a causal interpretation.</w:t>
      </w:r>
    </w:p>
    <w:p w14:paraId="718BB297" w14:textId="77777777" w:rsidR="00FA09EE" w:rsidRPr="00FA09EE" w:rsidRDefault="00FA09EE" w:rsidP="00837046">
      <w:pPr>
        <w:pStyle w:val="Heading3"/>
        <w:spacing w:line="480" w:lineRule="auto"/>
      </w:pPr>
      <w:r w:rsidRPr="00FA09EE">
        <w:t>The Raw Crosstab</w:t>
      </w:r>
    </w:p>
    <w:p w14:paraId="174F430B" w14:textId="77777777" w:rsidR="00FA09EE" w:rsidRPr="00FA09EE" w:rsidRDefault="00FA09EE" w:rsidP="00837046">
      <w:pPr>
        <w:spacing w:line="480" w:lineRule="auto"/>
        <w:rPr>
          <w:rFonts w:eastAsiaTheme="majorEastAsia"/>
        </w:rPr>
      </w:pPr>
      <w:r w:rsidRPr="00FA09EE">
        <w:rPr>
          <w:rFonts w:eastAsiaTheme="majorEastAsia"/>
        </w:rPr>
        <w:t>The first analysis is usually the simplest one. Split the outcome by race, raw and unadjusted. In the Explorer, this means examining the median of time and crosstabbing it by race without filtering the dataset.</w:t>
      </w:r>
    </w:p>
    <w:p w14:paraId="56CBBDF5" w14:textId="77777777" w:rsidR="00FA09EE" w:rsidRPr="00FA09EE" w:rsidRDefault="00FA09EE" w:rsidP="00837046">
      <w:pPr>
        <w:spacing w:line="480" w:lineRule="auto"/>
        <w:rPr>
          <w:rFonts w:eastAsiaTheme="majorEastAsia"/>
        </w:rPr>
      </w:pPr>
      <w:r w:rsidRPr="00FA09EE">
        <w:rPr>
          <w:rFonts w:eastAsiaTheme="majorEastAsia"/>
        </w:rPr>
        <w:t xml:space="preserve">Here is a task a student could undertake with the Explorer to understand the raw racial gap. The student should clear the Explorer, summarize the median of time, and then crosstab time by race. No filters should be applied. This task was chosen because it reproduces the first comparison that many analysts would instinctively run: a direct racial comparison in sentence length. What the </w:t>
      </w:r>
      <w:r w:rsidRPr="00FA09EE">
        <w:rPr>
          <w:rFonts w:eastAsiaTheme="majorEastAsia"/>
        </w:rPr>
        <w:lastRenderedPageBreak/>
        <w:t>student should notice is that Black defendants’ median sentence appears to run a few months longer than White defendants’ median sentence in the unconditioned view. What the task is meant to teach is that the raw gap is real as a description, but incomplete as an explanation.</w:t>
      </w:r>
    </w:p>
    <w:p w14:paraId="6DD4E532" w14:textId="7A070374" w:rsidR="00FA09EE" w:rsidRPr="00FA09EE" w:rsidRDefault="00FA09EE" w:rsidP="00837046">
      <w:pPr>
        <w:spacing w:line="480" w:lineRule="auto"/>
        <w:rPr>
          <w:rFonts w:eastAsiaTheme="majorEastAsia"/>
        </w:rPr>
      </w:pPr>
      <w:r w:rsidRPr="00FA09EE">
        <w:rPr>
          <w:rFonts w:eastAsiaTheme="majorEastAsia"/>
        </w:rPr>
        <w:t>A raw racial gap pools together cases that may differ in nearly every legally relevant way: offense family, offense severity, criminal-history score, disposition, and case pathway. Sentencing research repeatedly emphasizes that these legal and administrative factors structure sentence length and must be interpreted before group differences are explained (Ulmer, 2012). The unadjusted crosstab therefore answers only a narrow question: what is the difference in sentence length between racial groups among all records in the current view? It does not answer whether similar cases were treated differently.</w:t>
      </w:r>
    </w:p>
    <w:p w14:paraId="1B699A77" w14:textId="77777777" w:rsidR="00FA09EE" w:rsidRPr="00FA09EE" w:rsidRDefault="00FA09EE" w:rsidP="00837046">
      <w:pPr>
        <w:pStyle w:val="Heading3"/>
        <w:spacing w:line="480" w:lineRule="auto"/>
      </w:pPr>
      <w:r w:rsidRPr="00FA09EE">
        <w:t>Simpson’s Trap</w:t>
      </w:r>
    </w:p>
    <w:p w14:paraId="3D577EE7" w14:textId="77777777" w:rsidR="00FA09EE" w:rsidRPr="00FA09EE" w:rsidRDefault="00FA09EE" w:rsidP="00837046">
      <w:pPr>
        <w:spacing w:line="480" w:lineRule="auto"/>
        <w:rPr>
          <w:rFonts w:eastAsiaTheme="majorEastAsia"/>
        </w:rPr>
      </w:pPr>
      <w:r w:rsidRPr="00FA09EE">
        <w:rPr>
          <w:rFonts w:eastAsiaTheme="majorEastAsia"/>
        </w:rPr>
        <w:t>The danger of the raw crosstab is not merely that it may exaggerate a gap. In some cases, an aggregate comparison can reverse when the data are disaggregated. This is the lesson commonly called Simpson’s paradox.</w:t>
      </w:r>
    </w:p>
    <w:p w14:paraId="60AC3C2F" w14:textId="77777777" w:rsidR="00FA09EE" w:rsidRPr="00FA09EE" w:rsidRDefault="00FA09EE" w:rsidP="00837046">
      <w:pPr>
        <w:spacing w:line="480" w:lineRule="auto"/>
        <w:rPr>
          <w:rFonts w:eastAsiaTheme="majorEastAsia"/>
        </w:rPr>
      </w:pPr>
      <w:r w:rsidRPr="00FA09EE">
        <w:rPr>
          <w:rFonts w:eastAsiaTheme="majorEastAsia"/>
        </w:rPr>
        <w:t>The classic example comes from the study of graduate admissions at the University of California, Berkeley. The aggregate data appeared to show bias against women. Once admissions were examined department by department, the pattern vanished and even slightly reversed, because women had applied more often to more competitive departments (Bickel et al., 1975). Blyth (1972) formalized this kind of reversal as Simpson’s paradox.</w:t>
      </w:r>
    </w:p>
    <w:p w14:paraId="4A8DAFDD" w14:textId="77777777" w:rsidR="00FA09EE" w:rsidRPr="00FA09EE" w:rsidRDefault="00FA09EE" w:rsidP="00837046">
      <w:pPr>
        <w:spacing w:line="480" w:lineRule="auto"/>
        <w:rPr>
          <w:rFonts w:eastAsiaTheme="majorEastAsia"/>
        </w:rPr>
      </w:pPr>
      <w:r w:rsidRPr="00FA09EE">
        <w:rPr>
          <w:rFonts w:eastAsiaTheme="majorEastAsia"/>
        </w:rPr>
        <w:t xml:space="preserve">The lesson for sentencing data is direct. A racial gap measured across mixed-together cases can point the reader toward the wrong interpretation if the groups differ in their composition. One group may appear to receive longer sentences overall because its records are concentrated in offense </w:t>
      </w:r>
      <w:r w:rsidRPr="00FA09EE">
        <w:rPr>
          <w:rFonts w:eastAsiaTheme="majorEastAsia"/>
        </w:rPr>
        <w:lastRenderedPageBreak/>
        <w:t>categories, severity levels, or criminal-history scores that carry longer presumptive sentences. When the comparison is broken apart into more comparable groups, the pattern may shrink, disappear, remain, or reverse.</w:t>
      </w:r>
    </w:p>
    <w:p w14:paraId="38A0947E" w14:textId="77777777" w:rsidR="00FA09EE" w:rsidRPr="00FA09EE" w:rsidRDefault="00FA09EE" w:rsidP="00837046">
      <w:pPr>
        <w:spacing w:line="480" w:lineRule="auto"/>
        <w:rPr>
          <w:rFonts w:eastAsiaTheme="majorEastAsia"/>
        </w:rPr>
      </w:pPr>
      <w:r w:rsidRPr="00FA09EE">
        <w:rPr>
          <w:rFonts w:eastAsiaTheme="majorEastAsia"/>
        </w:rPr>
        <w:t>Both results can be true at once. The aggregate comparison describes the pooled population. The conditioned comparison describes a narrower population. The analytical question is not which number is “real.” The question is which population each number describes.</w:t>
      </w:r>
    </w:p>
    <w:p w14:paraId="036D6C23" w14:textId="77777777" w:rsidR="00FA09EE" w:rsidRPr="00FA09EE" w:rsidRDefault="00FA09EE" w:rsidP="00837046">
      <w:pPr>
        <w:pStyle w:val="Heading3"/>
        <w:spacing w:line="480" w:lineRule="auto"/>
      </w:pPr>
      <w:r w:rsidRPr="00FA09EE">
        <w:t>Conditioning the Comparison</w:t>
      </w:r>
    </w:p>
    <w:p w14:paraId="17DA1D56" w14:textId="77777777" w:rsidR="00FA09EE" w:rsidRPr="00FA09EE" w:rsidRDefault="00FA09EE" w:rsidP="00837046">
      <w:pPr>
        <w:spacing w:line="480" w:lineRule="auto"/>
        <w:rPr>
          <w:rFonts w:eastAsiaTheme="majorEastAsia"/>
        </w:rPr>
      </w:pPr>
      <w:r w:rsidRPr="00FA09EE">
        <w:rPr>
          <w:rFonts w:eastAsiaTheme="majorEastAsia"/>
        </w:rPr>
        <w:t>The next step is to apply the conditioning logic introduced earlier in the course. A filter looks like a technical operation. In this module, it becomes a methodological question: how much of the racial gap remains when legally relevant composition is held constant?</w:t>
      </w:r>
    </w:p>
    <w:p w14:paraId="25A41C93" w14:textId="77777777" w:rsidR="00FA09EE" w:rsidRPr="00FA09EE" w:rsidRDefault="00FA09EE" w:rsidP="00837046">
      <w:pPr>
        <w:spacing w:line="480" w:lineRule="auto"/>
        <w:rPr>
          <w:rFonts w:eastAsiaTheme="majorEastAsia"/>
        </w:rPr>
      </w:pPr>
      <w:r w:rsidRPr="00FA09EE">
        <w:rPr>
          <w:rFonts w:eastAsiaTheme="majorEastAsia"/>
        </w:rPr>
        <w:t>The conditioning chain should be built deliberately. Students should not throw controls into the analysis all at once and treat the final number as magic. They should add case factors one at a time and watch the gap move. The sequence matters because it shows which part of the case composition is doing the most work.</w:t>
      </w:r>
    </w:p>
    <w:p w14:paraId="23E8ECF3" w14:textId="77777777" w:rsidR="00FA09EE" w:rsidRPr="00FA09EE" w:rsidRDefault="00FA09EE" w:rsidP="00837046">
      <w:pPr>
        <w:spacing w:line="480" w:lineRule="auto"/>
        <w:rPr>
          <w:rFonts w:eastAsiaTheme="majorEastAsia"/>
        </w:rPr>
      </w:pPr>
      <w:r w:rsidRPr="00FA09EE">
        <w:rPr>
          <w:rFonts w:eastAsiaTheme="majorEastAsia"/>
        </w:rPr>
        <w:t xml:space="preserve">The principal controls in this module are offense family, offense severity, and criminal-history score. These are legally relevant because sentencing is structured around what the conviction offense is, how serious it is, and how prior criminal history is scored. At the national level, Alfred Blumstein (1982) used a similar decomposition logic to ask how much of the Black-White imprisonment gap could be accounted for by differences in arrests for serious crimes. He found that a large share of the gap could be accounted for in this way, although the unexplained remainder was largest for less serious and drug offenses (Blumstein, 1993). The purpose of the </w:t>
      </w:r>
      <w:r w:rsidRPr="00FA09EE">
        <w:rPr>
          <w:rFonts w:eastAsiaTheme="majorEastAsia"/>
        </w:rPr>
        <w:lastRenderedPageBreak/>
        <w:t>method is not to make disparity disappear. It is to separate composition from residual difference as carefully as the data allow.</w:t>
      </w:r>
    </w:p>
    <w:p w14:paraId="39D6ECEF" w14:textId="77777777" w:rsidR="00FA09EE" w:rsidRPr="00FA09EE" w:rsidRDefault="00FA09EE" w:rsidP="00837046">
      <w:pPr>
        <w:spacing w:line="480" w:lineRule="auto"/>
        <w:rPr>
          <w:rFonts w:eastAsiaTheme="majorEastAsia"/>
        </w:rPr>
      </w:pPr>
      <w:r w:rsidRPr="00FA09EE">
        <w:rPr>
          <w:rFonts w:eastAsiaTheme="majorEastAsia"/>
        </w:rPr>
        <w:t>Here is a task a student could undertake with the Explorer to understand conditioning. The student should begin with the raw crosstab of median time by race, then build an attenuation table by adding controls one at a time. First, the student should filter to assault records using moc1 == A and crosstab time by race. Next, the student should add severity == 4, the most common assault severity level in the example. Finally, the student should add history == 0, limiting the view to records with no prior criminal-history score. This task was chosen because it allows students to watch the raw gap change as the cases become more alike. What the student should notice is that the assault gap remains roughly three months after filtering to the offense family, moves very little after adding severity, and then closes to essentially nothing after adding criminal history. What the task is meant to teach is that a raw gap may be driven largely by case composition, and that the control doing the most work matters for interpretation.</w:t>
      </w:r>
    </w:p>
    <w:p w14:paraId="054C71AE" w14:textId="77777777" w:rsidR="00FA09EE" w:rsidRPr="00FA09EE" w:rsidRDefault="00FA09EE" w:rsidP="00837046">
      <w:pPr>
        <w:spacing w:line="480" w:lineRule="auto"/>
        <w:rPr>
          <w:rFonts w:eastAsiaTheme="majorEastAsia"/>
        </w:rPr>
      </w:pPr>
      <w:r w:rsidRPr="00FA09EE">
        <w:rPr>
          <w:rFonts w:eastAsiaTheme="majorEastAsia"/>
        </w:rPr>
        <w:t>In the assault example, the conditioned result does not support the claim that similar cases in that filtered view received different median sentence lengths by race. Once offense family, severity, and criminal history are held constant, the observed gap essentially closes. The honest claim is narrower and stronger than a sweeping conclusion: among assault records at severity level 4 with criminal-history score 0, the racial gap in median time is essentially zero.</w:t>
      </w:r>
    </w:p>
    <w:p w14:paraId="60B1E66B" w14:textId="77777777" w:rsidR="00FA09EE" w:rsidRPr="00FA09EE" w:rsidRDefault="00FA09EE" w:rsidP="00837046">
      <w:pPr>
        <w:spacing w:line="480" w:lineRule="auto"/>
        <w:rPr>
          <w:rFonts w:eastAsiaTheme="majorEastAsia"/>
        </w:rPr>
      </w:pPr>
      <w:r w:rsidRPr="00FA09EE">
        <w:rPr>
          <w:rFonts w:eastAsiaTheme="majorEastAsia"/>
        </w:rPr>
        <w:t>That is not a verdict that discrimination is absent. It is a finding about the current filtered view.</w:t>
      </w:r>
    </w:p>
    <w:p w14:paraId="23E17848" w14:textId="77777777" w:rsidR="00FA09EE" w:rsidRPr="00FA09EE" w:rsidRDefault="00FA09EE" w:rsidP="00837046">
      <w:pPr>
        <w:spacing w:line="480" w:lineRule="auto"/>
        <w:rPr>
          <w:rFonts w:eastAsiaTheme="majorEastAsia"/>
        </w:rPr>
      </w:pPr>
      <w:r w:rsidRPr="00FA09EE">
        <w:rPr>
          <w:rFonts w:eastAsiaTheme="majorEastAsia"/>
        </w:rPr>
        <w:t xml:space="preserve">The most important part of the example is that the gap closed chiefly when criminal history was added. That finding suggests that the raw gap was largely composition: the racial groups differed in their mix of criminal-history scores, and that difference mattered for sentence length. But criminal </w:t>
      </w:r>
      <w:r w:rsidRPr="00FA09EE">
        <w:rPr>
          <w:rFonts w:eastAsiaTheme="majorEastAsia"/>
        </w:rPr>
        <w:lastRenderedPageBreak/>
        <w:t>history is not a neutral object floating outside the system. It is a downstream record of earlier arrests, charges, convictions, and sentencing decisions. The control explains the gap statistically. It does not necessarily cleanse the system causally.</w:t>
      </w:r>
    </w:p>
    <w:p w14:paraId="199E30BB" w14:textId="77777777" w:rsidR="00FA09EE" w:rsidRPr="00FA09EE" w:rsidRDefault="00FA09EE" w:rsidP="00837046">
      <w:pPr>
        <w:pStyle w:val="Heading3"/>
        <w:spacing w:line="480" w:lineRule="auto"/>
      </w:pPr>
      <w:r w:rsidRPr="00FA09EE">
        <w:t>The Residual and Its Limits</w:t>
      </w:r>
    </w:p>
    <w:p w14:paraId="64C043A2" w14:textId="77777777" w:rsidR="00FA09EE" w:rsidRPr="00FA09EE" w:rsidRDefault="00FA09EE" w:rsidP="00837046">
      <w:pPr>
        <w:spacing w:line="480" w:lineRule="auto"/>
        <w:rPr>
          <w:rFonts w:eastAsiaTheme="majorEastAsia"/>
        </w:rPr>
      </w:pPr>
      <w:r w:rsidRPr="00FA09EE">
        <w:rPr>
          <w:rFonts w:eastAsiaTheme="majorEastAsia"/>
        </w:rPr>
        <w:t>Suppose a racial gap survives careful conditioning. That remaining difference is often called the residual. A residual gap is important, but it is not self-interpreting. It may be consistent with discrimination, but it may also reflect unobserved case factors, upstream decisions, selection into the dataset, or some mixture of all three.</w:t>
      </w:r>
    </w:p>
    <w:p w14:paraId="3EEF858D" w14:textId="77777777" w:rsidR="00FA09EE" w:rsidRPr="00FA09EE" w:rsidRDefault="00FA09EE" w:rsidP="00837046">
      <w:pPr>
        <w:spacing w:line="480" w:lineRule="auto"/>
        <w:rPr>
          <w:rFonts w:eastAsiaTheme="majorEastAsia"/>
        </w:rPr>
      </w:pPr>
      <w:r w:rsidRPr="00FA09EE">
        <w:rPr>
          <w:rFonts w:eastAsiaTheme="majorEastAsia"/>
        </w:rPr>
        <w:t>The first limitation is unobserved confounding. The Explorer can hold constant only the variables the dataset records. It cannot hold constant the strength of the evidence, the precise conduct beneath the offense code, victim cooperation, attorney quality, local courtroom culture, plea bargaining details, or the facts that made one case more serious than another within the same legal category. If any unmeasured factor is associated with race and sentence length, the residual may absorb that factor and appear as a race gap (Baumer, 2013; Klepper et al., 1983).</w:t>
      </w:r>
    </w:p>
    <w:p w14:paraId="05E35B0D" w14:textId="77777777" w:rsidR="00FA09EE" w:rsidRPr="00FA09EE" w:rsidRDefault="00FA09EE" w:rsidP="00837046">
      <w:pPr>
        <w:spacing w:line="480" w:lineRule="auto"/>
        <w:rPr>
          <w:rFonts w:eastAsiaTheme="majorEastAsia"/>
        </w:rPr>
      </w:pPr>
      <w:r w:rsidRPr="00FA09EE">
        <w:rPr>
          <w:rFonts w:eastAsiaTheme="majorEastAsia"/>
        </w:rPr>
        <w:t>This is the lesson from offense classification in another form. An offense code is a label, not the conduct itself. “Same offense” in the Explorer means same recorded code. It does not mean same act.</w:t>
      </w:r>
    </w:p>
    <w:p w14:paraId="7E28B99E" w14:textId="77777777" w:rsidR="00FA09EE" w:rsidRPr="00FA09EE" w:rsidRDefault="00FA09EE" w:rsidP="00837046">
      <w:pPr>
        <w:spacing w:line="480" w:lineRule="auto"/>
        <w:rPr>
          <w:rFonts w:eastAsiaTheme="majorEastAsia"/>
        </w:rPr>
      </w:pPr>
      <w:r w:rsidRPr="00FA09EE">
        <w:rPr>
          <w:rFonts w:eastAsiaTheme="majorEastAsia"/>
        </w:rPr>
        <w:t xml:space="preserve">The second limitation is controlling for the wrong things. Some variables that look like controls are themselves products of earlier discretion. Charge severity, mode of conviction, and parts of criminal-history score are not simply facts about the defendant. They are records produced by police, prosecutors, judges, plea negotiations, and prior case processing. Methodological scholarship warns that adjusting for a variable affected by the process under study can bias the </w:t>
      </w:r>
      <w:r w:rsidRPr="00FA09EE">
        <w:rPr>
          <w:rFonts w:eastAsiaTheme="majorEastAsia"/>
        </w:rPr>
        <w:lastRenderedPageBreak/>
        <w:t>estimate (Rosenbaum, 1984). Conditioning can also create or distort associations when the variable being conditioned on functions as a collider or selection mechanism (Elwert &amp; Winship, 2014).</w:t>
      </w:r>
    </w:p>
    <w:p w14:paraId="7B65CF91" w14:textId="77777777" w:rsidR="00FA09EE" w:rsidRPr="00FA09EE" w:rsidRDefault="00FA09EE" w:rsidP="00837046">
      <w:pPr>
        <w:spacing w:line="480" w:lineRule="auto"/>
        <w:rPr>
          <w:rFonts w:eastAsiaTheme="majorEastAsia"/>
        </w:rPr>
      </w:pPr>
      <w:r w:rsidRPr="00FA09EE">
        <w:rPr>
          <w:rFonts w:eastAsiaTheme="majorEastAsia"/>
        </w:rPr>
        <w:t>In criminal justice, this problem cuts deeply. Rehavi and Starr (2014) found that much of the Black-White gap in federal sentence length traced back to prosecutors’ initial charging decisions rather than only to the judge’s final sentencing decision. If prosecutors charge similar conduct more severely for one group, then controlling for charge severity may remove the very disparity the analyst is trying to detect. More controls are not always better. A control can clarify. It can also launder upstream inequality out of the estimate.</w:t>
      </w:r>
    </w:p>
    <w:p w14:paraId="0BD8E08B" w14:textId="77777777" w:rsidR="00FA09EE" w:rsidRPr="00FA09EE" w:rsidRDefault="00FA09EE" w:rsidP="00837046">
      <w:pPr>
        <w:spacing w:line="480" w:lineRule="auto"/>
        <w:rPr>
          <w:rFonts w:eastAsiaTheme="majorEastAsia"/>
        </w:rPr>
      </w:pPr>
      <w:r w:rsidRPr="00FA09EE">
        <w:rPr>
          <w:rFonts w:eastAsiaTheme="majorEastAsia"/>
        </w:rPr>
        <w:t>The assault example illustrates the same caution. Criminal history closed the gap, but criminal history is itself an accumulated downstream record. It may reflect prior offending, prior enforcement, prior charging, prior conviction, and prior sentencing. Conditioning on it may remove legitimate legal composition. It may also absorb the residue of earlier discretionary decisions.</w:t>
      </w:r>
    </w:p>
    <w:p w14:paraId="1A2AF982" w14:textId="77777777" w:rsidR="00FA09EE" w:rsidRPr="00FA09EE" w:rsidRDefault="00FA09EE" w:rsidP="00837046">
      <w:pPr>
        <w:spacing w:line="480" w:lineRule="auto"/>
        <w:rPr>
          <w:rFonts w:eastAsiaTheme="majorEastAsia"/>
        </w:rPr>
      </w:pPr>
      <w:r w:rsidRPr="00FA09EE">
        <w:rPr>
          <w:rFonts w:eastAsiaTheme="majorEastAsia"/>
        </w:rPr>
        <w:t>The third limitation is selection into the dataset. The dataset contains only people who reached felony sentencing. That population is not equivalent to everyone who offended, everyone who was arrested, everyone who was charged, or everyone who entered the criminal-justice system. Every earlier stage of the funnel is a filter, and those filters may operate differently by race. When a sample is defined by surviving earlier stages, comparisons inside that sample can be distorted by the selection process that produced it (Bushway et al., 2007; Elwert &amp; Winship, 2014; Knox et al., 2020).</w:t>
      </w:r>
    </w:p>
    <w:p w14:paraId="7DB2AEDD" w14:textId="77777777" w:rsidR="00FA09EE" w:rsidRPr="00FA09EE" w:rsidRDefault="00FA09EE" w:rsidP="00837046">
      <w:pPr>
        <w:spacing w:line="480" w:lineRule="auto"/>
        <w:rPr>
          <w:rFonts w:eastAsiaTheme="majorEastAsia"/>
        </w:rPr>
      </w:pPr>
      <w:r w:rsidRPr="00FA09EE">
        <w:rPr>
          <w:rFonts w:eastAsiaTheme="majorEastAsia"/>
        </w:rPr>
        <w:t xml:space="preserve">This means that a residual gap does not settle the discrimination question. It also means that a vanished gap does not settle it either. A gap may vanish because the relevant controls account for </w:t>
      </w:r>
      <w:r w:rsidRPr="00FA09EE">
        <w:rPr>
          <w:rFonts w:eastAsiaTheme="majorEastAsia"/>
        </w:rPr>
        <w:lastRenderedPageBreak/>
        <w:t>legitimate case composition. It may also vanish because the controls absorbed upstream discrimination, because the dataset failed to measure crucial case facts, or because the population reaching sentencing had already been reshaped before the analysis began.</w:t>
      </w:r>
    </w:p>
    <w:p w14:paraId="4AEB4ECB" w14:textId="77777777" w:rsidR="00FA09EE" w:rsidRPr="00FA09EE" w:rsidRDefault="00FA09EE" w:rsidP="00837046">
      <w:pPr>
        <w:spacing w:line="480" w:lineRule="auto"/>
        <w:rPr>
          <w:rFonts w:eastAsiaTheme="majorEastAsia"/>
        </w:rPr>
      </w:pPr>
      <w:r w:rsidRPr="00FA09EE">
        <w:rPr>
          <w:rFonts w:eastAsiaTheme="majorEastAsia"/>
        </w:rPr>
        <w:t>The Explorer can shrink a gap. It cannot assign a cause.</w:t>
      </w:r>
    </w:p>
    <w:p w14:paraId="403A9AFC" w14:textId="77777777" w:rsidR="00FA09EE" w:rsidRPr="00FA09EE" w:rsidRDefault="00FA09EE" w:rsidP="00837046">
      <w:pPr>
        <w:pStyle w:val="Heading3"/>
        <w:spacing w:line="480" w:lineRule="auto"/>
      </w:pPr>
      <w:r w:rsidRPr="00FA09EE">
        <w:t>What the Conditioned Gap Can Say</w:t>
      </w:r>
    </w:p>
    <w:p w14:paraId="23589C33" w14:textId="77777777" w:rsidR="00FA09EE" w:rsidRPr="00FA09EE" w:rsidRDefault="00FA09EE" w:rsidP="00837046">
      <w:pPr>
        <w:spacing w:line="480" w:lineRule="auto"/>
        <w:rPr>
          <w:rFonts w:eastAsiaTheme="majorEastAsia"/>
        </w:rPr>
      </w:pPr>
      <w:r w:rsidRPr="00FA09EE">
        <w:rPr>
          <w:rFonts w:eastAsiaTheme="majorEastAsia"/>
        </w:rPr>
        <w:t>The conditioned comparison is still valuable. It tells the reader how the descriptive gap changes as the population becomes more comparable. That is a meaningful empirical result. The mistake is treating the result as a verdict.</w:t>
      </w:r>
    </w:p>
    <w:p w14:paraId="196D2486" w14:textId="77777777" w:rsidR="00FA09EE" w:rsidRPr="00FA09EE" w:rsidRDefault="00FA09EE" w:rsidP="00837046">
      <w:pPr>
        <w:spacing w:line="480" w:lineRule="auto"/>
        <w:rPr>
          <w:rFonts w:eastAsiaTheme="majorEastAsia"/>
        </w:rPr>
      </w:pPr>
      <w:r w:rsidRPr="00FA09EE">
        <w:rPr>
          <w:rFonts w:eastAsiaTheme="majorEastAsia"/>
        </w:rPr>
        <w:t>If the gap survives conditioning, the defensible statement is that a residual disparity remains among records that are similar on the observed controls. The result is consistent with unequal treatment, but it is also consistent with unobserved case factors, upstream selection, and omitted variables. If the gap vanishes, the defensible statement is that the observed disparity is accounted for by the measured composition of the cases, while noting which variables absorbed the gap and why those variables may themselves be downstream of earlier discretion.</w:t>
      </w:r>
    </w:p>
    <w:p w14:paraId="0B1EF3E9" w14:textId="77777777" w:rsidR="00FA09EE" w:rsidRPr="00FA09EE" w:rsidRDefault="00FA09EE" w:rsidP="00837046">
      <w:pPr>
        <w:spacing w:line="480" w:lineRule="auto"/>
        <w:rPr>
          <w:rFonts w:eastAsiaTheme="majorEastAsia"/>
        </w:rPr>
      </w:pPr>
      <w:r w:rsidRPr="00FA09EE">
        <w:rPr>
          <w:rFonts w:eastAsiaTheme="majorEastAsia"/>
        </w:rPr>
        <w:t>In the assault example, the most precise statement is this: among assault records filtered to severity level 4 and criminal-history score 0, the racial gap in median presumptive sentence duration essentially closes. In the unfiltered assault view, the raw gap appears to be largely composition, chiefly criminal-history mix. Because criminal history is itself partly downstream of earlier criminal-justice decisions, this finding does not prove that discrimination is absent.</w:t>
      </w:r>
    </w:p>
    <w:p w14:paraId="3D7FF335" w14:textId="77777777" w:rsidR="00FA09EE" w:rsidRPr="00FA09EE" w:rsidRDefault="00FA09EE" w:rsidP="00837046">
      <w:pPr>
        <w:spacing w:line="480" w:lineRule="auto"/>
        <w:rPr>
          <w:rFonts w:eastAsiaTheme="majorEastAsia"/>
        </w:rPr>
      </w:pPr>
      <w:r w:rsidRPr="00FA09EE">
        <w:rPr>
          <w:rFonts w:eastAsiaTheme="majorEastAsia"/>
        </w:rPr>
        <w:t>That sentence is longer than “there is no discrimination.” It is also more honest.</w:t>
      </w:r>
    </w:p>
    <w:p w14:paraId="70A20F9E" w14:textId="77777777" w:rsidR="00FA09EE" w:rsidRPr="00FA09EE" w:rsidRDefault="00FA09EE" w:rsidP="00837046">
      <w:pPr>
        <w:pStyle w:val="Heading3"/>
        <w:spacing w:line="480" w:lineRule="auto"/>
      </w:pPr>
      <w:r w:rsidRPr="00FA09EE">
        <w:lastRenderedPageBreak/>
        <w:t>Theories of Racial Disparity</w:t>
      </w:r>
    </w:p>
    <w:p w14:paraId="143E18A9" w14:textId="77777777" w:rsidR="00FA09EE" w:rsidRPr="00FA09EE" w:rsidRDefault="00FA09EE" w:rsidP="00837046">
      <w:pPr>
        <w:spacing w:line="480" w:lineRule="auto"/>
        <w:rPr>
          <w:rFonts w:eastAsiaTheme="majorEastAsia"/>
        </w:rPr>
      </w:pPr>
      <w:r w:rsidRPr="00FA09EE">
        <w:rPr>
          <w:rFonts w:eastAsiaTheme="majorEastAsia"/>
        </w:rPr>
        <w:t>The empirical caution in this module sits inside a larger criminological debate. Scholars have long disagreed about where racial disparity is generated in the criminal-justice funnel.</w:t>
      </w:r>
    </w:p>
    <w:p w14:paraId="2D44D367" w14:textId="77777777" w:rsidR="00FA09EE" w:rsidRPr="00FA09EE" w:rsidRDefault="00FA09EE" w:rsidP="00837046">
      <w:pPr>
        <w:spacing w:line="480" w:lineRule="auto"/>
        <w:rPr>
          <w:rFonts w:eastAsiaTheme="majorEastAsia"/>
        </w:rPr>
      </w:pPr>
      <w:r w:rsidRPr="00FA09EE">
        <w:rPr>
          <w:rFonts w:eastAsiaTheme="majorEastAsia"/>
        </w:rPr>
        <w:t>One major distinction is between differential involvement and differential selection. The differential-involvement view holds that much of the disparity enters near the mouth of the funnel through differences in offending and arrest for serious crimes. Blumstein’s national decomposition found that a large share of racial disproportionality in imprisonment could be accounted for by racial differences in arrests for serious crimes (Blumstein, 1982). Hindelang (1978) similarly argued that victimization data, which are less dependent on police discretion than arrest records, broadly matched arrest patterns for serious personal crimes.</w:t>
      </w:r>
    </w:p>
    <w:p w14:paraId="446EDF40" w14:textId="77777777" w:rsidR="00FA09EE" w:rsidRPr="00FA09EE" w:rsidRDefault="00FA09EE" w:rsidP="00837046">
      <w:pPr>
        <w:spacing w:line="480" w:lineRule="auto"/>
        <w:rPr>
          <w:rFonts w:eastAsiaTheme="majorEastAsia"/>
        </w:rPr>
      </w:pPr>
      <w:r w:rsidRPr="00FA09EE">
        <w:rPr>
          <w:rFonts w:eastAsiaTheme="majorEastAsia"/>
        </w:rPr>
        <w:t>The differential-selection view locates disparity in the discretionary valves of the system: policing, charging, plea bargaining, conviction, and sentencing. On this view, racial differences may be generated or amplified as cases move through institutional decision points.</w:t>
      </w:r>
    </w:p>
    <w:p w14:paraId="6C776301" w14:textId="77777777" w:rsidR="00FA09EE" w:rsidRPr="00FA09EE" w:rsidRDefault="00FA09EE" w:rsidP="00837046">
      <w:pPr>
        <w:spacing w:line="480" w:lineRule="auto"/>
        <w:rPr>
          <w:rFonts w:eastAsiaTheme="majorEastAsia"/>
        </w:rPr>
      </w:pPr>
      <w:r w:rsidRPr="00FA09EE">
        <w:rPr>
          <w:rFonts w:eastAsiaTheme="majorEastAsia"/>
        </w:rPr>
        <w:t>A careful reading of the literature does not require choosing only one mechanism. Sampson and Lauritsen (1997) concluded that overt, systematic bias was not the only or primary driver of racial disparity, but that disadvantages can accumulate indirectly across stages. Tonry’s account accepts that differential involvement explains some violent-crime disparity, while arguing that the added disproportion, especially for drug offenses, reflects the foreseeable disparate impact of policy choices such as the War on Drugs (Tonry, 1995; Tonry &amp; Melewski, 2008). Sentencing reform has repeatedly sought racially neutral procedures, but neutrality in formal rules does not eliminate all pathways through which disparity can enter case processing (Spohn, 2000).</w:t>
      </w:r>
    </w:p>
    <w:p w14:paraId="3B1E0584" w14:textId="77777777" w:rsidR="00FA09EE" w:rsidRPr="00FA09EE" w:rsidRDefault="00FA09EE" w:rsidP="00837046">
      <w:pPr>
        <w:spacing w:line="480" w:lineRule="auto"/>
        <w:rPr>
          <w:rFonts w:eastAsiaTheme="majorEastAsia"/>
        </w:rPr>
      </w:pPr>
      <w:r w:rsidRPr="00FA09EE">
        <w:rPr>
          <w:rFonts w:eastAsiaTheme="majorEastAsia"/>
        </w:rPr>
        <w:lastRenderedPageBreak/>
        <w:t>Other theories focus on the mechanisms operating at discretionary stages. Focal concerns theory argues that judges and prosecutors make decisions under time pressure and incomplete information. They rely on assessments of blameworthiness, dangerousness, and practical constraints. Race can enter through these perceptual shortcuts rather than through explicit animus. This helps explain why young Black men may face especially severe treatment even under guideline systems (Steffensmeier et al., 1998; Ulmer, 2012).</w:t>
      </w:r>
    </w:p>
    <w:p w14:paraId="09C65F04" w14:textId="77777777" w:rsidR="00FA09EE" w:rsidRPr="00FA09EE" w:rsidRDefault="00FA09EE" w:rsidP="00837046">
      <w:pPr>
        <w:spacing w:line="480" w:lineRule="auto"/>
        <w:rPr>
          <w:rFonts w:eastAsiaTheme="majorEastAsia"/>
        </w:rPr>
      </w:pPr>
      <w:r w:rsidRPr="00FA09EE">
        <w:rPr>
          <w:rFonts w:eastAsiaTheme="majorEastAsia"/>
        </w:rPr>
        <w:t>Cumulative disadvantage theory treats the funnel as a compounding process. Small disparities at individual stages may accumulate as a case moves from police contact to charging, plea negotiation, conviction, and sentencing. A single-stage sentencing analysis may therefore understate the total system-level disparity because it observes only one point in the chain (Kurlychek &amp; Johnson, 2019; Kutateladze et al., 2014).</w:t>
      </w:r>
    </w:p>
    <w:p w14:paraId="1A37C990" w14:textId="77777777" w:rsidR="00FA09EE" w:rsidRPr="00FA09EE" w:rsidRDefault="00FA09EE" w:rsidP="00837046">
      <w:pPr>
        <w:spacing w:line="480" w:lineRule="auto"/>
        <w:rPr>
          <w:rFonts w:eastAsiaTheme="majorEastAsia"/>
        </w:rPr>
      </w:pPr>
      <w:r w:rsidRPr="00FA09EE">
        <w:rPr>
          <w:rFonts w:eastAsiaTheme="majorEastAsia"/>
        </w:rPr>
        <w:t>Racial threat theory emphasizes local political and demographic context. Punishment intensity may vary with racial composition, perceived threat, and local power relations, meaning that pooled statewide or national comparisons may hide important jurisdictional variation (Blalock, 1967; Bridges &amp; Crutchfield, 1988).</w:t>
      </w:r>
    </w:p>
    <w:p w14:paraId="693C5A20" w14:textId="77777777" w:rsidR="00FA09EE" w:rsidRPr="00FA09EE" w:rsidRDefault="00FA09EE" w:rsidP="00837046">
      <w:pPr>
        <w:spacing w:line="480" w:lineRule="auto"/>
        <w:rPr>
          <w:rFonts w:eastAsiaTheme="majorEastAsia"/>
        </w:rPr>
      </w:pPr>
      <w:r w:rsidRPr="00FA09EE">
        <w:rPr>
          <w:rFonts w:eastAsiaTheme="majorEastAsia"/>
        </w:rPr>
        <w:t>These theories matter because they imply different empirical patterns. Differential involvement predicts that much of the gap will be accounted for by offense mix and legally relevant case factors. Differential selection predicts that gaps may appear or grow at discretionary decision points. Focal concerns theory predicts patterned disparities where decision makers rely on proxies for blameworthiness or risk. Cumulative disadvantage predicts compounding across stages. Racial threat theory predicts local variation. A theory is useful because it tells the analyst where to look.</w:t>
      </w:r>
    </w:p>
    <w:p w14:paraId="4B5A5C09" w14:textId="77777777" w:rsidR="00FA09EE" w:rsidRPr="00FA09EE" w:rsidRDefault="00FA09EE" w:rsidP="00837046">
      <w:pPr>
        <w:pStyle w:val="Heading3"/>
        <w:spacing w:line="480" w:lineRule="auto"/>
      </w:pPr>
      <w:r w:rsidRPr="00FA09EE">
        <w:lastRenderedPageBreak/>
        <w:t>What Would Better Support a Discrimination Claim</w:t>
      </w:r>
    </w:p>
    <w:p w14:paraId="64899A03" w14:textId="77777777" w:rsidR="00FA09EE" w:rsidRPr="00FA09EE" w:rsidRDefault="00FA09EE" w:rsidP="00837046">
      <w:pPr>
        <w:spacing w:line="480" w:lineRule="auto"/>
        <w:rPr>
          <w:rFonts w:eastAsiaTheme="majorEastAsia"/>
        </w:rPr>
      </w:pPr>
      <w:r w:rsidRPr="00FA09EE">
        <w:rPr>
          <w:rFonts w:eastAsiaTheme="majorEastAsia"/>
        </w:rPr>
        <w:t>If descriptive sentencing data cannot adjudicate discrimination by itself, the next question is what kind of evidence can. The strongest designs get closer to the counterfactual. They try to manufacture the “all else equal” that ordinary administrative data cannot supply.</w:t>
      </w:r>
    </w:p>
    <w:p w14:paraId="0DE64FA4" w14:textId="77777777" w:rsidR="00FA09EE" w:rsidRPr="00FA09EE" w:rsidRDefault="00FA09EE" w:rsidP="00837046">
      <w:pPr>
        <w:spacing w:line="480" w:lineRule="auto"/>
        <w:rPr>
          <w:rFonts w:eastAsiaTheme="majorEastAsia"/>
        </w:rPr>
      </w:pPr>
      <w:r w:rsidRPr="00FA09EE">
        <w:rPr>
          <w:rFonts w:eastAsiaTheme="majorEastAsia"/>
        </w:rPr>
        <w:t>Audit and correspondence studies do this by sending otherwise-identical profiles that differ only in racial signal. Pager’s audit study found that a criminal record sharply reduced employment callbacks and that the penalty was especially severe for Black applicants. In one of the study’s most striking findings, a White applicant with a criminal record received more favorable treatment than a Black applicant without one (Pager, 2003). Bertrand and Mullainathan (2004) used a similar correspondence design to show that résumés with White-sounding names received more callbacks than otherwise similar résumés with Black-sounding names.</w:t>
      </w:r>
    </w:p>
    <w:p w14:paraId="578A054B" w14:textId="77777777" w:rsidR="00FA09EE" w:rsidRPr="00FA09EE" w:rsidRDefault="00FA09EE" w:rsidP="00837046">
      <w:pPr>
        <w:spacing w:line="480" w:lineRule="auto"/>
        <w:rPr>
          <w:rFonts w:eastAsiaTheme="majorEastAsia"/>
        </w:rPr>
      </w:pPr>
      <w:r w:rsidRPr="00FA09EE">
        <w:rPr>
          <w:rFonts w:eastAsiaTheme="majorEastAsia"/>
        </w:rPr>
        <w:t>Natural experiments use institutional assignment processes that approximate randomization. If cases are assigned to judges or juries in a way that is effectively random, researchers can compare outcomes while holding case characteristics constant on average. Studies using these strategies have found evidence of racial bias in bail decisions, variation in judicial treatment of race, and racially patterned conviction outcomes depending on jury composition (Abrams et al., 2012; Anwar et al., 2012; Arnold et al., 2018).</w:t>
      </w:r>
    </w:p>
    <w:p w14:paraId="64F9E95B" w14:textId="77777777" w:rsidR="00FA09EE" w:rsidRPr="00FA09EE" w:rsidRDefault="00FA09EE" w:rsidP="00837046">
      <w:pPr>
        <w:spacing w:line="480" w:lineRule="auto"/>
        <w:rPr>
          <w:rFonts w:eastAsiaTheme="majorEastAsia"/>
        </w:rPr>
      </w:pPr>
      <w:r w:rsidRPr="00FA09EE">
        <w:rPr>
          <w:rFonts w:eastAsiaTheme="majorEastAsia"/>
        </w:rPr>
        <w:t>These designs are powerful because they identify treatment differences at a specific node of the funnel. That focus is also their limit. A bail study can identify bias in bail decisions. A jury study can identify effects of jury composition. A correspondence study can identify differential treatment in the setting it tests. None of them, alone, reconstructs the entire criminal-justice chain. The funnel remains a system of linked decisions.</w:t>
      </w:r>
    </w:p>
    <w:p w14:paraId="627A4377" w14:textId="77777777" w:rsidR="00FA09EE" w:rsidRPr="00FA09EE" w:rsidRDefault="00FA09EE" w:rsidP="00837046">
      <w:pPr>
        <w:pStyle w:val="Heading3"/>
        <w:spacing w:line="480" w:lineRule="auto"/>
      </w:pPr>
      <w:r w:rsidRPr="00FA09EE">
        <w:lastRenderedPageBreak/>
        <w:t>Writing the Finding</w:t>
      </w:r>
    </w:p>
    <w:p w14:paraId="077B0C4B" w14:textId="77777777" w:rsidR="00FA09EE" w:rsidRPr="00FA09EE" w:rsidRDefault="00FA09EE" w:rsidP="00837046">
      <w:pPr>
        <w:spacing w:line="480" w:lineRule="auto"/>
        <w:rPr>
          <w:rFonts w:eastAsiaTheme="majorEastAsia"/>
        </w:rPr>
      </w:pPr>
      <w:r w:rsidRPr="00FA09EE">
        <w:rPr>
          <w:rFonts w:eastAsiaTheme="majorEastAsia"/>
        </w:rPr>
        <w:t>This module asks students to practice three writing habits.</w:t>
      </w:r>
    </w:p>
    <w:p w14:paraId="1693477B" w14:textId="77777777" w:rsidR="00FA09EE" w:rsidRPr="00FA09EE" w:rsidRDefault="00FA09EE" w:rsidP="00837046">
      <w:pPr>
        <w:spacing w:line="480" w:lineRule="auto"/>
        <w:rPr>
          <w:rFonts w:eastAsiaTheme="majorEastAsia"/>
        </w:rPr>
      </w:pPr>
      <w:r w:rsidRPr="00FA09EE">
        <w:rPr>
          <w:rFonts w:eastAsiaTheme="majorEastAsia"/>
        </w:rPr>
        <w:t>First, use the right word. A measured racial gap is a disparity. A claim that race caused unequal treatment is discrimination. The words should not be used interchangeably.</w:t>
      </w:r>
    </w:p>
    <w:p w14:paraId="2B29EFEF" w14:textId="77777777" w:rsidR="00FA09EE" w:rsidRPr="00FA09EE" w:rsidRDefault="00FA09EE" w:rsidP="00837046">
      <w:pPr>
        <w:spacing w:line="480" w:lineRule="auto"/>
        <w:rPr>
          <w:rFonts w:eastAsiaTheme="majorEastAsia"/>
        </w:rPr>
      </w:pPr>
      <w:r w:rsidRPr="00FA09EE">
        <w:rPr>
          <w:rFonts w:eastAsiaTheme="majorEastAsia"/>
        </w:rPr>
        <w:t>Second, name the population and the controls. A sentence such as “among sentenced felony records, holding offense family, severity, and criminal history constant” is not excess detail. It is the claim’s boundary. It tells the reader what population is being described and which parts of composition were held constant.</w:t>
      </w:r>
    </w:p>
    <w:p w14:paraId="02E66AC9" w14:textId="77777777" w:rsidR="00FA09EE" w:rsidRPr="00FA09EE" w:rsidRDefault="00FA09EE" w:rsidP="00837046">
      <w:pPr>
        <w:spacing w:line="480" w:lineRule="auto"/>
        <w:rPr>
          <w:rFonts w:eastAsiaTheme="majorEastAsia"/>
        </w:rPr>
      </w:pPr>
      <w:r w:rsidRPr="00FA09EE">
        <w:rPr>
          <w:rFonts w:eastAsiaTheme="majorEastAsia"/>
        </w:rPr>
        <w:t>Third, report the conditioned result without turning it into a verdict. If the gap remains, it is a residual descriptive gap consistent with several explanations. If the gap closes, say which controls absorbed it. In the assault example, the gap closed chiefly when criminal history was added. That is a finding. It is not a clean bill of health.</w:t>
      </w:r>
    </w:p>
    <w:p w14:paraId="5C9B5505" w14:textId="77777777" w:rsidR="00FA09EE" w:rsidRPr="00FA09EE" w:rsidRDefault="00FA09EE" w:rsidP="00837046">
      <w:pPr>
        <w:spacing w:line="480" w:lineRule="auto"/>
        <w:rPr>
          <w:rFonts w:eastAsiaTheme="majorEastAsia"/>
        </w:rPr>
      </w:pPr>
      <w:r w:rsidRPr="00FA09EE">
        <w:rPr>
          <w:rFonts w:eastAsiaTheme="majorEastAsia"/>
        </w:rPr>
        <w:t>Here is a task a student could undertake with the Explorer to practice reproducible interpretation. The student should rebuild the fully conditioned assault view by applying moc1 == A, then severity == 4, then history == 0, and then reading time by race. This task was chosen because it requires the student to reproduce the filter history rather than merely remember the conclusion. What the student should notice is that the fully conditioned gap is essentially zero. What the task is meant to teach is that a reproducible finding still requires interpretive discipline: the raw gap was largely composition, chiefly criminal-history mix, but criminal history is itself downstream of earlier discretion that this cross-section of the funnel cannot see.</w:t>
      </w:r>
    </w:p>
    <w:p w14:paraId="4E197CE8" w14:textId="77777777" w:rsidR="00FA09EE" w:rsidRPr="00FA09EE" w:rsidRDefault="00FA09EE" w:rsidP="00837046">
      <w:pPr>
        <w:spacing w:line="480" w:lineRule="auto"/>
        <w:rPr>
          <w:rFonts w:eastAsiaTheme="majorEastAsia"/>
        </w:rPr>
      </w:pPr>
      <w:r w:rsidRPr="00FA09EE">
        <w:rPr>
          <w:rFonts w:eastAsiaTheme="majorEastAsia"/>
        </w:rPr>
        <w:lastRenderedPageBreak/>
        <w:t>The filter history is the methods section. Anyone can replay it. That reproducibility is precisely what makes a careful disparity finding trustworthy, because it shows what the Explorer did and what the analyst refused to overclaim.</w:t>
      </w:r>
    </w:p>
    <w:p w14:paraId="42D9A3D4" w14:textId="77777777" w:rsidR="00FA09EE" w:rsidRPr="00FA09EE" w:rsidRDefault="00FA09EE" w:rsidP="00837046">
      <w:pPr>
        <w:pStyle w:val="Heading3"/>
        <w:spacing w:line="480" w:lineRule="auto"/>
      </w:pPr>
      <w:r w:rsidRPr="00FA09EE">
        <w:t>Summary</w:t>
      </w:r>
    </w:p>
    <w:p w14:paraId="326EC3CC" w14:textId="77777777" w:rsidR="00FA09EE" w:rsidRPr="00FA09EE" w:rsidRDefault="00FA09EE" w:rsidP="00837046">
      <w:pPr>
        <w:spacing w:line="480" w:lineRule="auto"/>
        <w:rPr>
          <w:rFonts w:eastAsiaTheme="majorEastAsia"/>
        </w:rPr>
      </w:pPr>
      <w:r w:rsidRPr="00FA09EE">
        <w:rPr>
          <w:rFonts w:eastAsiaTheme="majorEastAsia"/>
        </w:rPr>
        <w:t>The core lesson of this module is that racial disparity and racial discrimination are not synonyms. A disparity is a measured difference between groups. Discrimination is a causal claim about unequal treatment. The mistake this module prevents is reading a raw racial crosstab as though it automatically reveals discrimination or, in the opposite direction, reading a vanished conditioned gap as though it proves fairness.</w:t>
      </w:r>
    </w:p>
    <w:p w14:paraId="47D8752C" w14:textId="4FA13070" w:rsidR="00FA09EE" w:rsidRPr="00FA09EE" w:rsidRDefault="00FA09EE" w:rsidP="00837046">
      <w:pPr>
        <w:spacing w:line="480" w:lineRule="auto"/>
        <w:rPr>
          <w:rFonts w:eastAsiaTheme="majorEastAsia"/>
        </w:rPr>
      </w:pPr>
      <w:r w:rsidRPr="00FA09EE">
        <w:rPr>
          <w:rFonts w:eastAsiaTheme="majorEastAsia"/>
        </w:rPr>
        <w:t>From this point forward, every racial comparison must carry its population, its variables, its controls, and its ceiling. The dataset can show whether a gap appears among felony sentencing records. It can show whether that gap narrows, remains, reverses, or vanishes after conditioning. It can show which measured variables absorb the gap. It cannot, by itself, reconstruct the upstream funnel or assign causal responsibility for every difference it records.</w:t>
      </w:r>
    </w:p>
    <w:p w14:paraId="56140002" w14:textId="77777777" w:rsidR="00FA09EE" w:rsidRPr="00FA09EE" w:rsidRDefault="00FA09EE" w:rsidP="00837046">
      <w:pPr>
        <w:pStyle w:val="Heading3"/>
        <w:spacing w:line="480" w:lineRule="auto"/>
      </w:pPr>
      <w:r w:rsidRPr="00FA09EE">
        <w:t>References</w:t>
      </w:r>
    </w:p>
    <w:p w14:paraId="58514390" w14:textId="77777777" w:rsidR="00FA09EE" w:rsidRPr="00FA09EE" w:rsidRDefault="00FA09EE" w:rsidP="00837046">
      <w:pPr>
        <w:spacing w:line="480" w:lineRule="auto"/>
        <w:rPr>
          <w:rFonts w:eastAsiaTheme="majorEastAsia"/>
        </w:rPr>
      </w:pPr>
      <w:r w:rsidRPr="00FA09EE">
        <w:rPr>
          <w:rFonts w:eastAsiaTheme="majorEastAsia"/>
        </w:rPr>
        <w:t xml:space="preserve">Abrams, D. S., Bertrand, M., &amp; Mullainathan, S. (2012). Do judges vary in their treatment of race? </w:t>
      </w:r>
      <w:r w:rsidRPr="00FA09EE">
        <w:rPr>
          <w:rFonts w:eastAsiaTheme="majorEastAsia"/>
          <w:i/>
          <w:iCs/>
        </w:rPr>
        <w:t>The Journal of Legal Studies, 41</w:t>
      </w:r>
      <w:r w:rsidRPr="00FA09EE">
        <w:rPr>
          <w:rFonts w:eastAsiaTheme="majorEastAsia"/>
        </w:rPr>
        <w:t xml:space="preserve">(2), 347–383. </w:t>
      </w:r>
      <w:hyperlink r:id="rId77" w:history="1">
        <w:r w:rsidRPr="00FA09EE">
          <w:rPr>
            <w:rStyle w:val="Hyperlink"/>
            <w:b/>
            <w:bCs/>
          </w:rPr>
          <w:t>https://doi.org/10.1086/666006</w:t>
        </w:r>
      </w:hyperlink>
    </w:p>
    <w:p w14:paraId="4099C84C" w14:textId="77777777" w:rsidR="00FA09EE" w:rsidRPr="00FA09EE" w:rsidRDefault="00FA09EE" w:rsidP="00837046">
      <w:pPr>
        <w:spacing w:line="480" w:lineRule="auto"/>
        <w:rPr>
          <w:rFonts w:eastAsiaTheme="majorEastAsia"/>
        </w:rPr>
      </w:pPr>
      <w:r w:rsidRPr="00FA09EE">
        <w:rPr>
          <w:rFonts w:eastAsiaTheme="majorEastAsia"/>
        </w:rPr>
        <w:t xml:space="preserve">Anwar, S., Bayer, P., &amp; Hjalmarsson, R. (2012). The impact of jury race in criminal trials. </w:t>
      </w:r>
      <w:r w:rsidRPr="00FA09EE">
        <w:rPr>
          <w:rFonts w:eastAsiaTheme="majorEastAsia"/>
          <w:i/>
          <w:iCs/>
        </w:rPr>
        <w:t>The Quarterly Journal of Economics, 127</w:t>
      </w:r>
      <w:r w:rsidRPr="00FA09EE">
        <w:rPr>
          <w:rFonts w:eastAsiaTheme="majorEastAsia"/>
        </w:rPr>
        <w:t xml:space="preserve">(2), 1017–1055. </w:t>
      </w:r>
      <w:hyperlink r:id="rId78" w:history="1">
        <w:r w:rsidRPr="00FA09EE">
          <w:rPr>
            <w:rStyle w:val="Hyperlink"/>
            <w:b/>
            <w:bCs/>
          </w:rPr>
          <w:t>https://doi.org/10.1093/qje/qjs014</w:t>
        </w:r>
      </w:hyperlink>
    </w:p>
    <w:p w14:paraId="66A5F568" w14:textId="77777777" w:rsidR="00FA09EE" w:rsidRPr="00FA09EE" w:rsidRDefault="00FA09EE" w:rsidP="00837046">
      <w:pPr>
        <w:spacing w:line="480" w:lineRule="auto"/>
        <w:rPr>
          <w:rFonts w:eastAsiaTheme="majorEastAsia"/>
        </w:rPr>
      </w:pPr>
      <w:r w:rsidRPr="00FA09EE">
        <w:rPr>
          <w:rFonts w:eastAsiaTheme="majorEastAsia"/>
        </w:rPr>
        <w:t xml:space="preserve">Arnold, D., Dobbie, W., &amp; Yang, C. S. (2018). Racial bias in bail decisions. </w:t>
      </w:r>
      <w:r w:rsidRPr="00FA09EE">
        <w:rPr>
          <w:rFonts w:eastAsiaTheme="majorEastAsia"/>
          <w:i/>
          <w:iCs/>
        </w:rPr>
        <w:t>The Quarterly Journal of Economics, 133</w:t>
      </w:r>
      <w:r w:rsidRPr="00FA09EE">
        <w:rPr>
          <w:rFonts w:eastAsiaTheme="majorEastAsia"/>
        </w:rPr>
        <w:t xml:space="preserve">(4), 1885–1932. </w:t>
      </w:r>
      <w:hyperlink r:id="rId79" w:history="1">
        <w:r w:rsidRPr="00FA09EE">
          <w:rPr>
            <w:rStyle w:val="Hyperlink"/>
            <w:b/>
            <w:bCs/>
          </w:rPr>
          <w:t>https://doi.org/10.1093/qje/qjy012</w:t>
        </w:r>
      </w:hyperlink>
    </w:p>
    <w:p w14:paraId="07C482E8" w14:textId="77777777" w:rsidR="00FA09EE" w:rsidRPr="00FA09EE" w:rsidRDefault="00FA09EE" w:rsidP="00837046">
      <w:pPr>
        <w:spacing w:line="480" w:lineRule="auto"/>
        <w:rPr>
          <w:rFonts w:eastAsiaTheme="majorEastAsia"/>
        </w:rPr>
      </w:pPr>
      <w:r w:rsidRPr="00FA09EE">
        <w:rPr>
          <w:rFonts w:eastAsiaTheme="majorEastAsia"/>
        </w:rPr>
        <w:lastRenderedPageBreak/>
        <w:t xml:space="preserve">Baumer, E. P. (2013). Reassessing and redirecting research on race and sentencing. </w:t>
      </w:r>
      <w:r w:rsidRPr="00FA09EE">
        <w:rPr>
          <w:rFonts w:eastAsiaTheme="majorEastAsia"/>
          <w:i/>
          <w:iCs/>
        </w:rPr>
        <w:t>Justice Quarterly, 30</w:t>
      </w:r>
      <w:r w:rsidRPr="00FA09EE">
        <w:rPr>
          <w:rFonts w:eastAsiaTheme="majorEastAsia"/>
        </w:rPr>
        <w:t xml:space="preserve">(2), 231–261. </w:t>
      </w:r>
      <w:hyperlink r:id="rId80" w:history="1">
        <w:r w:rsidRPr="00FA09EE">
          <w:rPr>
            <w:rStyle w:val="Hyperlink"/>
            <w:b/>
            <w:bCs/>
          </w:rPr>
          <w:t>https://doi.org/10.1080/07418825.2012.682602</w:t>
        </w:r>
      </w:hyperlink>
    </w:p>
    <w:p w14:paraId="18DEB5E1" w14:textId="77777777" w:rsidR="00FA09EE" w:rsidRPr="00FA09EE" w:rsidRDefault="00FA09EE" w:rsidP="00837046">
      <w:pPr>
        <w:spacing w:line="480" w:lineRule="auto"/>
        <w:rPr>
          <w:rFonts w:eastAsiaTheme="majorEastAsia"/>
        </w:rPr>
      </w:pPr>
      <w:r w:rsidRPr="00FA09EE">
        <w:rPr>
          <w:rFonts w:eastAsiaTheme="majorEastAsia"/>
        </w:rPr>
        <w:t xml:space="preserve">Bertrand, M., &amp; Mullainathan, S. (2004). Are Emily and Greg more employable than Lakisha and Jamal? A field experiment on labor market discrimination. </w:t>
      </w:r>
      <w:r w:rsidRPr="00FA09EE">
        <w:rPr>
          <w:rFonts w:eastAsiaTheme="majorEastAsia"/>
          <w:i/>
          <w:iCs/>
        </w:rPr>
        <w:t>American Economic Review, 94</w:t>
      </w:r>
      <w:r w:rsidRPr="00FA09EE">
        <w:rPr>
          <w:rFonts w:eastAsiaTheme="majorEastAsia"/>
        </w:rPr>
        <w:t xml:space="preserve">(4), 991–1013. </w:t>
      </w:r>
      <w:hyperlink r:id="rId81" w:history="1">
        <w:r w:rsidRPr="00FA09EE">
          <w:rPr>
            <w:rStyle w:val="Hyperlink"/>
            <w:b/>
            <w:bCs/>
          </w:rPr>
          <w:t>https://doi.org/10.1257/0002828042002561</w:t>
        </w:r>
      </w:hyperlink>
    </w:p>
    <w:p w14:paraId="32F44A09" w14:textId="77777777" w:rsidR="00FA09EE" w:rsidRPr="00FA09EE" w:rsidRDefault="00FA09EE" w:rsidP="00837046">
      <w:pPr>
        <w:spacing w:line="480" w:lineRule="auto"/>
        <w:rPr>
          <w:rFonts w:eastAsiaTheme="majorEastAsia"/>
        </w:rPr>
      </w:pPr>
      <w:r w:rsidRPr="00FA09EE">
        <w:rPr>
          <w:rFonts w:eastAsiaTheme="majorEastAsia"/>
        </w:rPr>
        <w:t xml:space="preserve">Bickel, P. J., Hammel, E. A., &amp; O’Connell, J. W. (1975). Sex bias in graduate admissions: Data from Berkeley. </w:t>
      </w:r>
      <w:r w:rsidRPr="00FA09EE">
        <w:rPr>
          <w:rFonts w:eastAsiaTheme="majorEastAsia"/>
          <w:i/>
          <w:iCs/>
        </w:rPr>
        <w:t>Science, 187</w:t>
      </w:r>
      <w:r w:rsidRPr="00FA09EE">
        <w:rPr>
          <w:rFonts w:eastAsiaTheme="majorEastAsia"/>
        </w:rPr>
        <w:t xml:space="preserve">(4175), 398–404. </w:t>
      </w:r>
      <w:hyperlink r:id="rId82" w:history="1">
        <w:r w:rsidRPr="00FA09EE">
          <w:rPr>
            <w:rStyle w:val="Hyperlink"/>
            <w:b/>
            <w:bCs/>
          </w:rPr>
          <w:t>https://doi.org/10.1126/science.187.4175.398</w:t>
        </w:r>
      </w:hyperlink>
    </w:p>
    <w:p w14:paraId="60C9182E" w14:textId="77777777" w:rsidR="00FA09EE" w:rsidRPr="00FA09EE" w:rsidRDefault="00FA09EE" w:rsidP="00837046">
      <w:pPr>
        <w:spacing w:line="480" w:lineRule="auto"/>
        <w:rPr>
          <w:rFonts w:eastAsiaTheme="majorEastAsia"/>
        </w:rPr>
      </w:pPr>
      <w:r w:rsidRPr="00FA09EE">
        <w:rPr>
          <w:rFonts w:eastAsiaTheme="majorEastAsia"/>
        </w:rPr>
        <w:t xml:space="preserve">Blalock, H. M. (1967). </w:t>
      </w:r>
      <w:r w:rsidRPr="00FA09EE">
        <w:rPr>
          <w:rFonts w:eastAsiaTheme="majorEastAsia"/>
          <w:i/>
          <w:iCs/>
        </w:rPr>
        <w:t>Toward a theory of minority-group relations</w:t>
      </w:r>
      <w:r w:rsidRPr="00FA09EE">
        <w:rPr>
          <w:rFonts w:eastAsiaTheme="majorEastAsia"/>
        </w:rPr>
        <w:t>. Wiley.</w:t>
      </w:r>
    </w:p>
    <w:p w14:paraId="1DB17F8B" w14:textId="77777777" w:rsidR="00FA09EE" w:rsidRPr="00FA09EE" w:rsidRDefault="00FA09EE" w:rsidP="00837046">
      <w:pPr>
        <w:spacing w:line="480" w:lineRule="auto"/>
        <w:rPr>
          <w:rFonts w:eastAsiaTheme="majorEastAsia"/>
        </w:rPr>
      </w:pPr>
      <w:r w:rsidRPr="00FA09EE">
        <w:rPr>
          <w:rFonts w:eastAsiaTheme="majorEastAsia"/>
        </w:rPr>
        <w:t xml:space="preserve">Blumstein, A. (1982). On the racial disproportionality of United States’ prison populations. </w:t>
      </w:r>
      <w:r w:rsidRPr="00FA09EE">
        <w:rPr>
          <w:rFonts w:eastAsiaTheme="majorEastAsia"/>
          <w:i/>
          <w:iCs/>
        </w:rPr>
        <w:t>Journal of Criminal Law and Criminology, 73</w:t>
      </w:r>
      <w:r w:rsidRPr="00FA09EE">
        <w:rPr>
          <w:rFonts w:eastAsiaTheme="majorEastAsia"/>
        </w:rPr>
        <w:t xml:space="preserve">(3), 1259–1281. </w:t>
      </w:r>
      <w:hyperlink r:id="rId83" w:history="1">
        <w:r w:rsidRPr="00FA09EE">
          <w:rPr>
            <w:rStyle w:val="Hyperlink"/>
            <w:b/>
            <w:bCs/>
          </w:rPr>
          <w:t>https://doi.org/10.2307/1143193</w:t>
        </w:r>
      </w:hyperlink>
    </w:p>
    <w:p w14:paraId="3D76C160" w14:textId="77777777" w:rsidR="00FA09EE" w:rsidRPr="00FA09EE" w:rsidRDefault="00FA09EE" w:rsidP="00837046">
      <w:pPr>
        <w:spacing w:line="480" w:lineRule="auto"/>
        <w:rPr>
          <w:rFonts w:eastAsiaTheme="majorEastAsia"/>
        </w:rPr>
      </w:pPr>
      <w:r w:rsidRPr="00FA09EE">
        <w:rPr>
          <w:rFonts w:eastAsiaTheme="majorEastAsia"/>
        </w:rPr>
        <w:t xml:space="preserve">Blumstein, A. (1993). Racial disproportionality of U.S. prison populations revisited. </w:t>
      </w:r>
      <w:r w:rsidRPr="00FA09EE">
        <w:rPr>
          <w:rFonts w:eastAsiaTheme="majorEastAsia"/>
          <w:i/>
          <w:iCs/>
        </w:rPr>
        <w:t>University of Colorado Law Review, 64</w:t>
      </w:r>
      <w:r w:rsidRPr="00FA09EE">
        <w:rPr>
          <w:rFonts w:eastAsiaTheme="majorEastAsia"/>
        </w:rPr>
        <w:t>, 743–760.</w:t>
      </w:r>
    </w:p>
    <w:p w14:paraId="0FE55D77" w14:textId="77777777" w:rsidR="00FA09EE" w:rsidRPr="00FA09EE" w:rsidRDefault="00FA09EE" w:rsidP="00837046">
      <w:pPr>
        <w:spacing w:line="480" w:lineRule="auto"/>
        <w:rPr>
          <w:rFonts w:eastAsiaTheme="majorEastAsia"/>
        </w:rPr>
      </w:pPr>
      <w:r w:rsidRPr="00FA09EE">
        <w:rPr>
          <w:rFonts w:eastAsiaTheme="majorEastAsia"/>
        </w:rPr>
        <w:t xml:space="preserve">Blyth, C. R. (1972). On Simpson’s paradox and the sure-thing principle. </w:t>
      </w:r>
      <w:r w:rsidRPr="00FA09EE">
        <w:rPr>
          <w:rFonts w:eastAsiaTheme="majorEastAsia"/>
          <w:i/>
          <w:iCs/>
        </w:rPr>
        <w:t>Journal of the American Statistical Association, 67</w:t>
      </w:r>
      <w:r w:rsidRPr="00FA09EE">
        <w:rPr>
          <w:rFonts w:eastAsiaTheme="majorEastAsia"/>
        </w:rPr>
        <w:t xml:space="preserve">(338), 364–366. </w:t>
      </w:r>
      <w:hyperlink r:id="rId84" w:history="1">
        <w:r w:rsidRPr="00FA09EE">
          <w:rPr>
            <w:rStyle w:val="Hyperlink"/>
            <w:b/>
            <w:bCs/>
          </w:rPr>
          <w:t>https://doi.org/10.1080/01621459.1972.10482387</w:t>
        </w:r>
      </w:hyperlink>
    </w:p>
    <w:p w14:paraId="6D3F4CAF" w14:textId="77777777" w:rsidR="00FA09EE" w:rsidRPr="00FA09EE" w:rsidRDefault="00FA09EE" w:rsidP="00837046">
      <w:pPr>
        <w:spacing w:line="480" w:lineRule="auto"/>
        <w:rPr>
          <w:rFonts w:eastAsiaTheme="majorEastAsia"/>
        </w:rPr>
      </w:pPr>
      <w:r w:rsidRPr="00FA09EE">
        <w:rPr>
          <w:rFonts w:eastAsiaTheme="majorEastAsia"/>
        </w:rPr>
        <w:t xml:space="preserve">Bridges, G. S., &amp; Crutchfield, R. D. (1988). Law, social standing, and racial disparities in imprisonment. </w:t>
      </w:r>
      <w:r w:rsidRPr="00FA09EE">
        <w:rPr>
          <w:rFonts w:eastAsiaTheme="majorEastAsia"/>
          <w:i/>
          <w:iCs/>
        </w:rPr>
        <w:t>Social Forces, 66</w:t>
      </w:r>
      <w:r w:rsidRPr="00FA09EE">
        <w:rPr>
          <w:rFonts w:eastAsiaTheme="majorEastAsia"/>
        </w:rPr>
        <w:t xml:space="preserve">(3), 699–724. </w:t>
      </w:r>
      <w:hyperlink r:id="rId85" w:history="1">
        <w:r w:rsidRPr="00FA09EE">
          <w:rPr>
            <w:rStyle w:val="Hyperlink"/>
            <w:b/>
            <w:bCs/>
          </w:rPr>
          <w:t>https://doi.org/10.2307/2578760</w:t>
        </w:r>
      </w:hyperlink>
    </w:p>
    <w:p w14:paraId="306DC718" w14:textId="77777777" w:rsidR="00FA09EE" w:rsidRPr="00FA09EE" w:rsidRDefault="00FA09EE" w:rsidP="00837046">
      <w:pPr>
        <w:spacing w:line="480" w:lineRule="auto"/>
        <w:rPr>
          <w:rFonts w:eastAsiaTheme="majorEastAsia"/>
        </w:rPr>
      </w:pPr>
      <w:r w:rsidRPr="00FA09EE">
        <w:rPr>
          <w:rFonts w:eastAsiaTheme="majorEastAsia"/>
        </w:rPr>
        <w:t xml:space="preserve">Bushway, S., Johnson, B. D., &amp; Slocum, L. A. (2007). Is the magic still there? The use of the Heckman two-step correction for selection bias in criminology. </w:t>
      </w:r>
      <w:r w:rsidRPr="00FA09EE">
        <w:rPr>
          <w:rFonts w:eastAsiaTheme="majorEastAsia"/>
          <w:i/>
          <w:iCs/>
        </w:rPr>
        <w:t>Journal of Quantitative Criminology, 23</w:t>
      </w:r>
      <w:r w:rsidRPr="00FA09EE">
        <w:rPr>
          <w:rFonts w:eastAsiaTheme="majorEastAsia"/>
        </w:rPr>
        <w:t xml:space="preserve">(2), 151–178. </w:t>
      </w:r>
      <w:hyperlink r:id="rId86" w:history="1">
        <w:r w:rsidRPr="00FA09EE">
          <w:rPr>
            <w:rStyle w:val="Hyperlink"/>
            <w:b/>
            <w:bCs/>
          </w:rPr>
          <w:t>https://doi.org/10.1007/s10940-007-9024-4</w:t>
        </w:r>
      </w:hyperlink>
    </w:p>
    <w:p w14:paraId="7E7B9E62" w14:textId="77777777" w:rsidR="00FA09EE" w:rsidRPr="00FA09EE" w:rsidRDefault="00FA09EE" w:rsidP="00837046">
      <w:pPr>
        <w:spacing w:line="480" w:lineRule="auto"/>
        <w:rPr>
          <w:rFonts w:eastAsiaTheme="majorEastAsia"/>
        </w:rPr>
      </w:pPr>
      <w:r w:rsidRPr="00FA09EE">
        <w:rPr>
          <w:rFonts w:eastAsiaTheme="majorEastAsia"/>
        </w:rPr>
        <w:lastRenderedPageBreak/>
        <w:t xml:space="preserve">Elwert, F., &amp; Winship, C. (2014). Endogenous selection bias: The problem of conditioning on a collider variable. </w:t>
      </w:r>
      <w:r w:rsidRPr="00FA09EE">
        <w:rPr>
          <w:rFonts w:eastAsiaTheme="majorEastAsia"/>
          <w:i/>
          <w:iCs/>
        </w:rPr>
        <w:t>Annual Review of Sociology, 40</w:t>
      </w:r>
      <w:r w:rsidRPr="00FA09EE">
        <w:rPr>
          <w:rFonts w:eastAsiaTheme="majorEastAsia"/>
        </w:rPr>
        <w:t xml:space="preserve">, 31–53. </w:t>
      </w:r>
      <w:hyperlink r:id="rId87" w:history="1">
        <w:r w:rsidRPr="00FA09EE">
          <w:rPr>
            <w:rStyle w:val="Hyperlink"/>
            <w:b/>
            <w:bCs/>
          </w:rPr>
          <w:t>https://doi.org/10.1146/annurev-soc-071913-043455</w:t>
        </w:r>
      </w:hyperlink>
    </w:p>
    <w:p w14:paraId="67781E6B" w14:textId="77777777" w:rsidR="00FA09EE" w:rsidRPr="00FA09EE" w:rsidRDefault="00FA09EE" w:rsidP="00837046">
      <w:pPr>
        <w:spacing w:line="480" w:lineRule="auto"/>
        <w:rPr>
          <w:rFonts w:eastAsiaTheme="majorEastAsia"/>
        </w:rPr>
      </w:pPr>
      <w:r w:rsidRPr="00FA09EE">
        <w:rPr>
          <w:rFonts w:eastAsiaTheme="majorEastAsia"/>
        </w:rPr>
        <w:t xml:space="preserve">Garland, B. E., Spohn, C., &amp; Wodahl, E. J. (2008). Racial disproportionality in the American prison population: Using the Blumstein method to address the critical race and justice issue of the 21st century. </w:t>
      </w:r>
      <w:r w:rsidRPr="00FA09EE">
        <w:rPr>
          <w:rFonts w:eastAsiaTheme="majorEastAsia"/>
          <w:i/>
          <w:iCs/>
        </w:rPr>
        <w:t>Justice Policy Journal, 5</w:t>
      </w:r>
      <w:r w:rsidRPr="00FA09EE">
        <w:rPr>
          <w:rFonts w:eastAsiaTheme="majorEastAsia"/>
        </w:rPr>
        <w:t>(2).</w:t>
      </w:r>
    </w:p>
    <w:p w14:paraId="0633E2CA" w14:textId="77777777" w:rsidR="00FA09EE" w:rsidRPr="00FA09EE" w:rsidRDefault="00FA09EE" w:rsidP="00837046">
      <w:pPr>
        <w:spacing w:line="480" w:lineRule="auto"/>
        <w:rPr>
          <w:rFonts w:eastAsiaTheme="majorEastAsia"/>
        </w:rPr>
      </w:pPr>
      <w:r w:rsidRPr="00FA09EE">
        <w:rPr>
          <w:rFonts w:eastAsiaTheme="majorEastAsia"/>
        </w:rPr>
        <w:t xml:space="preserve">Hindelang, M. J. (1978). Race and involvement in common law personal crimes. </w:t>
      </w:r>
      <w:r w:rsidRPr="00FA09EE">
        <w:rPr>
          <w:rFonts w:eastAsiaTheme="majorEastAsia"/>
          <w:i/>
          <w:iCs/>
        </w:rPr>
        <w:t>American Sociological Review, 43</w:t>
      </w:r>
      <w:r w:rsidRPr="00FA09EE">
        <w:rPr>
          <w:rFonts w:eastAsiaTheme="majorEastAsia"/>
        </w:rPr>
        <w:t xml:space="preserve">(1), 93–109. </w:t>
      </w:r>
      <w:hyperlink r:id="rId88" w:history="1">
        <w:r w:rsidRPr="00FA09EE">
          <w:rPr>
            <w:rStyle w:val="Hyperlink"/>
            <w:b/>
            <w:bCs/>
          </w:rPr>
          <w:t>https://doi.org/10.2307/2094764</w:t>
        </w:r>
      </w:hyperlink>
    </w:p>
    <w:p w14:paraId="0F9012C9" w14:textId="77777777" w:rsidR="00FA09EE" w:rsidRPr="00FA09EE" w:rsidRDefault="00FA09EE" w:rsidP="00837046">
      <w:pPr>
        <w:spacing w:line="480" w:lineRule="auto"/>
        <w:rPr>
          <w:rFonts w:eastAsiaTheme="majorEastAsia"/>
        </w:rPr>
      </w:pPr>
      <w:r w:rsidRPr="00FA09EE">
        <w:rPr>
          <w:rFonts w:eastAsiaTheme="majorEastAsia"/>
        </w:rPr>
        <w:t xml:space="preserve">Klepper, S., Nagin, D., &amp; Tierney, L. J. (1983). Discrimination in the criminal justice system: A critical appraisal of the literature. In A. Blumstein, J. Cohen, S. E. Martin, &amp; M. H. Tonry (Eds.), </w:t>
      </w:r>
      <w:r w:rsidRPr="00FA09EE">
        <w:rPr>
          <w:rFonts w:eastAsiaTheme="majorEastAsia"/>
          <w:i/>
          <w:iCs/>
        </w:rPr>
        <w:t>Research on sentencing: The search for reform</w:t>
      </w:r>
      <w:r w:rsidRPr="00FA09EE">
        <w:rPr>
          <w:rFonts w:eastAsiaTheme="majorEastAsia"/>
        </w:rPr>
        <w:t xml:space="preserve"> (Vol. 2, pp. 55–128). National Academy Press.</w:t>
      </w:r>
    </w:p>
    <w:p w14:paraId="252D73BA" w14:textId="77777777" w:rsidR="00FA09EE" w:rsidRPr="00FA09EE" w:rsidRDefault="00FA09EE" w:rsidP="00837046">
      <w:pPr>
        <w:spacing w:line="480" w:lineRule="auto"/>
        <w:rPr>
          <w:rFonts w:eastAsiaTheme="majorEastAsia"/>
        </w:rPr>
      </w:pPr>
      <w:r w:rsidRPr="00FA09EE">
        <w:rPr>
          <w:rFonts w:eastAsiaTheme="majorEastAsia"/>
        </w:rPr>
        <w:t xml:space="preserve">Knox, D., Lowe, W., &amp; Mummolo, J. (2020). Administrative records mask racially biased policing. </w:t>
      </w:r>
      <w:r w:rsidRPr="00FA09EE">
        <w:rPr>
          <w:rFonts w:eastAsiaTheme="majorEastAsia"/>
          <w:i/>
          <w:iCs/>
        </w:rPr>
        <w:t>American Political Science Review, 114</w:t>
      </w:r>
      <w:r w:rsidRPr="00FA09EE">
        <w:rPr>
          <w:rFonts w:eastAsiaTheme="majorEastAsia"/>
        </w:rPr>
        <w:t xml:space="preserve">(3), 619–637. </w:t>
      </w:r>
      <w:hyperlink r:id="rId89" w:history="1">
        <w:r w:rsidRPr="00FA09EE">
          <w:rPr>
            <w:rStyle w:val="Hyperlink"/>
            <w:b/>
            <w:bCs/>
          </w:rPr>
          <w:t>https://doi.org/10.1017/S0003055420000039</w:t>
        </w:r>
      </w:hyperlink>
    </w:p>
    <w:p w14:paraId="5BBD5DB7" w14:textId="77777777" w:rsidR="00FA09EE" w:rsidRPr="00FA09EE" w:rsidRDefault="00FA09EE" w:rsidP="00837046">
      <w:pPr>
        <w:spacing w:line="480" w:lineRule="auto"/>
        <w:rPr>
          <w:rFonts w:eastAsiaTheme="majorEastAsia"/>
        </w:rPr>
      </w:pPr>
      <w:r w:rsidRPr="00FA09EE">
        <w:rPr>
          <w:rFonts w:eastAsiaTheme="majorEastAsia"/>
        </w:rPr>
        <w:t xml:space="preserve">Kurlychek, M. C., &amp; Johnson, B. D. (2019). Cumulative disadvantage in the American criminal justice system. </w:t>
      </w:r>
      <w:r w:rsidRPr="00FA09EE">
        <w:rPr>
          <w:rFonts w:eastAsiaTheme="majorEastAsia"/>
          <w:i/>
          <w:iCs/>
        </w:rPr>
        <w:t>Annual Review of Criminology, 2</w:t>
      </w:r>
      <w:r w:rsidRPr="00FA09EE">
        <w:rPr>
          <w:rFonts w:eastAsiaTheme="majorEastAsia"/>
        </w:rPr>
        <w:t xml:space="preserve">, 291–319. </w:t>
      </w:r>
      <w:hyperlink r:id="rId90" w:history="1">
        <w:r w:rsidRPr="00FA09EE">
          <w:rPr>
            <w:rStyle w:val="Hyperlink"/>
            <w:b/>
            <w:bCs/>
          </w:rPr>
          <w:t>https://doi.org/10.1146/annurev-criminol-011518-024815</w:t>
        </w:r>
      </w:hyperlink>
    </w:p>
    <w:p w14:paraId="0AC129B3" w14:textId="77777777" w:rsidR="00FA09EE" w:rsidRDefault="00FA09EE" w:rsidP="00837046">
      <w:pPr>
        <w:spacing w:line="480" w:lineRule="auto"/>
        <w:rPr>
          <w:rFonts w:eastAsiaTheme="majorEastAsia"/>
        </w:rPr>
      </w:pPr>
      <w:r w:rsidRPr="00FA09EE">
        <w:rPr>
          <w:rFonts w:eastAsiaTheme="majorEastAsia"/>
        </w:rPr>
        <w:t xml:space="preserve">Kutateladze, B. L., Andiloro, N. R., Johnson, B. D., &amp; Spohn, C. C. (2014). Cumulative disadvantage: Examining racial and ethnic disparity in prosecution and sentencing. </w:t>
      </w:r>
      <w:r w:rsidRPr="00FA09EE">
        <w:rPr>
          <w:rFonts w:eastAsiaTheme="majorEastAsia"/>
          <w:i/>
          <w:iCs/>
        </w:rPr>
        <w:t>Criminology, 52</w:t>
      </w:r>
      <w:r w:rsidRPr="00FA09EE">
        <w:rPr>
          <w:rFonts w:eastAsiaTheme="majorEastAsia"/>
        </w:rPr>
        <w:t xml:space="preserve">(3), 514–551. </w:t>
      </w:r>
      <w:hyperlink r:id="rId91" w:history="1">
        <w:r w:rsidRPr="00FA09EE">
          <w:rPr>
            <w:rStyle w:val="Hyperlink"/>
            <w:b/>
            <w:bCs/>
          </w:rPr>
          <w:t>https://doi.org/10.1111/1745-9125.12047</w:t>
        </w:r>
      </w:hyperlink>
    </w:p>
    <w:p w14:paraId="6564F5A2" w14:textId="3E4B3624" w:rsidR="00BE4523" w:rsidRPr="00FA09EE" w:rsidRDefault="00BE4523" w:rsidP="00837046">
      <w:pPr>
        <w:spacing w:line="480" w:lineRule="auto"/>
        <w:rPr>
          <w:rFonts w:eastAsiaTheme="majorEastAsia"/>
        </w:rPr>
      </w:pPr>
      <w:r w:rsidRPr="00BE4523">
        <w:rPr>
          <w:rFonts w:eastAsiaTheme="majorEastAsia"/>
        </w:rPr>
        <w:lastRenderedPageBreak/>
        <w:t xml:space="preserve">Mitchell, O., &amp; MacKenzie, D. L. (2004). </w:t>
      </w:r>
      <w:r w:rsidRPr="00BE4523">
        <w:rPr>
          <w:rFonts w:eastAsiaTheme="majorEastAsia"/>
          <w:i/>
          <w:iCs/>
        </w:rPr>
        <w:t>The relationship between race, ethnicity, and sentencing outcomes: A meta-analysis of sentencing research</w:t>
      </w:r>
      <w:r w:rsidRPr="00BE4523">
        <w:rPr>
          <w:rFonts w:eastAsiaTheme="majorEastAsia"/>
        </w:rPr>
        <w:t xml:space="preserve"> (NCJ 208129). National Institute of Justice.</w:t>
      </w:r>
    </w:p>
    <w:p w14:paraId="2F6960F1" w14:textId="77777777" w:rsidR="00FA09EE" w:rsidRPr="00FA09EE" w:rsidRDefault="00FA09EE" w:rsidP="00837046">
      <w:pPr>
        <w:spacing w:line="480" w:lineRule="auto"/>
        <w:rPr>
          <w:rFonts w:eastAsiaTheme="majorEastAsia"/>
        </w:rPr>
      </w:pPr>
      <w:r w:rsidRPr="00FA09EE">
        <w:rPr>
          <w:rFonts w:eastAsiaTheme="majorEastAsia"/>
        </w:rPr>
        <w:t xml:space="preserve">National Research Council. (2004). </w:t>
      </w:r>
      <w:r w:rsidRPr="00FA09EE">
        <w:rPr>
          <w:rFonts w:eastAsiaTheme="majorEastAsia"/>
          <w:i/>
          <w:iCs/>
        </w:rPr>
        <w:t>Measuring racial discrimination</w:t>
      </w:r>
      <w:r w:rsidRPr="00FA09EE">
        <w:rPr>
          <w:rFonts w:eastAsiaTheme="majorEastAsia"/>
        </w:rPr>
        <w:t xml:space="preserve">. National Academies Press. </w:t>
      </w:r>
      <w:hyperlink r:id="rId92" w:history="1">
        <w:r w:rsidRPr="00FA09EE">
          <w:rPr>
            <w:rStyle w:val="Hyperlink"/>
            <w:b/>
            <w:bCs/>
          </w:rPr>
          <w:t>https://doi.org/10.17226/10887</w:t>
        </w:r>
      </w:hyperlink>
    </w:p>
    <w:p w14:paraId="78B8B7C4" w14:textId="77777777" w:rsidR="00FA09EE" w:rsidRPr="00FA09EE" w:rsidRDefault="00FA09EE" w:rsidP="00837046">
      <w:pPr>
        <w:spacing w:line="480" w:lineRule="auto"/>
        <w:rPr>
          <w:rFonts w:eastAsiaTheme="majorEastAsia"/>
        </w:rPr>
      </w:pPr>
      <w:r w:rsidRPr="00FA09EE">
        <w:rPr>
          <w:rFonts w:eastAsiaTheme="majorEastAsia"/>
        </w:rPr>
        <w:t xml:space="preserve">Pager, D. (2003). The mark of a criminal record. </w:t>
      </w:r>
      <w:r w:rsidRPr="00FA09EE">
        <w:rPr>
          <w:rFonts w:eastAsiaTheme="majorEastAsia"/>
          <w:i/>
          <w:iCs/>
        </w:rPr>
        <w:t>American Journal of Sociology, 108</w:t>
      </w:r>
      <w:r w:rsidRPr="00FA09EE">
        <w:rPr>
          <w:rFonts w:eastAsiaTheme="majorEastAsia"/>
        </w:rPr>
        <w:t xml:space="preserve">(5), 937–975. </w:t>
      </w:r>
      <w:hyperlink r:id="rId93" w:history="1">
        <w:r w:rsidRPr="00FA09EE">
          <w:rPr>
            <w:rStyle w:val="Hyperlink"/>
            <w:b/>
            <w:bCs/>
          </w:rPr>
          <w:t>https://doi.org/10.1086/374403</w:t>
        </w:r>
      </w:hyperlink>
    </w:p>
    <w:p w14:paraId="616EDF93" w14:textId="77777777" w:rsidR="00FA09EE" w:rsidRPr="00FA09EE" w:rsidRDefault="00FA09EE" w:rsidP="00837046">
      <w:pPr>
        <w:spacing w:line="480" w:lineRule="auto"/>
        <w:rPr>
          <w:rFonts w:eastAsiaTheme="majorEastAsia"/>
        </w:rPr>
      </w:pPr>
      <w:r w:rsidRPr="00FA09EE">
        <w:rPr>
          <w:rFonts w:eastAsiaTheme="majorEastAsia"/>
        </w:rPr>
        <w:t xml:space="preserve">Rehavi, M. M., &amp; Starr, S. B. (2014). Racial disparity in federal criminal sentences. </w:t>
      </w:r>
      <w:r w:rsidRPr="00FA09EE">
        <w:rPr>
          <w:rFonts w:eastAsiaTheme="majorEastAsia"/>
          <w:i/>
          <w:iCs/>
        </w:rPr>
        <w:t>Journal of Political Economy, 122</w:t>
      </w:r>
      <w:r w:rsidRPr="00FA09EE">
        <w:rPr>
          <w:rFonts w:eastAsiaTheme="majorEastAsia"/>
        </w:rPr>
        <w:t xml:space="preserve">(6), 1320–1354. </w:t>
      </w:r>
      <w:hyperlink r:id="rId94" w:history="1">
        <w:r w:rsidRPr="00FA09EE">
          <w:rPr>
            <w:rStyle w:val="Hyperlink"/>
            <w:b/>
            <w:bCs/>
          </w:rPr>
          <w:t>https://doi.org/10.1086/677255</w:t>
        </w:r>
      </w:hyperlink>
    </w:p>
    <w:p w14:paraId="7583F087" w14:textId="77777777" w:rsidR="00FA09EE" w:rsidRPr="00FA09EE" w:rsidRDefault="00FA09EE" w:rsidP="00837046">
      <w:pPr>
        <w:spacing w:line="480" w:lineRule="auto"/>
        <w:rPr>
          <w:rFonts w:eastAsiaTheme="majorEastAsia"/>
        </w:rPr>
      </w:pPr>
      <w:r w:rsidRPr="00FA09EE">
        <w:rPr>
          <w:rFonts w:eastAsiaTheme="majorEastAsia"/>
        </w:rPr>
        <w:t xml:space="preserve">Rosenbaum, P. R. (1984). The consequences of adjustment for a concomitant variable that has been affected by the treatment. </w:t>
      </w:r>
      <w:r w:rsidRPr="00FA09EE">
        <w:rPr>
          <w:rFonts w:eastAsiaTheme="majorEastAsia"/>
          <w:i/>
          <w:iCs/>
        </w:rPr>
        <w:t>Journal of the Royal Statistical Society: Series A (General), 147</w:t>
      </w:r>
      <w:r w:rsidRPr="00FA09EE">
        <w:rPr>
          <w:rFonts w:eastAsiaTheme="majorEastAsia"/>
        </w:rPr>
        <w:t xml:space="preserve">(5), 656–666. </w:t>
      </w:r>
      <w:hyperlink r:id="rId95" w:history="1">
        <w:r w:rsidRPr="00FA09EE">
          <w:rPr>
            <w:rStyle w:val="Hyperlink"/>
            <w:b/>
            <w:bCs/>
          </w:rPr>
          <w:t>https://doi.org/10.2307/2981697</w:t>
        </w:r>
      </w:hyperlink>
    </w:p>
    <w:p w14:paraId="61AF5AFC" w14:textId="77777777" w:rsidR="00FA09EE" w:rsidRPr="00FA09EE" w:rsidRDefault="00FA09EE" w:rsidP="00837046">
      <w:pPr>
        <w:spacing w:line="480" w:lineRule="auto"/>
        <w:rPr>
          <w:rFonts w:eastAsiaTheme="majorEastAsia"/>
        </w:rPr>
      </w:pPr>
      <w:r w:rsidRPr="00FA09EE">
        <w:rPr>
          <w:rFonts w:eastAsiaTheme="majorEastAsia"/>
        </w:rPr>
        <w:t xml:space="preserve">Sampson, R. J., &amp; Lauritsen, J. L. (1997). Racial and ethnic disparities in crime and criminal justice in the United States. </w:t>
      </w:r>
      <w:r w:rsidRPr="00FA09EE">
        <w:rPr>
          <w:rFonts w:eastAsiaTheme="majorEastAsia"/>
          <w:i/>
          <w:iCs/>
        </w:rPr>
        <w:t>Crime and Justice, 21</w:t>
      </w:r>
      <w:r w:rsidRPr="00FA09EE">
        <w:rPr>
          <w:rFonts w:eastAsiaTheme="majorEastAsia"/>
        </w:rPr>
        <w:t xml:space="preserve">, 311–374. </w:t>
      </w:r>
      <w:hyperlink r:id="rId96" w:history="1">
        <w:r w:rsidRPr="00FA09EE">
          <w:rPr>
            <w:rStyle w:val="Hyperlink"/>
            <w:b/>
            <w:bCs/>
          </w:rPr>
          <w:t>https://doi.org/10.1086/449253</w:t>
        </w:r>
      </w:hyperlink>
    </w:p>
    <w:p w14:paraId="1F425DC6" w14:textId="77777777" w:rsidR="00FA09EE" w:rsidRPr="00FA09EE" w:rsidRDefault="00FA09EE" w:rsidP="00837046">
      <w:pPr>
        <w:spacing w:line="480" w:lineRule="auto"/>
        <w:rPr>
          <w:rFonts w:eastAsiaTheme="majorEastAsia"/>
        </w:rPr>
      </w:pPr>
      <w:r w:rsidRPr="00FA09EE">
        <w:rPr>
          <w:rFonts w:eastAsiaTheme="majorEastAsia"/>
        </w:rPr>
        <w:t xml:space="preserve">Spohn, C. (2000). Thirty years of sentencing reform: The quest for a racially neutral sentencing process. In </w:t>
      </w:r>
      <w:r w:rsidRPr="00FA09EE">
        <w:rPr>
          <w:rFonts w:eastAsiaTheme="majorEastAsia"/>
          <w:i/>
          <w:iCs/>
        </w:rPr>
        <w:t>Criminal justice 2000</w:t>
      </w:r>
      <w:r w:rsidRPr="00FA09EE">
        <w:rPr>
          <w:rFonts w:eastAsiaTheme="majorEastAsia"/>
        </w:rPr>
        <w:t xml:space="preserve"> (Vol. 3, pp. 427–501). National Institute of Justice.</w:t>
      </w:r>
    </w:p>
    <w:p w14:paraId="501441CE" w14:textId="77777777" w:rsidR="00FA09EE" w:rsidRPr="00FA09EE" w:rsidRDefault="00FA09EE" w:rsidP="00837046">
      <w:pPr>
        <w:spacing w:line="480" w:lineRule="auto"/>
        <w:rPr>
          <w:rFonts w:eastAsiaTheme="majorEastAsia"/>
        </w:rPr>
      </w:pPr>
      <w:r w:rsidRPr="00FA09EE">
        <w:rPr>
          <w:rFonts w:eastAsiaTheme="majorEastAsia"/>
        </w:rPr>
        <w:t xml:space="preserve">Steffensmeier, D., Ulmer, J., &amp; Kramer, J. (1998). The interaction of race, gender, and age in criminal sentencing: The punishment cost of being young, Black, and male. </w:t>
      </w:r>
      <w:r w:rsidRPr="00FA09EE">
        <w:rPr>
          <w:rFonts w:eastAsiaTheme="majorEastAsia"/>
          <w:i/>
          <w:iCs/>
        </w:rPr>
        <w:t>Criminology, 36</w:t>
      </w:r>
      <w:r w:rsidRPr="00FA09EE">
        <w:rPr>
          <w:rFonts w:eastAsiaTheme="majorEastAsia"/>
        </w:rPr>
        <w:t xml:space="preserve">(4), 763–798. </w:t>
      </w:r>
      <w:hyperlink r:id="rId97" w:history="1">
        <w:r w:rsidRPr="00FA09EE">
          <w:rPr>
            <w:rStyle w:val="Hyperlink"/>
            <w:b/>
            <w:bCs/>
          </w:rPr>
          <w:t>https://doi.org/10.1111/j.1745-9125.1998.tb01265.x</w:t>
        </w:r>
      </w:hyperlink>
    </w:p>
    <w:p w14:paraId="342D639D" w14:textId="77777777" w:rsidR="00FA09EE" w:rsidRPr="00FA09EE" w:rsidRDefault="00FA09EE" w:rsidP="00837046">
      <w:pPr>
        <w:spacing w:line="480" w:lineRule="auto"/>
        <w:rPr>
          <w:rFonts w:eastAsiaTheme="majorEastAsia"/>
        </w:rPr>
      </w:pPr>
      <w:r w:rsidRPr="00FA09EE">
        <w:rPr>
          <w:rFonts w:eastAsiaTheme="majorEastAsia"/>
        </w:rPr>
        <w:t xml:space="preserve">Tonry, M. (1995). </w:t>
      </w:r>
      <w:r w:rsidRPr="00FA09EE">
        <w:rPr>
          <w:rFonts w:eastAsiaTheme="majorEastAsia"/>
          <w:i/>
          <w:iCs/>
        </w:rPr>
        <w:t>Malign neglect: Race, crime, and punishment in America</w:t>
      </w:r>
      <w:r w:rsidRPr="00FA09EE">
        <w:rPr>
          <w:rFonts w:eastAsiaTheme="majorEastAsia"/>
        </w:rPr>
        <w:t>. Oxford University Press.</w:t>
      </w:r>
    </w:p>
    <w:p w14:paraId="4C534777" w14:textId="77777777" w:rsidR="00FA09EE" w:rsidRPr="00FA09EE" w:rsidRDefault="00FA09EE" w:rsidP="00837046">
      <w:pPr>
        <w:spacing w:line="480" w:lineRule="auto"/>
        <w:rPr>
          <w:rFonts w:eastAsiaTheme="majorEastAsia"/>
        </w:rPr>
      </w:pPr>
      <w:r w:rsidRPr="00FA09EE">
        <w:rPr>
          <w:rFonts w:eastAsiaTheme="majorEastAsia"/>
        </w:rPr>
        <w:t xml:space="preserve">Tonry, M., &amp; Melewski, M. (2008). The malign effects of drug and crime control policies on Black Americans. </w:t>
      </w:r>
      <w:r w:rsidRPr="00FA09EE">
        <w:rPr>
          <w:rFonts w:eastAsiaTheme="majorEastAsia"/>
          <w:i/>
          <w:iCs/>
        </w:rPr>
        <w:t>Crime and Justice, 37</w:t>
      </w:r>
      <w:r w:rsidRPr="00FA09EE">
        <w:rPr>
          <w:rFonts w:eastAsiaTheme="majorEastAsia"/>
        </w:rPr>
        <w:t xml:space="preserve">(1), 1–44. </w:t>
      </w:r>
      <w:hyperlink r:id="rId98" w:history="1">
        <w:r w:rsidRPr="00FA09EE">
          <w:rPr>
            <w:rStyle w:val="Hyperlink"/>
            <w:b/>
            <w:bCs/>
          </w:rPr>
          <w:t>https://doi.org/10.1086/588492</w:t>
        </w:r>
      </w:hyperlink>
    </w:p>
    <w:p w14:paraId="044CC65C" w14:textId="752EBD1D" w:rsidR="001C53F8" w:rsidRPr="00837046" w:rsidRDefault="00FA09EE" w:rsidP="00837046">
      <w:pPr>
        <w:spacing w:line="480" w:lineRule="auto"/>
        <w:rPr>
          <w:rFonts w:eastAsiaTheme="majorEastAsia"/>
        </w:rPr>
      </w:pPr>
      <w:r w:rsidRPr="00FA09EE">
        <w:rPr>
          <w:rFonts w:eastAsiaTheme="majorEastAsia"/>
        </w:rPr>
        <w:lastRenderedPageBreak/>
        <w:t xml:space="preserve">Ulmer, J. T. (2012). Recent developments and new directions in sentencing research. </w:t>
      </w:r>
      <w:r w:rsidRPr="00FA09EE">
        <w:rPr>
          <w:rFonts w:eastAsiaTheme="majorEastAsia"/>
          <w:i/>
          <w:iCs/>
        </w:rPr>
        <w:t>Justice Quarterly, 29</w:t>
      </w:r>
      <w:r w:rsidRPr="00FA09EE">
        <w:rPr>
          <w:rFonts w:eastAsiaTheme="majorEastAsia"/>
        </w:rPr>
        <w:t xml:space="preserve">(1), 1–40. </w:t>
      </w:r>
      <w:hyperlink r:id="rId99" w:history="1">
        <w:r w:rsidRPr="00FA09EE">
          <w:rPr>
            <w:rStyle w:val="Hyperlink"/>
            <w:b/>
            <w:bCs/>
          </w:rPr>
          <w:t>https://doi.org/10.1080/07418825.2011.624115</w:t>
        </w:r>
      </w:hyperlink>
    </w:p>
    <w:p w14:paraId="10626E33" w14:textId="33E1CCD2" w:rsidR="001C53F8" w:rsidRPr="00726BD3" w:rsidRDefault="001C53F8" w:rsidP="00837046">
      <w:pPr>
        <w:pStyle w:val="Heading2"/>
        <w:spacing w:line="480" w:lineRule="auto"/>
      </w:pPr>
      <w:r w:rsidRPr="00726BD3">
        <w:t xml:space="preserve">Module 13: What the Data Can't Tell You — and Who Can </w:t>
      </w:r>
    </w:p>
    <w:p w14:paraId="2B2A458A" w14:textId="77777777" w:rsidR="001C53F8" w:rsidRPr="001C53F8" w:rsidRDefault="001C53F8" w:rsidP="00837046">
      <w:pPr>
        <w:spacing w:line="480" w:lineRule="auto"/>
        <w:rPr>
          <w:rFonts w:eastAsiaTheme="majorEastAsia"/>
        </w:rPr>
      </w:pPr>
      <w:r w:rsidRPr="001C53F8">
        <w:rPr>
          <w:rFonts w:eastAsiaTheme="majorEastAsia"/>
        </w:rPr>
        <w:t>The honest ceiling. How researchers go beyond description (conceptual-only tour: regression,</w:t>
      </w:r>
    </w:p>
    <w:p w14:paraId="0FBA7CA7" w14:textId="77777777" w:rsidR="001C53F8" w:rsidRPr="001C53F8" w:rsidRDefault="001C53F8" w:rsidP="00837046">
      <w:pPr>
        <w:spacing w:line="480" w:lineRule="auto"/>
        <w:rPr>
          <w:rFonts w:eastAsiaTheme="majorEastAsia"/>
        </w:rPr>
      </w:pPr>
      <w:r w:rsidRPr="001C53F8">
        <w:rPr>
          <w:rFonts w:eastAsiaTheme="majorEastAsia"/>
        </w:rPr>
        <w:t>matching, the idea of "controlling for" done formally); how to read a sentencing-disparity</w:t>
      </w:r>
    </w:p>
    <w:p w14:paraId="004CCB05" w14:textId="0BAB9478" w:rsidR="001C53F8" w:rsidRPr="001C53F8" w:rsidRDefault="001C53F8" w:rsidP="00837046">
      <w:pPr>
        <w:spacing w:line="480" w:lineRule="auto"/>
        <w:rPr>
          <w:rFonts w:eastAsiaTheme="majorEastAsia"/>
        </w:rPr>
      </w:pPr>
      <w:r w:rsidRPr="001C53F8">
        <w:rPr>
          <w:rFonts w:eastAsiaTheme="majorEastAsia"/>
        </w:rPr>
        <w:t>claim in the news and locate its evidence type; revisiting the funnel</w:t>
      </w:r>
      <w:r w:rsidR="0051468A">
        <w:rPr>
          <w:rFonts w:eastAsiaTheme="majorEastAsia"/>
        </w:rPr>
        <w:t>. E</w:t>
      </w:r>
      <w:r w:rsidRPr="001C53F8">
        <w:rPr>
          <w:rFonts w:eastAsiaTheme="majorEastAsia"/>
        </w:rPr>
        <w:t>very analysis in</w:t>
      </w:r>
    </w:p>
    <w:p w14:paraId="1D1522B6" w14:textId="77777777" w:rsidR="001C53F8" w:rsidRPr="001C53F8" w:rsidRDefault="001C53F8" w:rsidP="00837046">
      <w:pPr>
        <w:spacing w:line="480" w:lineRule="auto"/>
        <w:rPr>
          <w:rFonts w:eastAsiaTheme="majorEastAsia"/>
        </w:rPr>
      </w:pPr>
      <w:r w:rsidRPr="001C53F8">
        <w:rPr>
          <w:rFonts w:eastAsiaTheme="majorEastAsia"/>
        </w:rPr>
        <w:t>this course is conditional on who reached sentencing. Closes the interpretive arc opened in</w:t>
      </w:r>
    </w:p>
    <w:p w14:paraId="35596DE4" w14:textId="1D19F5E7" w:rsidR="001C53F8" w:rsidRPr="00837046" w:rsidRDefault="001C53F8" w:rsidP="00837046">
      <w:pPr>
        <w:spacing w:line="480" w:lineRule="auto"/>
        <w:rPr>
          <w:rFonts w:eastAsiaTheme="majorEastAsia"/>
        </w:rPr>
      </w:pPr>
      <w:r w:rsidRPr="001C53F8">
        <w:rPr>
          <w:rFonts w:eastAsiaTheme="majorEastAsia"/>
        </w:rPr>
        <w:t>Module 1.</w:t>
      </w:r>
    </w:p>
    <w:p w14:paraId="187E484B" w14:textId="68FED625" w:rsidR="001C53F8" w:rsidRPr="001C53F8" w:rsidRDefault="001C53F8" w:rsidP="00837046">
      <w:pPr>
        <w:pStyle w:val="Heading1"/>
        <w:spacing w:line="480" w:lineRule="auto"/>
      </w:pPr>
      <w:r w:rsidRPr="001C53F8">
        <w:t>Unit V — Capstone (Weeks 14–15)</w:t>
      </w:r>
    </w:p>
    <w:p w14:paraId="3FA82097" w14:textId="6AEB5970" w:rsidR="001C53F8" w:rsidRPr="00726BD3" w:rsidRDefault="001C53F8" w:rsidP="00837046">
      <w:pPr>
        <w:pStyle w:val="Heading2"/>
        <w:spacing w:line="480" w:lineRule="auto"/>
      </w:pPr>
      <w:r w:rsidRPr="00726BD3">
        <w:t xml:space="preserve">Module 14: Designing a Descriptive Investigation </w:t>
      </w:r>
    </w:p>
    <w:p w14:paraId="2FF7154D" w14:textId="77777777" w:rsidR="001C53F8" w:rsidRPr="001C53F8" w:rsidRDefault="001C53F8" w:rsidP="00837046">
      <w:pPr>
        <w:spacing w:line="480" w:lineRule="auto"/>
        <w:rPr>
          <w:rFonts w:eastAsiaTheme="majorEastAsia"/>
        </w:rPr>
      </w:pPr>
      <w:r w:rsidRPr="001C53F8">
        <w:rPr>
          <w:rFonts w:eastAsiaTheme="majorEastAsia"/>
        </w:rPr>
        <w:t>Students pose their own answerable question, pre-specify a filter plan, run it, and check N</w:t>
      </w:r>
    </w:p>
    <w:p w14:paraId="36F39288" w14:textId="136A28E7" w:rsidR="001C53F8" w:rsidRPr="00837046" w:rsidRDefault="001C53F8" w:rsidP="00837046">
      <w:pPr>
        <w:spacing w:line="480" w:lineRule="auto"/>
        <w:rPr>
          <w:rFonts w:eastAsiaTheme="majorEastAsia"/>
          <w:b/>
          <w:bCs/>
        </w:rPr>
      </w:pPr>
      <w:r w:rsidRPr="001C53F8">
        <w:rPr>
          <w:rFonts w:eastAsiaTheme="majorEastAsia"/>
        </w:rPr>
        <w:t xml:space="preserve">at every node. </w:t>
      </w:r>
      <w:r w:rsidR="0051468A">
        <w:rPr>
          <w:rFonts w:eastAsiaTheme="majorEastAsia"/>
        </w:rPr>
        <w:t>Implemented, but more testing before writing.</w:t>
      </w:r>
    </w:p>
    <w:p w14:paraId="39493882" w14:textId="61D2FD85" w:rsidR="001C53F8" w:rsidRPr="00726BD3" w:rsidRDefault="001C53F8" w:rsidP="00837046">
      <w:pPr>
        <w:pStyle w:val="Heading2"/>
        <w:spacing w:line="480" w:lineRule="auto"/>
      </w:pPr>
      <w:r w:rsidRPr="00726BD3">
        <w:t xml:space="preserve">Module 15: Communicating Findings </w:t>
      </w:r>
    </w:p>
    <w:p w14:paraId="4909A98B" w14:textId="77777777" w:rsidR="001C53F8" w:rsidRPr="001C53F8" w:rsidRDefault="001C53F8" w:rsidP="00837046">
      <w:pPr>
        <w:spacing w:line="480" w:lineRule="auto"/>
        <w:rPr>
          <w:rFonts w:eastAsiaTheme="majorEastAsia"/>
        </w:rPr>
      </w:pPr>
      <w:r w:rsidRPr="001C53F8">
        <w:rPr>
          <w:rFonts w:eastAsiaTheme="majorEastAsia"/>
        </w:rPr>
        <w:t>Writing with statistics: choosing mean vs. median and defending the choice; uncertainty</w:t>
      </w:r>
    </w:p>
    <w:p w14:paraId="12BA1CEE" w14:textId="77777777" w:rsidR="001C53F8" w:rsidRPr="001C53F8" w:rsidRDefault="001C53F8" w:rsidP="00837046">
      <w:pPr>
        <w:spacing w:line="480" w:lineRule="auto"/>
        <w:rPr>
          <w:rFonts w:eastAsiaTheme="majorEastAsia"/>
        </w:rPr>
      </w:pPr>
      <w:r w:rsidRPr="001C53F8">
        <w:rPr>
          <w:rFonts w:eastAsiaTheme="majorEastAsia"/>
        </w:rPr>
        <w:t>language; precise descriptive claims (no causal leakage); a short written report whose</w:t>
      </w:r>
    </w:p>
    <w:p w14:paraId="6D6E7CB2" w14:textId="6AAFE920" w:rsidR="001C53F8" w:rsidRPr="00837046" w:rsidRDefault="001C53F8" w:rsidP="00837046">
      <w:pPr>
        <w:spacing w:line="480" w:lineRule="auto"/>
        <w:rPr>
          <w:rFonts w:eastAsiaTheme="majorEastAsia"/>
        </w:rPr>
      </w:pPr>
      <w:r w:rsidRPr="001C53F8">
        <w:rPr>
          <w:rFonts w:eastAsiaTheme="majorEastAsia"/>
        </w:rPr>
        <w:t xml:space="preserve">appendix is the filter-token chain. </w:t>
      </w:r>
      <w:r w:rsidR="0051468A">
        <w:rPr>
          <w:rFonts w:eastAsiaTheme="majorEastAsia"/>
        </w:rPr>
        <w:t>Rubri</w:t>
      </w:r>
      <w:r w:rsidRPr="001C53F8">
        <w:rPr>
          <w:rFonts w:eastAsiaTheme="majorEastAsia"/>
        </w:rPr>
        <w:t>c</w:t>
      </w:r>
      <w:r w:rsidR="0051468A">
        <w:rPr>
          <w:rFonts w:eastAsiaTheme="majorEastAsia"/>
        </w:rPr>
        <w:t xml:space="preserve"> is</w:t>
      </w:r>
      <w:r w:rsidRPr="001C53F8">
        <w:rPr>
          <w:rFonts w:eastAsiaTheme="majorEastAsia"/>
        </w:rPr>
        <w:t xml:space="preserve"> drawn from Modules 1, 9,</w:t>
      </w:r>
      <w:r w:rsidR="0051468A">
        <w:rPr>
          <w:rFonts w:eastAsiaTheme="majorEastAsia"/>
        </w:rPr>
        <w:t xml:space="preserve"> </w:t>
      </w:r>
      <w:r w:rsidRPr="001C53F8">
        <w:rPr>
          <w:rFonts w:eastAsiaTheme="majorEastAsia"/>
        </w:rPr>
        <w:t>10, and 12.</w:t>
      </w:r>
    </w:p>
    <w:p w14:paraId="4BB3F292" w14:textId="516DA999" w:rsidR="00726BD3" w:rsidRDefault="00726BD3" w:rsidP="00837046">
      <w:pPr>
        <w:pStyle w:val="Heading2"/>
        <w:spacing w:line="480" w:lineRule="auto"/>
      </w:pPr>
      <w:r>
        <w:lastRenderedPageBreak/>
        <w:t>The Educator Portal</w:t>
      </w:r>
    </w:p>
    <w:p w14:paraId="5DA488A6" w14:textId="798F6E34" w:rsidR="00EA4721" w:rsidRPr="00EA4721" w:rsidRDefault="00EA4721" w:rsidP="00837046">
      <w:pPr>
        <w:spacing w:line="480" w:lineRule="auto"/>
      </w:pPr>
      <w:r>
        <w:t>Mostly finished, just need to make a list of features to turn into a section.</w:t>
      </w:r>
    </w:p>
    <w:p w14:paraId="1A57A06A" w14:textId="1E3025C4" w:rsidR="007A6CC6" w:rsidRPr="007A6CC6" w:rsidRDefault="007A6CC6" w:rsidP="00837046">
      <w:pPr>
        <w:pStyle w:val="Heading2"/>
        <w:spacing w:line="480" w:lineRule="auto"/>
      </w:pPr>
      <w:r>
        <w:t>Conclusion</w:t>
      </w:r>
    </w:p>
    <w:sectPr w:rsidR="007A6CC6" w:rsidRPr="007A6CC6">
      <w:headerReference w:type="default" r:id="rId100"/>
      <w:footerReference w:type="default" r:id="rId1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EC90C" w14:textId="77777777" w:rsidR="00E02BF1" w:rsidRDefault="00E02BF1" w:rsidP="00624C4E">
      <w:pPr>
        <w:spacing w:after="0" w:line="240" w:lineRule="auto"/>
      </w:pPr>
      <w:r>
        <w:separator/>
      </w:r>
    </w:p>
  </w:endnote>
  <w:endnote w:type="continuationSeparator" w:id="0">
    <w:p w14:paraId="2A552952" w14:textId="77777777" w:rsidR="00E02BF1" w:rsidRDefault="00E02BF1" w:rsidP="00624C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BD7C6" w14:textId="77777777" w:rsidR="00624C4E" w:rsidRDefault="00624C4E">
    <w:pPr>
      <w:pStyle w:val="Footer"/>
      <w:jc w:val="right"/>
    </w:pPr>
    <w:r>
      <w:rPr>
        <w:color w:val="156082" w:themeColor="accent1"/>
        <w:sz w:val="20"/>
        <w:szCs w:val="20"/>
      </w:rPr>
      <w:t xml:space="preserve">pg. </w:t>
    </w:r>
    <w:r>
      <w:rPr>
        <w:color w:val="156082" w:themeColor="accent1"/>
        <w:sz w:val="20"/>
        <w:szCs w:val="20"/>
      </w:rPr>
      <w:fldChar w:fldCharType="begin"/>
    </w:r>
    <w:r>
      <w:rPr>
        <w:color w:val="156082" w:themeColor="accent1"/>
        <w:sz w:val="20"/>
        <w:szCs w:val="20"/>
      </w:rPr>
      <w:instrText xml:space="preserve"> PAGE  \* Arabic </w:instrText>
    </w:r>
    <w:r>
      <w:rPr>
        <w:color w:val="156082" w:themeColor="accent1"/>
        <w:sz w:val="20"/>
        <w:szCs w:val="20"/>
      </w:rPr>
      <w:fldChar w:fldCharType="separate"/>
    </w:r>
    <w:r>
      <w:rPr>
        <w:noProof/>
        <w:color w:val="156082" w:themeColor="accent1"/>
        <w:sz w:val="20"/>
        <w:szCs w:val="20"/>
      </w:rPr>
      <w:t>1</w:t>
    </w:r>
    <w:r>
      <w:rPr>
        <w:color w:val="156082" w:themeColor="accent1"/>
        <w:sz w:val="20"/>
        <w:szCs w:val="20"/>
      </w:rPr>
      <w:fldChar w:fldCharType="end"/>
    </w:r>
  </w:p>
  <w:p w14:paraId="481F6643" w14:textId="77777777" w:rsidR="00624C4E" w:rsidRDefault="00624C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42A78" w14:textId="77777777" w:rsidR="00E02BF1" w:rsidRDefault="00E02BF1" w:rsidP="00624C4E">
      <w:pPr>
        <w:spacing w:after="0" w:line="240" w:lineRule="auto"/>
      </w:pPr>
      <w:r>
        <w:separator/>
      </w:r>
    </w:p>
  </w:footnote>
  <w:footnote w:type="continuationSeparator" w:id="0">
    <w:p w14:paraId="61D5F641" w14:textId="77777777" w:rsidR="00E02BF1" w:rsidRDefault="00E02BF1" w:rsidP="00624C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aps/>
        <w:color w:val="0E2841" w:themeColor="text2"/>
        <w:sz w:val="20"/>
        <w:szCs w:val="20"/>
      </w:rPr>
      <w:alias w:val="Author"/>
      <w:tag w:val=""/>
      <w:id w:val="-1701008461"/>
      <w:placeholder>
        <w:docPart w:val="7AFD499EC39E4443809FA418D4CDC836"/>
      </w:placeholder>
      <w:dataBinding w:prefixMappings="xmlns:ns0='http://purl.org/dc/elements/1.1/' xmlns:ns1='http://schemas.openxmlformats.org/package/2006/metadata/core-properties' " w:xpath="/ns1:coreProperties[1]/ns0:creator[1]" w:storeItemID="{6C3C8BC8-F283-45AE-878A-BAB7291924A1}"/>
      <w:text/>
    </w:sdtPr>
    <w:sdtContent>
      <w:p w14:paraId="50380C05" w14:textId="06252D7C" w:rsidR="00624C4E" w:rsidRDefault="00624C4E">
        <w:pPr>
          <w:pStyle w:val="Header"/>
          <w:jc w:val="right"/>
          <w:rPr>
            <w:caps/>
            <w:color w:val="0E2841" w:themeColor="text2"/>
            <w:sz w:val="20"/>
            <w:szCs w:val="20"/>
          </w:rPr>
        </w:pPr>
        <w:r>
          <w:rPr>
            <w:caps/>
            <w:color w:val="0E2841" w:themeColor="text2"/>
            <w:sz w:val="20"/>
            <w:szCs w:val="20"/>
          </w:rPr>
          <w:t>Sidney Allen</w:t>
        </w:r>
      </w:p>
    </w:sdtContent>
  </w:sdt>
  <w:sdt>
    <w:sdtPr>
      <w:rPr>
        <w:caps/>
        <w:color w:val="0E2841" w:themeColor="text2"/>
        <w:sz w:val="20"/>
        <w:szCs w:val="20"/>
      </w:rPr>
      <w:alias w:val="Date"/>
      <w:tag w:val="Date"/>
      <w:id w:val="-304078227"/>
      <w:placeholder>
        <w:docPart w:val="C16D2E3748FF4591A887D1D20E2CFE93"/>
      </w:placeholder>
      <w:showingPlcHdr/>
      <w:dataBinding w:prefixMappings="xmlns:ns0='http://schemas.microsoft.com/office/2006/coverPageProps' " w:xpath="/ns0:CoverPageProperties[1]/ns0:PublishDate[1]" w:storeItemID="{55AF091B-3C7A-41E3-B477-F2FDAA23CFDA}"/>
      <w:date w:fullDate="2012-06-20T00:00:00Z">
        <w:dateFormat w:val="M/d/yy"/>
        <w:lid w:val="en-US"/>
        <w:storeMappedDataAs w:val="dateTime"/>
        <w:calendar w:val="gregorian"/>
      </w:date>
    </w:sdtPr>
    <w:sdtContent>
      <w:p w14:paraId="1131F163" w14:textId="77777777" w:rsidR="00624C4E" w:rsidRDefault="00624C4E">
        <w:pPr>
          <w:pStyle w:val="Header"/>
          <w:jc w:val="right"/>
          <w:rPr>
            <w:caps/>
            <w:color w:val="0E2841" w:themeColor="text2"/>
            <w:sz w:val="20"/>
            <w:szCs w:val="20"/>
          </w:rPr>
        </w:pPr>
        <w:r>
          <w:rPr>
            <w:rStyle w:val="PlaceholderText"/>
          </w:rPr>
          <w:t>[Date]</w:t>
        </w:r>
      </w:p>
    </w:sdtContent>
  </w:sdt>
  <w:p w14:paraId="44062713" w14:textId="2B0FB536" w:rsidR="00624C4E" w:rsidRDefault="00624C4E">
    <w:pPr>
      <w:pStyle w:val="Header"/>
      <w:jc w:val="center"/>
      <w:rPr>
        <w:color w:val="0E2841" w:themeColor="text2"/>
        <w:sz w:val="20"/>
        <w:szCs w:val="20"/>
      </w:rPr>
    </w:pPr>
    <w:sdt>
      <w:sdtPr>
        <w:rPr>
          <w:caps/>
          <w:color w:val="0E2841" w:themeColor="text2"/>
          <w:sz w:val="20"/>
          <w:szCs w:val="20"/>
        </w:rPr>
        <w:alias w:val="Title"/>
        <w:tag w:val=""/>
        <w:id w:val="-484788024"/>
        <w:placeholder>
          <w:docPart w:val="5EBE17933DC94E4C8A8C36602BEEDE7C"/>
        </w:placeholder>
        <w:dataBinding w:prefixMappings="xmlns:ns0='http://purl.org/dc/elements/1.1/' xmlns:ns1='http://schemas.openxmlformats.org/package/2006/metadata/core-properties' " w:xpath="/ns1:coreProperties[1]/ns0:title[1]" w:storeItemID="{6C3C8BC8-F283-45AE-878A-BAB7291924A1}"/>
        <w:text/>
      </w:sdtPr>
      <w:sdtEndPr>
        <w:rPr>
          <w:caps w:val="0"/>
        </w:rPr>
      </w:sdtEndPr>
      <w:sdtContent>
        <w:r>
          <w:rPr>
            <w:caps/>
            <w:color w:val="0E2841" w:themeColor="text2"/>
            <w:sz w:val="20"/>
            <w:szCs w:val="20"/>
          </w:rPr>
          <w:t>Senior Thesis</w:t>
        </w:r>
      </w:sdtContent>
    </w:sdt>
  </w:p>
  <w:p w14:paraId="31F74166" w14:textId="77777777" w:rsidR="00624C4E" w:rsidRDefault="00624C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0379"/>
    <w:multiLevelType w:val="multilevel"/>
    <w:tmpl w:val="D994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D643C"/>
    <w:multiLevelType w:val="multilevel"/>
    <w:tmpl w:val="1C30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A3F75"/>
    <w:multiLevelType w:val="multilevel"/>
    <w:tmpl w:val="775C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E34B6"/>
    <w:multiLevelType w:val="multilevel"/>
    <w:tmpl w:val="BF46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57904"/>
    <w:multiLevelType w:val="multilevel"/>
    <w:tmpl w:val="A356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A039B"/>
    <w:multiLevelType w:val="multilevel"/>
    <w:tmpl w:val="02D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B22CE"/>
    <w:multiLevelType w:val="multilevel"/>
    <w:tmpl w:val="D180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73583"/>
    <w:multiLevelType w:val="multilevel"/>
    <w:tmpl w:val="274E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3437E"/>
    <w:multiLevelType w:val="multilevel"/>
    <w:tmpl w:val="E214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91108B"/>
    <w:multiLevelType w:val="hybridMultilevel"/>
    <w:tmpl w:val="F41C873E"/>
    <w:lvl w:ilvl="0" w:tplc="15E6661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811931"/>
    <w:multiLevelType w:val="multilevel"/>
    <w:tmpl w:val="38D4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82775B"/>
    <w:multiLevelType w:val="multilevel"/>
    <w:tmpl w:val="3968BF1A"/>
    <w:lvl w:ilvl="0">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1826203C"/>
    <w:multiLevelType w:val="multilevel"/>
    <w:tmpl w:val="BBB4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A7732A"/>
    <w:multiLevelType w:val="multilevel"/>
    <w:tmpl w:val="B2BA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083511"/>
    <w:multiLevelType w:val="multilevel"/>
    <w:tmpl w:val="074C443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4958F0"/>
    <w:multiLevelType w:val="multilevel"/>
    <w:tmpl w:val="77B8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F95336"/>
    <w:multiLevelType w:val="hybridMultilevel"/>
    <w:tmpl w:val="8F1C9B8A"/>
    <w:lvl w:ilvl="0" w:tplc="8AC675D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1855EA"/>
    <w:multiLevelType w:val="multilevel"/>
    <w:tmpl w:val="6BEC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B4311B"/>
    <w:multiLevelType w:val="multilevel"/>
    <w:tmpl w:val="343A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9E60D3"/>
    <w:multiLevelType w:val="multilevel"/>
    <w:tmpl w:val="81E2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653F2A"/>
    <w:multiLevelType w:val="multilevel"/>
    <w:tmpl w:val="03984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466359"/>
    <w:multiLevelType w:val="multilevel"/>
    <w:tmpl w:val="4974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2D6A37"/>
    <w:multiLevelType w:val="multilevel"/>
    <w:tmpl w:val="0FFA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625BD2"/>
    <w:multiLevelType w:val="multilevel"/>
    <w:tmpl w:val="8E80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696E98"/>
    <w:multiLevelType w:val="multilevel"/>
    <w:tmpl w:val="1C4E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0E1D0E"/>
    <w:multiLevelType w:val="multilevel"/>
    <w:tmpl w:val="D818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E21E3A"/>
    <w:multiLevelType w:val="multilevel"/>
    <w:tmpl w:val="B2F0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9C2D27"/>
    <w:multiLevelType w:val="multilevel"/>
    <w:tmpl w:val="B6A43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134A43"/>
    <w:multiLevelType w:val="multilevel"/>
    <w:tmpl w:val="628E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A35A9B"/>
    <w:multiLevelType w:val="multilevel"/>
    <w:tmpl w:val="664E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AD27D3"/>
    <w:multiLevelType w:val="multilevel"/>
    <w:tmpl w:val="F834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A9168E"/>
    <w:multiLevelType w:val="multilevel"/>
    <w:tmpl w:val="F4BE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991DE4"/>
    <w:multiLevelType w:val="multilevel"/>
    <w:tmpl w:val="EC9A5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4D670C"/>
    <w:multiLevelType w:val="multilevel"/>
    <w:tmpl w:val="EB66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B96ABD"/>
    <w:multiLevelType w:val="multilevel"/>
    <w:tmpl w:val="66A8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2C7BD2"/>
    <w:multiLevelType w:val="multilevel"/>
    <w:tmpl w:val="EC5A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E168DA"/>
    <w:multiLevelType w:val="multilevel"/>
    <w:tmpl w:val="A4C0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7E6898"/>
    <w:multiLevelType w:val="multilevel"/>
    <w:tmpl w:val="BB72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5C6478"/>
    <w:multiLevelType w:val="multilevel"/>
    <w:tmpl w:val="1A28F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9836A36"/>
    <w:multiLevelType w:val="multilevel"/>
    <w:tmpl w:val="BFA4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EC7CB4"/>
    <w:multiLevelType w:val="multilevel"/>
    <w:tmpl w:val="AB90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30402">
    <w:abstractNumId w:val="16"/>
  </w:num>
  <w:num w:numId="2" w16cid:durableId="2078506486">
    <w:abstractNumId w:val="9"/>
  </w:num>
  <w:num w:numId="3" w16cid:durableId="524834522">
    <w:abstractNumId w:val="18"/>
  </w:num>
  <w:num w:numId="4" w16cid:durableId="41685227">
    <w:abstractNumId w:val="13"/>
  </w:num>
  <w:num w:numId="5" w16cid:durableId="809057290">
    <w:abstractNumId w:val="27"/>
  </w:num>
  <w:num w:numId="6" w16cid:durableId="709451006">
    <w:abstractNumId w:val="14"/>
  </w:num>
  <w:num w:numId="7" w16cid:durableId="1023627014">
    <w:abstractNumId w:val="10"/>
  </w:num>
  <w:num w:numId="8" w16cid:durableId="764155591">
    <w:abstractNumId w:val="32"/>
  </w:num>
  <w:num w:numId="9" w16cid:durableId="1672563916">
    <w:abstractNumId w:val="12"/>
  </w:num>
  <w:num w:numId="10" w16cid:durableId="896746201">
    <w:abstractNumId w:val="2"/>
  </w:num>
  <w:num w:numId="11" w16cid:durableId="1880386643">
    <w:abstractNumId w:val="22"/>
  </w:num>
  <w:num w:numId="12" w16cid:durableId="2096587759">
    <w:abstractNumId w:val="38"/>
  </w:num>
  <w:num w:numId="13" w16cid:durableId="716011170">
    <w:abstractNumId w:val="7"/>
  </w:num>
  <w:num w:numId="14" w16cid:durableId="1113549187">
    <w:abstractNumId w:val="0"/>
  </w:num>
  <w:num w:numId="15" w16cid:durableId="1078553326">
    <w:abstractNumId w:val="31"/>
  </w:num>
  <w:num w:numId="16" w16cid:durableId="2129663286">
    <w:abstractNumId w:val="35"/>
  </w:num>
  <w:num w:numId="17" w16cid:durableId="1337656174">
    <w:abstractNumId w:val="39"/>
  </w:num>
  <w:num w:numId="18" w16cid:durableId="1678969770">
    <w:abstractNumId w:val="21"/>
  </w:num>
  <w:num w:numId="19" w16cid:durableId="1260681353">
    <w:abstractNumId w:val="24"/>
  </w:num>
  <w:num w:numId="20" w16cid:durableId="1972203686">
    <w:abstractNumId w:val="36"/>
  </w:num>
  <w:num w:numId="21" w16cid:durableId="1024136289">
    <w:abstractNumId w:val="30"/>
  </w:num>
  <w:num w:numId="22" w16cid:durableId="159538995">
    <w:abstractNumId w:val="5"/>
  </w:num>
  <w:num w:numId="23" w16cid:durableId="142046190">
    <w:abstractNumId w:val="33"/>
  </w:num>
  <w:num w:numId="24" w16cid:durableId="50933926">
    <w:abstractNumId w:val="25"/>
  </w:num>
  <w:num w:numId="25" w16cid:durableId="521164800">
    <w:abstractNumId w:val="8"/>
  </w:num>
  <w:num w:numId="26" w16cid:durableId="104272566">
    <w:abstractNumId w:val="20"/>
  </w:num>
  <w:num w:numId="27" w16cid:durableId="878083232">
    <w:abstractNumId w:val="4"/>
  </w:num>
  <w:num w:numId="28" w16cid:durableId="54015560">
    <w:abstractNumId w:val="29"/>
  </w:num>
  <w:num w:numId="29" w16cid:durableId="1642078889">
    <w:abstractNumId w:val="17"/>
  </w:num>
  <w:num w:numId="30" w16cid:durableId="229973251">
    <w:abstractNumId w:val="28"/>
  </w:num>
  <w:num w:numId="31" w16cid:durableId="106241058">
    <w:abstractNumId w:val="19"/>
  </w:num>
  <w:num w:numId="32" w16cid:durableId="261037908">
    <w:abstractNumId w:val="6"/>
  </w:num>
  <w:num w:numId="33" w16cid:durableId="1835298059">
    <w:abstractNumId w:val="3"/>
  </w:num>
  <w:num w:numId="34" w16cid:durableId="1973976998">
    <w:abstractNumId w:val="40"/>
  </w:num>
  <w:num w:numId="35" w16cid:durableId="542788802">
    <w:abstractNumId w:val="34"/>
  </w:num>
  <w:num w:numId="36" w16cid:durableId="506480522">
    <w:abstractNumId w:val="1"/>
  </w:num>
  <w:num w:numId="37" w16cid:durableId="1593121087">
    <w:abstractNumId w:val="26"/>
  </w:num>
  <w:num w:numId="38" w16cid:durableId="1210532924">
    <w:abstractNumId w:val="23"/>
  </w:num>
  <w:num w:numId="39" w16cid:durableId="1032341742">
    <w:abstractNumId w:val="37"/>
  </w:num>
  <w:num w:numId="40" w16cid:durableId="2095465913">
    <w:abstractNumId w:val="15"/>
  </w:num>
  <w:num w:numId="41" w16cid:durableId="1268080550">
    <w:abstractNumId w:val="11"/>
  </w:num>
  <w:num w:numId="42" w16cid:durableId="977760009">
    <w:abstractNumId w:val="11"/>
  </w:num>
  <w:num w:numId="43" w16cid:durableId="5597537">
    <w:abstractNumId w:val="11"/>
  </w:num>
  <w:num w:numId="44" w16cid:durableId="160900429">
    <w:abstractNumId w:val="11"/>
  </w:num>
  <w:num w:numId="45" w16cid:durableId="561065341">
    <w:abstractNumId w:val="11"/>
  </w:num>
  <w:num w:numId="46" w16cid:durableId="1070661819">
    <w:abstractNumId w:val="11"/>
  </w:num>
  <w:num w:numId="47" w16cid:durableId="586812789">
    <w:abstractNumId w:val="11"/>
  </w:num>
  <w:num w:numId="48" w16cid:durableId="29033184">
    <w:abstractNumId w:val="11"/>
  </w:num>
  <w:num w:numId="49" w16cid:durableId="1900434710">
    <w:abstractNumId w:val="11"/>
  </w:num>
  <w:num w:numId="50" w16cid:durableId="17938608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CF5"/>
    <w:rsid w:val="00032AFB"/>
    <w:rsid w:val="000408FE"/>
    <w:rsid w:val="000748A6"/>
    <w:rsid w:val="00091443"/>
    <w:rsid w:val="00091A88"/>
    <w:rsid w:val="000C66B1"/>
    <w:rsid w:val="000D4D15"/>
    <w:rsid w:val="0012723E"/>
    <w:rsid w:val="00155266"/>
    <w:rsid w:val="001A199E"/>
    <w:rsid w:val="001C53F8"/>
    <w:rsid w:val="002111F8"/>
    <w:rsid w:val="002114F2"/>
    <w:rsid w:val="00216AEA"/>
    <w:rsid w:val="00224EB7"/>
    <w:rsid w:val="00230478"/>
    <w:rsid w:val="00271E87"/>
    <w:rsid w:val="002C3ADE"/>
    <w:rsid w:val="002F526B"/>
    <w:rsid w:val="00321E8D"/>
    <w:rsid w:val="0033679D"/>
    <w:rsid w:val="0039383F"/>
    <w:rsid w:val="003B41C4"/>
    <w:rsid w:val="00417F3F"/>
    <w:rsid w:val="0045537C"/>
    <w:rsid w:val="00495752"/>
    <w:rsid w:val="00497A4D"/>
    <w:rsid w:val="004F575E"/>
    <w:rsid w:val="0051468A"/>
    <w:rsid w:val="00515617"/>
    <w:rsid w:val="005430EE"/>
    <w:rsid w:val="005828F7"/>
    <w:rsid w:val="005D6B01"/>
    <w:rsid w:val="005E5B9A"/>
    <w:rsid w:val="0061767A"/>
    <w:rsid w:val="00624C4E"/>
    <w:rsid w:val="006569E2"/>
    <w:rsid w:val="006A6D83"/>
    <w:rsid w:val="006A75E7"/>
    <w:rsid w:val="00705367"/>
    <w:rsid w:val="00726BD3"/>
    <w:rsid w:val="00771C2E"/>
    <w:rsid w:val="007821F1"/>
    <w:rsid w:val="0079379F"/>
    <w:rsid w:val="00795B78"/>
    <w:rsid w:val="007A6CC6"/>
    <w:rsid w:val="007C3E7B"/>
    <w:rsid w:val="007C3EBD"/>
    <w:rsid w:val="007D664D"/>
    <w:rsid w:val="0081420F"/>
    <w:rsid w:val="00815C40"/>
    <w:rsid w:val="0081660B"/>
    <w:rsid w:val="00817961"/>
    <w:rsid w:val="00837046"/>
    <w:rsid w:val="00885320"/>
    <w:rsid w:val="008A5D36"/>
    <w:rsid w:val="008B2EDB"/>
    <w:rsid w:val="008B4902"/>
    <w:rsid w:val="008E4AE0"/>
    <w:rsid w:val="00901464"/>
    <w:rsid w:val="009101E8"/>
    <w:rsid w:val="0091468F"/>
    <w:rsid w:val="0091601D"/>
    <w:rsid w:val="009252BD"/>
    <w:rsid w:val="009304AB"/>
    <w:rsid w:val="009815EB"/>
    <w:rsid w:val="009E2DBA"/>
    <w:rsid w:val="009F0FCD"/>
    <w:rsid w:val="009F68E6"/>
    <w:rsid w:val="00A05DC2"/>
    <w:rsid w:val="00A21CF5"/>
    <w:rsid w:val="00A37E90"/>
    <w:rsid w:val="00A66220"/>
    <w:rsid w:val="00A763E6"/>
    <w:rsid w:val="00AE4F02"/>
    <w:rsid w:val="00AE6EB4"/>
    <w:rsid w:val="00B15517"/>
    <w:rsid w:val="00B4080F"/>
    <w:rsid w:val="00B523E8"/>
    <w:rsid w:val="00B67E15"/>
    <w:rsid w:val="00B71CEA"/>
    <w:rsid w:val="00BB6BAA"/>
    <w:rsid w:val="00BE4523"/>
    <w:rsid w:val="00BF0C4E"/>
    <w:rsid w:val="00C47215"/>
    <w:rsid w:val="00C5785D"/>
    <w:rsid w:val="00C638E9"/>
    <w:rsid w:val="00C652B7"/>
    <w:rsid w:val="00CC450B"/>
    <w:rsid w:val="00CC6D21"/>
    <w:rsid w:val="00CD6092"/>
    <w:rsid w:val="00CD69DA"/>
    <w:rsid w:val="00CE6032"/>
    <w:rsid w:val="00CF08D2"/>
    <w:rsid w:val="00D1438F"/>
    <w:rsid w:val="00D35BD8"/>
    <w:rsid w:val="00D75AD7"/>
    <w:rsid w:val="00DD01D1"/>
    <w:rsid w:val="00E02BF1"/>
    <w:rsid w:val="00E04604"/>
    <w:rsid w:val="00EA4721"/>
    <w:rsid w:val="00EB5CA7"/>
    <w:rsid w:val="00EF18C2"/>
    <w:rsid w:val="00F1179E"/>
    <w:rsid w:val="00F14AC1"/>
    <w:rsid w:val="00F1563D"/>
    <w:rsid w:val="00F243E8"/>
    <w:rsid w:val="00F2606B"/>
    <w:rsid w:val="00F854AA"/>
    <w:rsid w:val="00F9687A"/>
    <w:rsid w:val="00FA09EE"/>
    <w:rsid w:val="00FA1876"/>
    <w:rsid w:val="00FD5A9D"/>
    <w:rsid w:val="00FE3A2A"/>
    <w:rsid w:val="00FE4709"/>
    <w:rsid w:val="00FE7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854BC"/>
  <w15:chartTrackingRefBased/>
  <w15:docId w15:val="{B2200DC3-44EE-45B8-8926-9C94AAFCD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046"/>
  </w:style>
  <w:style w:type="paragraph" w:styleId="Heading1">
    <w:name w:val="heading 1"/>
    <w:basedOn w:val="Normal"/>
    <w:next w:val="Normal"/>
    <w:link w:val="Heading1Char"/>
    <w:uiPriority w:val="9"/>
    <w:qFormat/>
    <w:rsid w:val="00837046"/>
    <w:pPr>
      <w:keepNext/>
      <w:keepLines/>
      <w:numPr>
        <w:numId w:val="5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837046"/>
    <w:pPr>
      <w:keepNext/>
      <w:keepLines/>
      <w:numPr>
        <w:ilvl w:val="1"/>
        <w:numId w:val="5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837046"/>
    <w:pPr>
      <w:keepNext/>
      <w:keepLines/>
      <w:numPr>
        <w:ilvl w:val="2"/>
        <w:numId w:val="5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837046"/>
    <w:pPr>
      <w:keepNext/>
      <w:keepLines/>
      <w:numPr>
        <w:ilvl w:val="3"/>
        <w:numId w:val="5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837046"/>
    <w:pPr>
      <w:keepNext/>
      <w:keepLines/>
      <w:numPr>
        <w:ilvl w:val="4"/>
        <w:numId w:val="50"/>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837046"/>
    <w:pPr>
      <w:keepNext/>
      <w:keepLines/>
      <w:numPr>
        <w:ilvl w:val="5"/>
        <w:numId w:val="50"/>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837046"/>
    <w:pPr>
      <w:keepNext/>
      <w:keepLines/>
      <w:numPr>
        <w:ilvl w:val="6"/>
        <w:numId w:val="5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37046"/>
    <w:pPr>
      <w:keepNext/>
      <w:keepLines/>
      <w:numPr>
        <w:ilvl w:val="7"/>
        <w:numId w:val="5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37046"/>
    <w:pPr>
      <w:keepNext/>
      <w:keepLines/>
      <w:numPr>
        <w:ilvl w:val="8"/>
        <w:numId w:val="5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046"/>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837046"/>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837046"/>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837046"/>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837046"/>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837046"/>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83704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3704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3704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837046"/>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837046"/>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837046"/>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837046"/>
    <w:rPr>
      <w:color w:val="5A5A5A" w:themeColor="text1" w:themeTint="A5"/>
      <w:spacing w:val="10"/>
    </w:rPr>
  </w:style>
  <w:style w:type="paragraph" w:styleId="Quote">
    <w:name w:val="Quote"/>
    <w:basedOn w:val="Normal"/>
    <w:next w:val="Normal"/>
    <w:link w:val="QuoteChar"/>
    <w:uiPriority w:val="29"/>
    <w:qFormat/>
    <w:rsid w:val="00837046"/>
    <w:pPr>
      <w:spacing w:before="160"/>
      <w:ind w:left="720" w:right="720"/>
    </w:pPr>
    <w:rPr>
      <w:i/>
      <w:iCs/>
      <w:color w:val="000000" w:themeColor="text1"/>
    </w:rPr>
  </w:style>
  <w:style w:type="character" w:customStyle="1" w:styleId="QuoteChar">
    <w:name w:val="Quote Char"/>
    <w:basedOn w:val="DefaultParagraphFont"/>
    <w:link w:val="Quote"/>
    <w:uiPriority w:val="29"/>
    <w:rsid w:val="00837046"/>
    <w:rPr>
      <w:i/>
      <w:iCs/>
      <w:color w:val="000000" w:themeColor="text1"/>
    </w:rPr>
  </w:style>
  <w:style w:type="paragraph" w:styleId="ListParagraph">
    <w:name w:val="List Paragraph"/>
    <w:basedOn w:val="Normal"/>
    <w:uiPriority w:val="34"/>
    <w:qFormat/>
    <w:rsid w:val="00A21CF5"/>
    <w:pPr>
      <w:ind w:left="720"/>
      <w:contextualSpacing/>
    </w:pPr>
  </w:style>
  <w:style w:type="character" w:styleId="IntenseEmphasis">
    <w:name w:val="Intense Emphasis"/>
    <w:basedOn w:val="DefaultParagraphFont"/>
    <w:uiPriority w:val="21"/>
    <w:qFormat/>
    <w:rsid w:val="00837046"/>
    <w:rPr>
      <w:b/>
      <w:bCs/>
      <w:i/>
      <w:iCs/>
      <w:caps/>
    </w:rPr>
  </w:style>
  <w:style w:type="paragraph" w:styleId="IntenseQuote">
    <w:name w:val="Intense Quote"/>
    <w:basedOn w:val="Normal"/>
    <w:next w:val="Normal"/>
    <w:link w:val="IntenseQuoteChar"/>
    <w:uiPriority w:val="30"/>
    <w:qFormat/>
    <w:rsid w:val="00837046"/>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837046"/>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837046"/>
    <w:rPr>
      <w:b/>
      <w:bCs/>
      <w:smallCaps/>
      <w:u w:val="single"/>
    </w:rPr>
  </w:style>
  <w:style w:type="character" w:styleId="Hyperlink">
    <w:name w:val="Hyperlink"/>
    <w:basedOn w:val="DefaultParagraphFont"/>
    <w:uiPriority w:val="99"/>
    <w:unhideWhenUsed/>
    <w:rsid w:val="00A05DC2"/>
    <w:rPr>
      <w:color w:val="467886" w:themeColor="hyperlink"/>
      <w:u w:val="single"/>
    </w:rPr>
  </w:style>
  <w:style w:type="character" w:styleId="UnresolvedMention">
    <w:name w:val="Unresolved Mention"/>
    <w:basedOn w:val="DefaultParagraphFont"/>
    <w:uiPriority w:val="99"/>
    <w:semiHidden/>
    <w:unhideWhenUsed/>
    <w:rsid w:val="00A05DC2"/>
    <w:rPr>
      <w:color w:val="605E5C"/>
      <w:shd w:val="clear" w:color="auto" w:fill="E1DFDD"/>
    </w:rPr>
  </w:style>
  <w:style w:type="character" w:styleId="FollowedHyperlink">
    <w:name w:val="FollowedHyperlink"/>
    <w:basedOn w:val="DefaultParagraphFont"/>
    <w:uiPriority w:val="99"/>
    <w:semiHidden/>
    <w:unhideWhenUsed/>
    <w:rsid w:val="00A05DC2"/>
    <w:rPr>
      <w:color w:val="96607D" w:themeColor="followedHyperlink"/>
      <w:u w:val="single"/>
    </w:rPr>
  </w:style>
  <w:style w:type="paragraph" w:styleId="Caption">
    <w:name w:val="caption"/>
    <w:basedOn w:val="Normal"/>
    <w:next w:val="Normal"/>
    <w:uiPriority w:val="35"/>
    <w:semiHidden/>
    <w:unhideWhenUsed/>
    <w:qFormat/>
    <w:rsid w:val="00837046"/>
    <w:pPr>
      <w:spacing w:after="200" w:line="240" w:lineRule="auto"/>
    </w:pPr>
    <w:rPr>
      <w:i/>
      <w:iCs/>
      <w:color w:val="0E2841" w:themeColor="text2"/>
      <w:sz w:val="18"/>
      <w:szCs w:val="18"/>
    </w:rPr>
  </w:style>
  <w:style w:type="character" w:styleId="Strong">
    <w:name w:val="Strong"/>
    <w:basedOn w:val="DefaultParagraphFont"/>
    <w:uiPriority w:val="22"/>
    <w:qFormat/>
    <w:rsid w:val="00837046"/>
    <w:rPr>
      <w:b/>
      <w:bCs/>
      <w:color w:val="000000" w:themeColor="text1"/>
    </w:rPr>
  </w:style>
  <w:style w:type="character" w:styleId="Emphasis">
    <w:name w:val="Emphasis"/>
    <w:basedOn w:val="DefaultParagraphFont"/>
    <w:uiPriority w:val="20"/>
    <w:qFormat/>
    <w:rsid w:val="00837046"/>
    <w:rPr>
      <w:i/>
      <w:iCs/>
      <w:color w:val="auto"/>
    </w:rPr>
  </w:style>
  <w:style w:type="paragraph" w:styleId="NoSpacing">
    <w:name w:val="No Spacing"/>
    <w:uiPriority w:val="1"/>
    <w:qFormat/>
    <w:rsid w:val="00837046"/>
    <w:pPr>
      <w:spacing w:after="0" w:line="240" w:lineRule="auto"/>
    </w:pPr>
  </w:style>
  <w:style w:type="character" w:styleId="SubtleEmphasis">
    <w:name w:val="Subtle Emphasis"/>
    <w:basedOn w:val="DefaultParagraphFont"/>
    <w:uiPriority w:val="19"/>
    <w:qFormat/>
    <w:rsid w:val="00837046"/>
    <w:rPr>
      <w:i/>
      <w:iCs/>
      <w:color w:val="404040" w:themeColor="text1" w:themeTint="BF"/>
    </w:rPr>
  </w:style>
  <w:style w:type="character" w:styleId="SubtleReference">
    <w:name w:val="Subtle Reference"/>
    <w:basedOn w:val="DefaultParagraphFont"/>
    <w:uiPriority w:val="31"/>
    <w:qFormat/>
    <w:rsid w:val="00837046"/>
    <w:rPr>
      <w:smallCaps/>
      <w:color w:val="404040" w:themeColor="text1" w:themeTint="BF"/>
      <w:u w:val="single" w:color="7F7F7F" w:themeColor="text1" w:themeTint="80"/>
    </w:rPr>
  </w:style>
  <w:style w:type="character" w:styleId="BookTitle">
    <w:name w:val="Book Title"/>
    <w:basedOn w:val="DefaultParagraphFont"/>
    <w:uiPriority w:val="33"/>
    <w:qFormat/>
    <w:rsid w:val="00837046"/>
    <w:rPr>
      <w:b w:val="0"/>
      <w:bCs w:val="0"/>
      <w:smallCaps/>
      <w:spacing w:val="5"/>
    </w:rPr>
  </w:style>
  <w:style w:type="paragraph" w:styleId="TOCHeading">
    <w:name w:val="TOC Heading"/>
    <w:basedOn w:val="Heading1"/>
    <w:next w:val="Normal"/>
    <w:uiPriority w:val="39"/>
    <w:semiHidden/>
    <w:unhideWhenUsed/>
    <w:qFormat/>
    <w:rsid w:val="00837046"/>
    <w:pPr>
      <w:outlineLvl w:val="9"/>
    </w:pPr>
  </w:style>
  <w:style w:type="paragraph" w:styleId="Header">
    <w:name w:val="header"/>
    <w:basedOn w:val="Normal"/>
    <w:link w:val="HeaderChar"/>
    <w:uiPriority w:val="99"/>
    <w:unhideWhenUsed/>
    <w:rsid w:val="00624C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4C4E"/>
  </w:style>
  <w:style w:type="paragraph" w:styleId="Footer">
    <w:name w:val="footer"/>
    <w:basedOn w:val="Normal"/>
    <w:link w:val="FooterChar"/>
    <w:uiPriority w:val="99"/>
    <w:unhideWhenUsed/>
    <w:rsid w:val="00624C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4C4E"/>
  </w:style>
  <w:style w:type="character" w:styleId="PlaceholderText">
    <w:name w:val="Placeholder Text"/>
    <w:basedOn w:val="DefaultParagraphFont"/>
    <w:uiPriority w:val="99"/>
    <w:semiHidden/>
    <w:rsid w:val="00624C4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js.ojp.gov/library/publications/criminal-victimization-2022" TargetMode="External"/><Relationship Id="rId21" Type="http://schemas.openxmlformats.org/officeDocument/2006/relationships/hyperlink" Target="https://www.pewresearch.org/short-reads/2024/04/24/what-the-data-says-about-crime-in-the-us/" TargetMode="External"/><Relationship Id="rId42" Type="http://schemas.openxmlformats.org/officeDocument/2006/relationships/hyperlink" Target="https://www.basicbooks.com/titles/alexandra-natapoff/punishment-without-crime/9780465093809/" TargetMode="External"/><Relationship Id="rId47" Type="http://schemas.openxmlformats.org/officeDocument/2006/relationships/hyperlink" Target="https://bjs.ojp.gov/library/publications/felony-sentences-state-courts-2006-statistical-tables-standard-error-tables" TargetMode="External"/><Relationship Id="rId63" Type="http://schemas.openxmlformats.org/officeDocument/2006/relationships/hyperlink" Target="https://mn.gov/sentencing-guidelines/research-data/annualsummary/?utm_source=chatgpt.com" TargetMode="External"/><Relationship Id="rId68" Type="http://schemas.openxmlformats.org/officeDocument/2006/relationships/hyperlink" Target="https://aisp.upenn.edu/wp-content/uploads/2015/06/Data-Quality-Paper_Final.pdf?utm_source=chatgpt.com" TargetMode="External"/><Relationship Id="rId84" Type="http://schemas.openxmlformats.org/officeDocument/2006/relationships/hyperlink" Target="https://doi.org/10.1080/01621459.1972.10482387" TargetMode="External"/><Relationship Id="rId89" Type="http://schemas.openxmlformats.org/officeDocument/2006/relationships/hyperlink" Target="https://doi.org/10.1017/S0003055420000039" TargetMode="External"/><Relationship Id="rId16" Type="http://schemas.openxmlformats.org/officeDocument/2006/relationships/hyperlink" Target="https://bjs.ojp.gov/data-collection/ncvs" TargetMode="External"/><Relationship Id="rId11" Type="http://schemas.openxmlformats.org/officeDocument/2006/relationships/hyperlink" Target="https://doi.org/10.17226/25104" TargetMode="External"/><Relationship Id="rId32" Type="http://schemas.openxmlformats.org/officeDocument/2006/relationships/hyperlink" Target="https://doi.org/10.1093/qje/qjx028" TargetMode="External"/><Relationship Id="rId37" Type="http://schemas.openxmlformats.org/officeDocument/2006/relationships/hyperlink" Target="https://ir.lawnet.fordham.edu/flr/vol67/iss1/2/" TargetMode="External"/><Relationship Id="rId53" Type="http://schemas.openxmlformats.org/officeDocument/2006/relationships/hyperlink" Target="https://www.revisor.mn.gov/statutes/cite/152.025" TargetMode="External"/><Relationship Id="rId58" Type="http://schemas.openxmlformats.org/officeDocument/2006/relationships/hyperlink" Target="https://www.revisor.mn.gov/statutes/cite/609.3455?utm_source=chatgpt.com" TargetMode="External"/><Relationship Id="rId74" Type="http://schemas.openxmlformats.org/officeDocument/2006/relationships/hyperlink" Target="https://mn.gov/sentencing-guidelines/assets/2024_Minn_Sentencing_Guidelines_Commentary_tcm30-639154.pdf" TargetMode="External"/><Relationship Id="rId79" Type="http://schemas.openxmlformats.org/officeDocument/2006/relationships/hyperlink" Target="https://doi.org/10.1093/qje/qjy012" TargetMode="External"/><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s://doi.org/10.1146/annurev-criminol-011518-024815" TargetMode="External"/><Relationship Id="rId95" Type="http://schemas.openxmlformats.org/officeDocument/2006/relationships/hyperlink" Target="https://doi.org/10.2307/2981697" TargetMode="External"/><Relationship Id="rId22" Type="http://schemas.openxmlformats.org/officeDocument/2006/relationships/hyperlink" Target="https://mn.gov/sentencing-guidelines/about/" TargetMode="External"/><Relationship Id="rId27" Type="http://schemas.openxmlformats.org/officeDocument/2006/relationships/hyperlink" Target="https://doi.org/10.17226/19436" TargetMode="External"/><Relationship Id="rId43" Type="http://schemas.openxmlformats.org/officeDocument/2006/relationships/hyperlink" Target="https://scholarship.law.marquette.edu/mulr/vol103/iss3/14/" TargetMode="External"/><Relationship Id="rId48" Type="http://schemas.openxmlformats.org/officeDocument/2006/relationships/hyperlink" Target="https://doi.org/10.1086/268684" TargetMode="External"/><Relationship Id="rId64" Type="http://schemas.openxmlformats.org/officeDocument/2006/relationships/hyperlink" Target="https://mn.gov/sentencing-guidelines/assets/2024_MSGC_Annual_Summary_Statistics_tcm30-754879.pdf" TargetMode="External"/><Relationship Id="rId69" Type="http://schemas.openxmlformats.org/officeDocument/2006/relationships/hyperlink" Target="https://www.revisor.mn.gov/statutes/cite/244.05" TargetMode="External"/><Relationship Id="rId80" Type="http://schemas.openxmlformats.org/officeDocument/2006/relationships/hyperlink" Target="https://doi.org/10.1080/07418825.2012.682602" TargetMode="External"/><Relationship Id="rId85" Type="http://schemas.openxmlformats.org/officeDocument/2006/relationships/hyperlink" Target="https://doi.org/10.2307/2578760" TargetMode="External"/><Relationship Id="rId12" Type="http://schemas.openxmlformats.org/officeDocument/2006/relationships/hyperlink" Target="https://doi.org/10.1787/a37f51c3-en" TargetMode="External"/><Relationship Id="rId17" Type="http://schemas.openxmlformats.org/officeDocument/2006/relationships/hyperlink" Target="https://doi.org/10.1007/s10940-007-9024-4" TargetMode="External"/><Relationship Id="rId25" Type="http://schemas.openxmlformats.org/officeDocument/2006/relationships/hyperlink" Target="https://www.lrl.mn.gov/docs/2024/mandated/240055.pdf" TargetMode="External"/><Relationship Id="rId33" Type="http://schemas.openxmlformats.org/officeDocument/2006/relationships/hyperlink" Target="https://www.congress.gov/crs-product/LSB11326" TargetMode="External"/><Relationship Id="rId38" Type="http://schemas.openxmlformats.org/officeDocument/2006/relationships/hyperlink" Target="https://ucr.fbi.gov/nibrs/2011/resources/a-guide-to-understanding-nibrs" TargetMode="External"/><Relationship Id="rId46" Type="http://schemas.openxmlformats.org/officeDocument/2006/relationships/hyperlink" Target="https://scholarlycommons.law.northwestern.edu/jclc/vol100/iss3/5/" TargetMode="External"/><Relationship Id="rId59" Type="http://schemas.openxmlformats.org/officeDocument/2006/relationships/hyperlink" Target="https://www.lrl.mn.gov/docs/2013/other/130860.pdf?utm_source=chatgpt.com" TargetMode="External"/><Relationship Id="rId67" Type="http://schemas.openxmlformats.org/officeDocument/2006/relationships/hyperlink" Target="https://mn.gov/sentencing-guidelines/assets/1980-Standard%20Grid_tcm30-31016.pdf" TargetMode="External"/><Relationship Id="rId103" Type="http://schemas.openxmlformats.org/officeDocument/2006/relationships/glossaryDocument" Target="glossary/document.xml"/><Relationship Id="rId20" Type="http://schemas.openxmlformats.org/officeDocument/2006/relationships/hyperlink" Target="https://doi.org/10.1086/655354" TargetMode="External"/><Relationship Id="rId41" Type="http://schemas.openxmlformats.org/officeDocument/2006/relationships/hyperlink" Target="https://doi.org/10.4135/9781483349381" TargetMode="External"/><Relationship Id="rId54" Type="http://schemas.openxmlformats.org/officeDocument/2006/relationships/hyperlink" Target="https://www.revisor.mn.gov/statutes/cite/244.09" TargetMode="External"/><Relationship Id="rId62" Type="http://schemas.openxmlformats.org/officeDocument/2006/relationships/hyperlink" Target="https://mn.gov/sentencing-guidelines/assets/04A1v3-Staff-2021_1SS_LawsAffectingGuidelines_tcm30-489638.pdf" TargetMode="External"/><Relationship Id="rId70" Type="http://schemas.openxmlformats.org/officeDocument/2006/relationships/hyperlink" Target="https://www.revisor.mn.gov/statutes/cite/244.09" TargetMode="External"/><Relationship Id="rId75" Type="http://schemas.openxmlformats.org/officeDocument/2006/relationships/hyperlink" Target="https://mn.gov/sentencing-guidelines/assets/2025_Standard_Grid_4A_Minn_Sentencing_Guidelines_Commentary_tcm30-700144.pdf" TargetMode="External"/><Relationship Id="rId83" Type="http://schemas.openxmlformats.org/officeDocument/2006/relationships/hyperlink" Target="https://doi.org/10.2307/1143193" TargetMode="External"/><Relationship Id="rId88" Type="http://schemas.openxmlformats.org/officeDocument/2006/relationships/hyperlink" Target="https://doi.org/10.2307/2094764" TargetMode="External"/><Relationship Id="rId91" Type="http://schemas.openxmlformats.org/officeDocument/2006/relationships/hyperlink" Target="https://doi.org/10.1111/1745-9125.12047" TargetMode="External"/><Relationship Id="rId96" Type="http://schemas.openxmlformats.org/officeDocument/2006/relationships/hyperlink" Target="https://doi.org/10.1086/44925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bjs.ojp.gov/federal-criminal-case-processing-statistics-fccps-tool-supplementary-info" TargetMode="External"/><Relationship Id="rId23" Type="http://schemas.openxmlformats.org/officeDocument/2006/relationships/hyperlink" Target="https://mn.gov/msgc-stat/documents/reports/2017/UpdatedMSGC2017AnnualSummaryStatistics.pdf" TargetMode="External"/><Relationship Id="rId28" Type="http://schemas.openxmlformats.org/officeDocument/2006/relationships/hyperlink" Target="https://doi.org/10.1177/001112877702300104" TargetMode="External"/><Relationship Id="rId36" Type="http://schemas.openxmlformats.org/officeDocument/2006/relationships/hyperlink" Target="https://openlibrary.org/books/OL21306189M/Criminal_behavior_systems" TargetMode="External"/><Relationship Id="rId49" Type="http://schemas.openxmlformats.org/officeDocument/2006/relationships/hyperlink" Target="https://archive.org/details/doingjusticechoi0000vonh" TargetMode="External"/><Relationship Id="rId57" Type="http://schemas.openxmlformats.org/officeDocument/2006/relationships/hyperlink" Target="https://www.revisor.mn.gov/statutes/cite/609.185" TargetMode="External"/><Relationship Id="rId10" Type="http://schemas.openxmlformats.org/officeDocument/2006/relationships/hyperlink" Target="https://doi.org/10.1111/test.12331" TargetMode="External"/><Relationship Id="rId31" Type="http://schemas.openxmlformats.org/officeDocument/2006/relationships/hyperlink" Target="https://www.itl.nist.gov/div898/handbook/eda/eda.htm" TargetMode="External"/><Relationship Id="rId44" Type="http://schemas.openxmlformats.org/officeDocument/2006/relationships/hyperlink" Target="https://doi.org/10.1086/374403" TargetMode="External"/><Relationship Id="rId52" Type="http://schemas.openxmlformats.org/officeDocument/2006/relationships/hyperlink" Target="https://doi.org/10.2307/799220" TargetMode="External"/><Relationship Id="rId60" Type="http://schemas.openxmlformats.org/officeDocument/2006/relationships/hyperlink" Target="https://www.lrl.mn.gov/docs/2014/other/141024.pdf?utm_source=chatgpt.com" TargetMode="External"/><Relationship Id="rId65" Type="http://schemas.openxmlformats.org/officeDocument/2006/relationships/hyperlink" Target="https://mn.gov/sentencing-guidelines/assets/Drug5_2%281%29_tcm30-696864.pdf?utm_source=chatgpt.com" TargetMode="External"/><Relationship Id="rId73" Type="http://schemas.openxmlformats.org/officeDocument/2006/relationships/hyperlink" Target="https://www.revisor.mn.gov/statutes/cite/609.135" TargetMode="External"/><Relationship Id="rId78" Type="http://schemas.openxmlformats.org/officeDocument/2006/relationships/hyperlink" Target="https://doi.org/10.1093/qje/qjs014" TargetMode="External"/><Relationship Id="rId81" Type="http://schemas.openxmlformats.org/officeDocument/2006/relationships/hyperlink" Target="https://doi.org/10.1257/0002828042002561" TargetMode="External"/><Relationship Id="rId86" Type="http://schemas.openxmlformats.org/officeDocument/2006/relationships/hyperlink" Target="https://doi.org/10.1007/s10940-007-9024-4" TargetMode="External"/><Relationship Id="rId94" Type="http://schemas.openxmlformats.org/officeDocument/2006/relationships/hyperlink" Target="https://doi.org/10.1086/677255" TargetMode="External"/><Relationship Id="rId99" Type="http://schemas.openxmlformats.org/officeDocument/2006/relationships/hyperlink" Target="https://doi.org/10.1080/07418825.2011.624115" TargetMode="External"/><Relationship Id="rId10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10.5070/T572013891" TargetMode="External"/><Relationship Id="rId13" Type="http://schemas.openxmlformats.org/officeDocument/2006/relationships/hyperlink" Target="https://aisp.upenn.edu/wp-content/uploads/2015/06/Data-Quality-Paper_Final.pdf" TargetMode="External"/><Relationship Id="rId18" Type="http://schemas.openxmlformats.org/officeDocument/2006/relationships/hyperlink" Target="https://doi.org/10.1016/j.ssresearch.2016.04.015" TargetMode="External"/><Relationship Id="rId39" Type="http://schemas.openxmlformats.org/officeDocument/2006/relationships/hyperlink" Target="https://doi.org/10.1086/501089" TargetMode="External"/><Relationship Id="rId34" Type="http://schemas.openxmlformats.org/officeDocument/2006/relationships/hyperlink" Target="https://doi.org/10.7551/mitpress/6352.001.0001" TargetMode="External"/><Relationship Id="rId50" Type="http://schemas.openxmlformats.org/officeDocument/2006/relationships/hyperlink" Target="https://doi.org/10.4159/9780674045200" TargetMode="External"/><Relationship Id="rId55" Type="http://schemas.openxmlformats.org/officeDocument/2006/relationships/hyperlink" Target="https://www.revisor.mn.gov/statutes/cite/244.10" TargetMode="External"/><Relationship Id="rId76" Type="http://schemas.openxmlformats.org/officeDocument/2006/relationships/hyperlink" Target="https://mn.gov/sentencing-guidelines/assets/2026-Minn-Sentencing-Guidelines-Comm-Report-to-the-Legislature_tcm30-719777.pdf" TargetMode="External"/><Relationship Id="rId97" Type="http://schemas.openxmlformats.org/officeDocument/2006/relationships/hyperlink" Target="https://doi.org/10.1111/j.1745-9125.1998.tb01265.x" TargetMode="External"/><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www.revisor.mn.gov/statutes/cite/244.101" TargetMode="External"/><Relationship Id="rId92" Type="http://schemas.openxmlformats.org/officeDocument/2006/relationships/hyperlink" Target="https://doi.org/10.17226/10887" TargetMode="External"/><Relationship Id="rId2" Type="http://schemas.openxmlformats.org/officeDocument/2006/relationships/numbering" Target="numbering.xml"/><Relationship Id="rId29" Type="http://schemas.openxmlformats.org/officeDocument/2006/relationships/hyperlink" Target="https://mn.gov/sentencing-guidelines/educationtraining/education/definitions/" TargetMode="External"/><Relationship Id="rId24" Type="http://schemas.openxmlformats.org/officeDocument/2006/relationships/hyperlink" Target="https://mn.gov/sentencing-guidelines/assets/2023_MSGC_Annual_Summary_Statistics_tcm30-680133.pdf" TargetMode="External"/><Relationship Id="rId40" Type="http://schemas.openxmlformats.org/officeDocument/2006/relationships/hyperlink" Target="https://ccresourcecenter.org/national-snap-tanf-drug-felony-study/" TargetMode="External"/><Relationship Id="rId45" Type="http://schemas.openxmlformats.org/officeDocument/2006/relationships/hyperlink" Target="https://www.congress.gov/104/plaws/publ193/PLAW-104publ193.pdf" TargetMode="External"/><Relationship Id="rId66" Type="http://schemas.openxmlformats.org/officeDocument/2006/relationships/hyperlink" Target="https://mn.gov/sentencing-guidelines/assets/2024_Minn_Sentencing_Guidelines_Commentary_tcm30-639154.pdf" TargetMode="External"/><Relationship Id="rId87" Type="http://schemas.openxmlformats.org/officeDocument/2006/relationships/hyperlink" Target="https://doi.org/10.1146/annurev-soc-071913-043455" TargetMode="External"/><Relationship Id="rId61" Type="http://schemas.openxmlformats.org/officeDocument/2006/relationships/hyperlink" Target="https://mn.gov/msgc-stat/documents/Guidelines/2019/MinnSentencingGuidelinesCommentary.pdf" TargetMode="External"/><Relationship Id="rId82" Type="http://schemas.openxmlformats.org/officeDocument/2006/relationships/hyperlink" Target="https://doi.org/10.1126/science.187.4175.398" TargetMode="External"/><Relationship Id="rId19" Type="http://schemas.openxmlformats.org/officeDocument/2006/relationships/hyperlink" Target="https://www.fbi.gov/how-we-can-help-you/more-fbi-services-and-information/ucr/nibrs" TargetMode="External"/><Relationship Id="rId14" Type="http://schemas.openxmlformats.org/officeDocument/2006/relationships/hyperlink" Target="https://doi.org/10.1177/000271626737400102" TargetMode="External"/><Relationship Id="rId30" Type="http://schemas.openxmlformats.org/officeDocument/2006/relationships/hyperlink" Target="https://mn.gov/sentencing-guidelines/educationtraining/education/grids/" TargetMode="External"/><Relationship Id="rId35" Type="http://schemas.openxmlformats.org/officeDocument/2006/relationships/hyperlink" Target="https://www.jstor.org/stable/41511317" TargetMode="External"/><Relationship Id="rId56" Type="http://schemas.openxmlformats.org/officeDocument/2006/relationships/hyperlink" Target="https://www.revisor.mn.gov/statutes/cite/609.135" TargetMode="External"/><Relationship Id="rId77" Type="http://schemas.openxmlformats.org/officeDocument/2006/relationships/hyperlink" Target="https://doi.org/10.1086/666006" TargetMode="External"/><Relationship Id="rId100" Type="http://schemas.openxmlformats.org/officeDocument/2006/relationships/header" Target="header1.xml"/><Relationship Id="rId8" Type="http://schemas.openxmlformats.org/officeDocument/2006/relationships/hyperlink" Target="https://doi.org/10.1177/14757257251342910" TargetMode="External"/><Relationship Id="rId51" Type="http://schemas.openxmlformats.org/officeDocument/2006/relationships/hyperlink" Target="https://doi.org/10.1086/655354" TargetMode="External"/><Relationship Id="rId72" Type="http://schemas.openxmlformats.org/officeDocument/2006/relationships/hyperlink" Target="https://www.revisor.mn.gov/statutes/cite/609.13" TargetMode="External"/><Relationship Id="rId93" Type="http://schemas.openxmlformats.org/officeDocument/2006/relationships/hyperlink" Target="https://doi.org/10.1086/374403" TargetMode="External"/><Relationship Id="rId98" Type="http://schemas.openxmlformats.org/officeDocument/2006/relationships/hyperlink" Target="https://doi.org/10.1086/588492" TargetMode="Externa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FD499EC39E4443809FA418D4CDC836"/>
        <w:category>
          <w:name w:val="General"/>
          <w:gallery w:val="placeholder"/>
        </w:category>
        <w:types>
          <w:type w:val="bbPlcHdr"/>
        </w:types>
        <w:behaviors>
          <w:behavior w:val="content"/>
        </w:behaviors>
        <w:guid w:val="{C4310F36-4988-4F19-8330-26E1DD3C3CDC}"/>
      </w:docPartPr>
      <w:docPartBody>
        <w:p w:rsidR="00E03104" w:rsidRDefault="005F77D5" w:rsidP="005F77D5">
          <w:pPr>
            <w:pStyle w:val="7AFD499EC39E4443809FA418D4CDC836"/>
          </w:pPr>
          <w:r>
            <w:rPr>
              <w:rStyle w:val="PlaceholderText"/>
            </w:rPr>
            <w:t>[Author name]</w:t>
          </w:r>
        </w:p>
      </w:docPartBody>
    </w:docPart>
    <w:docPart>
      <w:docPartPr>
        <w:name w:val="C16D2E3748FF4591A887D1D20E2CFE93"/>
        <w:category>
          <w:name w:val="General"/>
          <w:gallery w:val="placeholder"/>
        </w:category>
        <w:types>
          <w:type w:val="bbPlcHdr"/>
        </w:types>
        <w:behaviors>
          <w:behavior w:val="content"/>
        </w:behaviors>
        <w:guid w:val="{1C662890-552C-4535-8B03-32205A3C7A6A}"/>
      </w:docPartPr>
      <w:docPartBody>
        <w:p w:rsidR="00E03104" w:rsidRDefault="005F77D5" w:rsidP="005F77D5">
          <w:pPr>
            <w:pStyle w:val="C16D2E3748FF4591A887D1D20E2CFE93"/>
          </w:pPr>
          <w:r>
            <w:rPr>
              <w:rStyle w:val="PlaceholderText"/>
            </w:rPr>
            <w:t>[Date]</w:t>
          </w:r>
        </w:p>
      </w:docPartBody>
    </w:docPart>
    <w:docPart>
      <w:docPartPr>
        <w:name w:val="5EBE17933DC94E4C8A8C36602BEEDE7C"/>
        <w:category>
          <w:name w:val="General"/>
          <w:gallery w:val="placeholder"/>
        </w:category>
        <w:types>
          <w:type w:val="bbPlcHdr"/>
        </w:types>
        <w:behaviors>
          <w:behavior w:val="content"/>
        </w:behaviors>
        <w:guid w:val="{952A6DC2-F295-42BD-8AE0-7EE2F6CC7502}"/>
      </w:docPartPr>
      <w:docPartBody>
        <w:p w:rsidR="00E03104" w:rsidRDefault="005F77D5" w:rsidP="005F77D5">
          <w:pPr>
            <w:pStyle w:val="5EBE17933DC94E4C8A8C36602BEEDE7C"/>
          </w:pPr>
          <w:r>
            <w:rPr>
              <w:color w:val="0E2841" w:themeColor="text2"/>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7D5"/>
    <w:rsid w:val="00515617"/>
    <w:rsid w:val="005F77D5"/>
    <w:rsid w:val="00E03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F77D5"/>
    <w:rPr>
      <w:color w:val="808080"/>
    </w:rPr>
  </w:style>
  <w:style w:type="paragraph" w:customStyle="1" w:styleId="7AFD499EC39E4443809FA418D4CDC836">
    <w:name w:val="7AFD499EC39E4443809FA418D4CDC836"/>
    <w:rsid w:val="005F77D5"/>
  </w:style>
  <w:style w:type="paragraph" w:customStyle="1" w:styleId="C16D2E3748FF4591A887D1D20E2CFE93">
    <w:name w:val="C16D2E3748FF4591A887D1D20E2CFE93"/>
    <w:rsid w:val="005F77D5"/>
  </w:style>
  <w:style w:type="paragraph" w:customStyle="1" w:styleId="5EBE17933DC94E4C8A8C36602BEEDE7C">
    <w:name w:val="5EBE17933DC94E4C8A8C36602BEEDE7C"/>
    <w:rsid w:val="005F77D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7DE788-6C3C-4932-9D9C-B94BB38D2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14781</TotalTime>
  <Pages>178</Pages>
  <Words>46610</Words>
  <Characters>265680</Characters>
  <Application>Microsoft Office Word</Application>
  <DocSecurity>0</DocSecurity>
  <Lines>2214</Lines>
  <Paragraphs>623</Paragraphs>
  <ScaleCrop>false</ScaleCrop>
  <HeadingPairs>
    <vt:vector size="2" baseType="variant">
      <vt:variant>
        <vt:lpstr>Title</vt:lpstr>
      </vt:variant>
      <vt:variant>
        <vt:i4>1</vt:i4>
      </vt:variant>
    </vt:vector>
  </HeadingPairs>
  <TitlesOfParts>
    <vt:vector size="1" baseType="lpstr">
      <vt:lpstr>Senior Thesis</vt:lpstr>
    </vt:vector>
  </TitlesOfParts>
  <Company/>
  <LinksUpToDate>false</LinksUpToDate>
  <CharactersWithSpaces>311667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 Thesis</dc:title>
  <dc:subject/>
  <dc:creator>Sidney Allen</dc:creator>
  <cp:keywords/>
  <dc:description/>
  <cp:lastModifiedBy>Ridout, Alex</cp:lastModifiedBy>
  <cp:revision>3</cp:revision>
  <cp:lastPrinted>2026-07-13T00:49:00Z</cp:lastPrinted>
  <dcterms:created xsi:type="dcterms:W3CDTF">2026-07-13T01:11:00Z</dcterms:created>
  <dcterms:modified xsi:type="dcterms:W3CDTF">2026-07-26T20:56:00Z</dcterms:modified>
</cp:coreProperties>
</file>