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BDCB4" w14:textId="77777777" w:rsidR="00533C05" w:rsidRPr="00420BAC" w:rsidRDefault="00533C05" w:rsidP="00533C05">
      <w:pPr>
        <w:spacing w:line="240" w:lineRule="auto"/>
        <w:rPr>
          <w:sz w:val="2"/>
        </w:rPr>
        <w:sectPr w:rsidR="00533C05" w:rsidRPr="00420BAC" w:rsidSect="00715DD1">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420BAC">
        <w:rPr>
          <w:rStyle w:val="CommentReference"/>
        </w:rPr>
        <w:commentReference w:id="0"/>
      </w:r>
    </w:p>
    <w:p w14:paraId="1B82B427" w14:textId="77777777" w:rsidR="00715DD1" w:rsidRPr="009A4BD3" w:rsidRDefault="00715DD1" w:rsidP="00715DD1">
      <w:pPr>
        <w:spacing w:line="240" w:lineRule="auto"/>
        <w:rPr>
          <w:sz w:val="2"/>
        </w:rPr>
        <w:sectPr w:rsidR="00715DD1" w:rsidRPr="009A4BD3" w:rsidSect="00715DD1">
          <w:headerReference w:type="even" r:id="rId19"/>
          <w:headerReference w:type="default" r:id="rId20"/>
          <w:footerReference w:type="even" r:id="rId21"/>
          <w:footerReference w:type="default" r:id="rId22"/>
          <w:headerReference w:type="first" r:id="rId23"/>
          <w:footerReference w:type="first" r:id="rId24"/>
          <w:endnotePr>
            <w:numFmt w:val="decimal"/>
          </w:endnotePr>
          <w:type w:val="continuous"/>
          <w:pgSz w:w="12240" w:h="15840"/>
          <w:pgMar w:top="1440" w:right="1200" w:bottom="1728" w:left="1200" w:header="432" w:footer="504" w:gutter="0"/>
          <w:cols w:space="720"/>
          <w:titlePg/>
          <w:docGrid w:linePitch="360"/>
        </w:sectPr>
      </w:pPr>
    </w:p>
    <w:tbl>
      <w:tblPr>
        <w:tblW w:w="9850" w:type="dxa"/>
        <w:tblLayout w:type="fixed"/>
        <w:tblCellMar>
          <w:left w:w="0" w:type="dxa"/>
          <w:right w:w="0" w:type="dxa"/>
        </w:tblCellMar>
        <w:tblLook w:val="0000" w:firstRow="0" w:lastRow="0" w:firstColumn="0" w:lastColumn="0" w:noHBand="0" w:noVBand="0"/>
      </w:tblPr>
      <w:tblGrid>
        <w:gridCol w:w="5472"/>
        <w:gridCol w:w="288"/>
        <w:gridCol w:w="4090"/>
      </w:tblGrid>
      <w:tr w:rsidR="00715DD1" w:rsidRPr="009A4BD3" w14:paraId="77958315" w14:textId="77777777" w:rsidTr="00FA06D1">
        <w:tc>
          <w:tcPr>
            <w:tcW w:w="5472" w:type="dxa"/>
            <w:shd w:val="clear" w:color="auto" w:fill="auto"/>
          </w:tcPr>
          <w:p w14:paraId="00460274" w14:textId="77777777" w:rsidR="00715DD1" w:rsidRPr="009A4BD3" w:rsidRDefault="00715DD1" w:rsidP="00FA06D1">
            <w:pPr>
              <w:pStyle w:val="Session"/>
              <w:rPr>
                <w:lang w:val="en-GB"/>
              </w:rPr>
            </w:pPr>
            <w:r>
              <w:rPr>
                <w:lang w:val="en-GB"/>
              </w:rPr>
              <w:t>Seventy-eighth session</w:t>
            </w:r>
          </w:p>
        </w:tc>
        <w:tc>
          <w:tcPr>
            <w:tcW w:w="288" w:type="dxa"/>
            <w:shd w:val="clear" w:color="auto" w:fill="auto"/>
          </w:tcPr>
          <w:p w14:paraId="18D8DE28" w14:textId="77777777" w:rsidR="00715DD1" w:rsidRPr="009A4BD3" w:rsidRDefault="00715DD1" w:rsidP="00FA06D1">
            <w:pPr>
              <w:pStyle w:val="H23"/>
              <w:rPr>
                <w:lang w:val="en-GB"/>
              </w:rPr>
            </w:pPr>
          </w:p>
        </w:tc>
        <w:tc>
          <w:tcPr>
            <w:tcW w:w="4090" w:type="dxa"/>
            <w:shd w:val="clear" w:color="auto" w:fill="auto"/>
          </w:tcPr>
          <w:p w14:paraId="52CF58FB" w14:textId="77777777" w:rsidR="00715DD1" w:rsidRPr="009A4BD3" w:rsidRDefault="00715DD1" w:rsidP="00FA06D1">
            <w:pPr>
              <w:pStyle w:val="H23"/>
              <w:rPr>
                <w:lang w:val="en-GB"/>
              </w:rPr>
            </w:pPr>
          </w:p>
        </w:tc>
      </w:tr>
      <w:tr w:rsidR="00715DD1" w:rsidRPr="009A4BD3" w14:paraId="12921B97" w14:textId="77777777" w:rsidTr="00FA06D1">
        <w:tc>
          <w:tcPr>
            <w:tcW w:w="5472" w:type="dxa"/>
            <w:shd w:val="clear" w:color="auto" w:fill="auto"/>
          </w:tcPr>
          <w:p w14:paraId="3DD2B03E" w14:textId="77777777" w:rsidR="00715DD1" w:rsidRPr="009A4BD3" w:rsidRDefault="00715DD1" w:rsidP="00FA06D1">
            <w:pPr>
              <w:pStyle w:val="AgendaItemNormal"/>
            </w:pPr>
            <w:r w:rsidRPr="009A4BD3">
              <w:t xml:space="preserve">Agenda item </w:t>
            </w:r>
            <w:r>
              <w:t>62</w:t>
            </w:r>
          </w:p>
        </w:tc>
        <w:tc>
          <w:tcPr>
            <w:tcW w:w="288" w:type="dxa"/>
            <w:shd w:val="clear" w:color="auto" w:fill="auto"/>
          </w:tcPr>
          <w:p w14:paraId="56C01EDA" w14:textId="77777777" w:rsidR="00715DD1" w:rsidRPr="009A4BD3" w:rsidRDefault="00715DD1" w:rsidP="00FA06D1">
            <w:pPr>
              <w:pStyle w:val="H23"/>
              <w:rPr>
                <w:lang w:val="en-GB"/>
              </w:rPr>
            </w:pPr>
          </w:p>
        </w:tc>
        <w:tc>
          <w:tcPr>
            <w:tcW w:w="4090" w:type="dxa"/>
            <w:shd w:val="clear" w:color="auto" w:fill="auto"/>
          </w:tcPr>
          <w:p w14:paraId="236C735A" w14:textId="77777777" w:rsidR="00715DD1" w:rsidRPr="009A4BD3" w:rsidRDefault="00715DD1" w:rsidP="00FA06D1">
            <w:pPr>
              <w:pStyle w:val="H23"/>
              <w:rPr>
                <w:lang w:val="en-GB"/>
              </w:rPr>
            </w:pPr>
          </w:p>
        </w:tc>
      </w:tr>
      <w:tr w:rsidR="00715DD1" w:rsidRPr="009A4BD3" w14:paraId="5E0D1D45" w14:textId="77777777" w:rsidTr="00FA06D1">
        <w:tc>
          <w:tcPr>
            <w:tcW w:w="5472" w:type="dxa"/>
            <w:shd w:val="clear" w:color="auto" w:fill="auto"/>
          </w:tcPr>
          <w:p w14:paraId="0A3925CF" w14:textId="2CF0A72C" w:rsidR="00715DD1" w:rsidRPr="009A4BD3" w:rsidRDefault="00715DD1" w:rsidP="00FA06D1">
            <w:pPr>
              <w:pStyle w:val="AgendaTitleH2"/>
              <w:ind w:right="0"/>
            </w:pPr>
            <w:r>
              <w:t>The situation in the temporarily occupied territories of Ukraine</w:t>
            </w:r>
          </w:p>
          <w:p w14:paraId="4D6C2148" w14:textId="77777777" w:rsidR="00715DD1" w:rsidRPr="009A4BD3" w:rsidRDefault="00715DD1" w:rsidP="00FA06D1">
            <w:pPr>
              <w:spacing w:line="240" w:lineRule="auto"/>
              <w:rPr>
                <w:sz w:val="2"/>
              </w:rPr>
            </w:pPr>
          </w:p>
        </w:tc>
        <w:tc>
          <w:tcPr>
            <w:tcW w:w="288" w:type="dxa"/>
            <w:shd w:val="clear" w:color="auto" w:fill="auto"/>
          </w:tcPr>
          <w:p w14:paraId="4845B201" w14:textId="77777777" w:rsidR="00715DD1" w:rsidRPr="009A4BD3" w:rsidRDefault="00715DD1" w:rsidP="00FA06D1">
            <w:pPr>
              <w:pStyle w:val="H23"/>
              <w:rPr>
                <w:lang w:val="en-GB"/>
              </w:rPr>
            </w:pPr>
          </w:p>
        </w:tc>
        <w:tc>
          <w:tcPr>
            <w:tcW w:w="4090" w:type="dxa"/>
            <w:shd w:val="clear" w:color="auto" w:fill="auto"/>
          </w:tcPr>
          <w:p w14:paraId="34CAAAF4" w14:textId="77777777" w:rsidR="00715DD1" w:rsidRPr="009A4BD3" w:rsidRDefault="00715DD1" w:rsidP="00FA06D1">
            <w:pPr>
              <w:pStyle w:val="H23"/>
              <w:rPr>
                <w:lang w:val="en-GB"/>
              </w:rPr>
            </w:pPr>
          </w:p>
        </w:tc>
      </w:tr>
    </w:tbl>
    <w:p w14:paraId="3828B69C" w14:textId="77777777" w:rsidR="00715DD1" w:rsidRPr="00590CDC" w:rsidRDefault="00715DD1" w:rsidP="00715DD1">
      <w:pPr>
        <w:pStyle w:val="SingleTxt"/>
        <w:spacing w:after="0" w:line="120" w:lineRule="atLeast"/>
        <w:rPr>
          <w:sz w:val="10"/>
        </w:rPr>
      </w:pPr>
    </w:p>
    <w:p w14:paraId="0CF250A6" w14:textId="77777777" w:rsidR="00715DD1" w:rsidRPr="00590CDC" w:rsidRDefault="00715DD1" w:rsidP="00715DD1">
      <w:pPr>
        <w:pStyle w:val="SingleTxt"/>
        <w:spacing w:after="0" w:line="120" w:lineRule="atLeast"/>
        <w:rPr>
          <w:sz w:val="10"/>
        </w:rPr>
      </w:pPr>
    </w:p>
    <w:p w14:paraId="470C98D7" w14:textId="77777777" w:rsidR="00715DD1" w:rsidRPr="00590CDC" w:rsidRDefault="00715DD1" w:rsidP="00715DD1">
      <w:pPr>
        <w:pStyle w:val="SingleTxt"/>
        <w:spacing w:after="0" w:line="120" w:lineRule="atLeast"/>
        <w:rPr>
          <w:sz w:val="10"/>
        </w:rPr>
      </w:pPr>
    </w:p>
    <w:p w14:paraId="49505436" w14:textId="43E353AA" w:rsidR="00715DD1" w:rsidRDefault="00715DD1" w:rsidP="004A7B5F">
      <w:pPr>
        <w:pStyle w:val="TitleHCH"/>
        <w:ind w:left="1267" w:right="1260" w:hanging="1267"/>
      </w:pPr>
      <w:r>
        <w:tab/>
      </w:r>
      <w:r>
        <w:tab/>
        <w:t>Resolution adopted by the General Assembly on 11</w:t>
      </w:r>
      <w:r w:rsidR="004A7B5F">
        <w:t> </w:t>
      </w:r>
      <w:r>
        <w:t>July</w:t>
      </w:r>
      <w:r w:rsidR="004A7B5F">
        <w:t> </w:t>
      </w:r>
      <w:r>
        <w:t>2024</w:t>
      </w:r>
    </w:p>
    <w:p w14:paraId="29BB68DF" w14:textId="77777777" w:rsidR="00715DD1" w:rsidRPr="00590CDC" w:rsidRDefault="00715DD1" w:rsidP="00715DD1">
      <w:pPr>
        <w:pStyle w:val="SingleTxt"/>
        <w:spacing w:after="0" w:line="120" w:lineRule="atLeast"/>
        <w:rPr>
          <w:sz w:val="10"/>
        </w:rPr>
      </w:pPr>
    </w:p>
    <w:p w14:paraId="15B2F0E8" w14:textId="77777777" w:rsidR="00715DD1" w:rsidRPr="00590CDC" w:rsidRDefault="00715DD1" w:rsidP="00715DD1">
      <w:pPr>
        <w:pStyle w:val="SingleTxt"/>
        <w:spacing w:after="0" w:line="120" w:lineRule="atLeast"/>
        <w:rPr>
          <w:sz w:val="10"/>
        </w:rPr>
      </w:pPr>
    </w:p>
    <w:p w14:paraId="0CD0A91C" w14:textId="323E3AD4" w:rsidR="00715DD1" w:rsidRDefault="00715DD1" w:rsidP="00715DD1">
      <w:pPr>
        <w:pStyle w:val="H4"/>
        <w:ind w:right="1260"/>
      </w:pPr>
      <w:r>
        <w:tab/>
      </w:r>
      <w:r>
        <w:tab/>
      </w:r>
      <w:r w:rsidRPr="00590CDC">
        <w:rPr>
          <w:i w:val="0"/>
        </w:rPr>
        <w:t>[</w:t>
      </w:r>
      <w:r>
        <w:t>without reference to a Main Committee</w:t>
      </w:r>
      <w:r w:rsidRPr="00EF685D">
        <w:t xml:space="preserve"> </w:t>
      </w:r>
      <w:r>
        <w:t>(</w:t>
      </w:r>
      <w:hyperlink r:id="rId25" w:history="1">
        <w:r>
          <w:rPr>
            <w:rStyle w:val="Hyperlink"/>
          </w:rPr>
          <w:t>A/78/L.90</w:t>
        </w:r>
      </w:hyperlink>
      <w:r>
        <w:t>)</w:t>
      </w:r>
      <w:r w:rsidRPr="00590CDC">
        <w:rPr>
          <w:i w:val="0"/>
        </w:rPr>
        <w:t>]</w:t>
      </w:r>
    </w:p>
    <w:p w14:paraId="3BF44CD2" w14:textId="77777777" w:rsidR="00715DD1" w:rsidRPr="00590CDC" w:rsidRDefault="00715DD1" w:rsidP="00715DD1">
      <w:pPr>
        <w:pStyle w:val="SingleTxt"/>
        <w:spacing w:after="0" w:line="120" w:lineRule="atLeast"/>
        <w:rPr>
          <w:sz w:val="10"/>
        </w:rPr>
      </w:pPr>
    </w:p>
    <w:p w14:paraId="2633F03A" w14:textId="77777777" w:rsidR="00715DD1" w:rsidRPr="00590CDC" w:rsidRDefault="00715DD1" w:rsidP="00715DD1">
      <w:pPr>
        <w:pStyle w:val="SingleTxt"/>
        <w:spacing w:after="0" w:line="120" w:lineRule="atLeast"/>
        <w:rPr>
          <w:sz w:val="10"/>
        </w:rPr>
      </w:pPr>
    </w:p>
    <w:p w14:paraId="3193B60A" w14:textId="105091C8" w:rsidR="00715DD1" w:rsidRPr="00E81E8B" w:rsidRDefault="00715DD1" w:rsidP="00C27BCF">
      <w:pPr>
        <w:pStyle w:val="Title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TT"/>
        </w:rPr>
      </w:pPr>
      <w:r>
        <w:tab/>
      </w:r>
      <w:r w:rsidRPr="00D71CAC">
        <w:t>7</w:t>
      </w:r>
      <w:r>
        <w:t>8</w:t>
      </w:r>
      <w:r w:rsidRPr="00D71CAC">
        <w:t>/</w:t>
      </w:r>
      <w:r>
        <w:t>316.</w:t>
      </w:r>
      <w:r>
        <w:tab/>
        <w:t>Safety and security of nuclear facilities of Ukraine, including the Zaporizhzhia nuclear power plant</w:t>
      </w:r>
    </w:p>
    <w:p w14:paraId="0ABB76BA" w14:textId="77777777" w:rsidR="00715DD1" w:rsidRPr="00E81E8B" w:rsidRDefault="00715DD1" w:rsidP="00715DD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54C66FEC" w14:textId="77777777" w:rsidR="00715DD1" w:rsidRPr="00E81E8B" w:rsidRDefault="00715DD1" w:rsidP="00715DD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5BC08CF8" w14:textId="77777777" w:rsidR="00715DD1" w:rsidRDefault="00715DD1" w:rsidP="00715DD1">
      <w:pPr>
        <w:pStyle w:val="SingleTxt"/>
      </w:pPr>
      <w:r>
        <w:tab/>
      </w:r>
      <w:r>
        <w:rPr>
          <w:i/>
          <w:iCs/>
        </w:rPr>
        <w:t>The General Assembly</w:t>
      </w:r>
      <w:r>
        <w:t>,</w:t>
      </w:r>
    </w:p>
    <w:p w14:paraId="04ECF6F1" w14:textId="77777777" w:rsidR="00715DD1" w:rsidRDefault="00715DD1" w:rsidP="00715DD1">
      <w:pPr>
        <w:pStyle w:val="SingleTxt"/>
      </w:pPr>
      <w:r>
        <w:tab/>
      </w:r>
      <w:r>
        <w:rPr>
          <w:i/>
          <w:iCs/>
        </w:rPr>
        <w:t>Recalling</w:t>
      </w:r>
      <w:r>
        <w:t xml:space="preserve"> the purposes and principles enshrined in the Charter of the United Nations,</w:t>
      </w:r>
    </w:p>
    <w:p w14:paraId="11CA1DCC" w14:textId="77777777" w:rsidR="00715DD1" w:rsidRDefault="00715DD1" w:rsidP="00715DD1">
      <w:pPr>
        <w:pStyle w:val="SingleTxt"/>
      </w:pPr>
      <w:r>
        <w:tab/>
      </w:r>
      <w:r>
        <w:rPr>
          <w:i/>
          <w:iCs/>
        </w:rPr>
        <w:t>Recalling</w:t>
      </w:r>
      <w:r>
        <w:t xml:space="preserve"> </w:t>
      </w:r>
      <w:r>
        <w:rPr>
          <w:i/>
          <w:iCs/>
        </w:rPr>
        <w:t>also</w:t>
      </w:r>
      <w:r>
        <w:t xml:space="preserve"> the obligation of all States under Article 2 of the Charter of the United Nations to refrain in their international relations from the threat or use of force against the territorial integrity or political independence of any State, or in any other manner inconsistent with the purposes of the United Nations, and to settle their international disputes by peaceful means, and reaffirming that no territorial acquisition resulting from the threat or use of force shall be recognized as legal, </w:t>
      </w:r>
    </w:p>
    <w:p w14:paraId="11E5CEF7" w14:textId="77777777" w:rsidR="00715DD1" w:rsidRDefault="00715DD1" w:rsidP="00715DD1">
      <w:pPr>
        <w:pStyle w:val="SingleTxt"/>
      </w:pPr>
      <w:r>
        <w:tab/>
      </w:r>
      <w:r>
        <w:rPr>
          <w:i/>
          <w:iCs/>
        </w:rPr>
        <w:t>Recalling further</w:t>
      </w:r>
      <w:r>
        <w:t xml:space="preserve"> the order of provisional measures of the International Court of Justice of 16 March 2022,</w:t>
      </w:r>
      <w:r>
        <w:rPr>
          <w:rStyle w:val="FootnoteReference"/>
        </w:rPr>
        <w:footnoteReference w:id="1"/>
      </w:r>
    </w:p>
    <w:p w14:paraId="38418185" w14:textId="20F2407D" w:rsidR="00715DD1" w:rsidRDefault="00715DD1" w:rsidP="00715DD1">
      <w:pPr>
        <w:pStyle w:val="SingleTxt"/>
      </w:pPr>
      <w:r>
        <w:tab/>
      </w:r>
      <w:r>
        <w:rPr>
          <w:i/>
          <w:iCs/>
        </w:rPr>
        <w:t>Recalling</w:t>
      </w:r>
      <w:r>
        <w:t xml:space="preserve"> its relevant resolutions adopted at its eleventh emergency special session</w:t>
      </w:r>
      <w:r>
        <w:rPr>
          <w:rStyle w:val="FootnoteReference"/>
        </w:rPr>
        <w:footnoteReference w:id="2"/>
      </w:r>
      <w:r>
        <w:t xml:space="preserve"> as well as its resolutions </w:t>
      </w:r>
      <w:hyperlink r:id="rId26" w:history="1">
        <w:r>
          <w:rPr>
            <w:rStyle w:val="Hyperlink"/>
          </w:rPr>
          <w:t>68/262</w:t>
        </w:r>
      </w:hyperlink>
      <w:r>
        <w:t xml:space="preserve"> of 27 March 2014, </w:t>
      </w:r>
      <w:hyperlink r:id="rId27" w:history="1">
        <w:r>
          <w:rPr>
            <w:rStyle w:val="Hyperlink"/>
          </w:rPr>
          <w:t>78/8</w:t>
        </w:r>
      </w:hyperlink>
      <w:r>
        <w:t xml:space="preserve"> of 8 November 2023 and </w:t>
      </w:r>
      <w:hyperlink r:id="rId28" w:history="1">
        <w:r>
          <w:rPr>
            <w:rStyle w:val="Hyperlink"/>
          </w:rPr>
          <w:t>78/221</w:t>
        </w:r>
      </w:hyperlink>
      <w:r>
        <w:t xml:space="preserve"> of 19 December 2023, </w:t>
      </w:r>
    </w:p>
    <w:p w14:paraId="4412901A" w14:textId="77777777" w:rsidR="00715DD1" w:rsidRDefault="00715DD1" w:rsidP="00715DD1">
      <w:pPr>
        <w:pStyle w:val="SingleTxt"/>
      </w:pPr>
      <w:r>
        <w:tab/>
      </w:r>
      <w:r>
        <w:rPr>
          <w:i/>
          <w:iCs/>
        </w:rPr>
        <w:t>Condemning in the strongest terms</w:t>
      </w:r>
      <w:r>
        <w:t xml:space="preserve"> the aggression by the Russian Federation against Ukraine in violation of Article 2 (4) of the Charter, including the ongoing temporary control or occupation by the Russian Federation of part of the territory of Ukraine, including the Autonomous Republic of Crimea and the city of Sevastopol, and certain areas of the Kherson, Zaporizhzhia, Donetsk and Luhansk regions, and reaffirming that the attempted illegal annexation of these regions has no validity under </w:t>
      </w:r>
      <w:r>
        <w:lastRenderedPageBreak/>
        <w:t>international law and does not form the basis for any alteration of the status of these regions of Ukraine,</w:t>
      </w:r>
    </w:p>
    <w:p w14:paraId="172F058C" w14:textId="77777777" w:rsidR="00715DD1" w:rsidRDefault="00715DD1" w:rsidP="00715DD1">
      <w:pPr>
        <w:pStyle w:val="SingleTxt"/>
      </w:pPr>
      <w:r>
        <w:tab/>
      </w:r>
      <w:r>
        <w:rPr>
          <w:i/>
          <w:iCs/>
        </w:rPr>
        <w:t>Recalling</w:t>
      </w:r>
      <w:r>
        <w:t xml:space="preserve"> that attacks must not be directed against civilians or civilian objects, and recalling also article 56 (1) of Additional Protocol I of 1977 to the Geneva Conventions of 12 August 1949,</w:t>
      </w:r>
      <w:r>
        <w:rPr>
          <w:rStyle w:val="FootnoteReference"/>
        </w:rPr>
        <w:footnoteReference w:id="3"/>
      </w:r>
      <w:r>
        <w:t xml:space="preserve"> to which Ukraine and the Russian Federation are parties, which includes the provision that works or installations containing dangerous forces, namely dams, dykes and nuclear electrical generating stations, shall not be made the object of attack, even where these objects are military objectives, if such attack may cause the release of dangerous forces and consequent severe losses among the civilian population,</w:t>
      </w:r>
    </w:p>
    <w:p w14:paraId="01F48602" w14:textId="77777777" w:rsidR="00715DD1" w:rsidRDefault="00715DD1" w:rsidP="00715DD1">
      <w:pPr>
        <w:pStyle w:val="SingleTxt"/>
      </w:pPr>
      <w:r>
        <w:tab/>
      </w:r>
      <w:r>
        <w:rPr>
          <w:i/>
          <w:iCs/>
        </w:rPr>
        <w:t>Taking note</w:t>
      </w:r>
      <w:r>
        <w:t xml:space="preserve"> of decision GC(53)/DEC/13 of 18 September 2009 of the General Conference of the International Atomic Energy Agency, entitled “Prohibition of armed attack or threat of attack against nuclear installations, during operation or under construction”, as well as relevant resolutions of the General Conference of the Agency, </w:t>
      </w:r>
    </w:p>
    <w:p w14:paraId="1CC5AC68" w14:textId="77777777" w:rsidR="00715DD1" w:rsidRDefault="00715DD1" w:rsidP="00715DD1">
      <w:pPr>
        <w:pStyle w:val="SingleTxt"/>
      </w:pPr>
      <w:r>
        <w:tab/>
      </w:r>
      <w:r>
        <w:rPr>
          <w:i/>
          <w:iCs/>
        </w:rPr>
        <w:t>Taking note also</w:t>
      </w:r>
      <w:r>
        <w:t xml:space="preserve"> of resolution GC(67)/RES/16 of 28 September 2023, entitled “Nuclear safety, security and safeguards in Ukraine”, of the General Conference of the International Atomic Energy Agency, as well as resolutions GOV/2022/17 of 3 March 2022, GOV/2022/58 of 15 September 2022 and GOV/2022/71 of 17 November 2022, entitled “The safety, security and safeguards implications of the situation in Ukraine”, and GOV/2024/18 of 7 March 2024, entitled “Nuclear safety, security and safeguards in Ukraine”, of the Board of Governors of the Agency, </w:t>
      </w:r>
    </w:p>
    <w:p w14:paraId="6673D5AB" w14:textId="77777777" w:rsidR="00715DD1" w:rsidRDefault="00715DD1" w:rsidP="00715DD1">
      <w:pPr>
        <w:pStyle w:val="SingleTxt"/>
      </w:pPr>
      <w:r>
        <w:tab/>
      </w:r>
      <w:r>
        <w:rPr>
          <w:i/>
        </w:rPr>
        <w:t>Condemning</w:t>
      </w:r>
      <w:r>
        <w:t xml:space="preserve"> the attacks by the Russian Federation against critical energy infrastructure of Ukraine, which increases the risk of a nuclear accident or incident at all nuclear facilities of Ukraine,</w:t>
      </w:r>
    </w:p>
    <w:p w14:paraId="04D8E155" w14:textId="77777777" w:rsidR="00715DD1" w:rsidRDefault="00715DD1" w:rsidP="00715DD1">
      <w:pPr>
        <w:pStyle w:val="SingleTxt"/>
      </w:pPr>
      <w:r>
        <w:tab/>
      </w:r>
      <w:r>
        <w:rPr>
          <w:i/>
          <w:iCs/>
        </w:rPr>
        <w:t>Condemning also</w:t>
      </w:r>
      <w:r>
        <w:t xml:space="preserve"> the illegal and unprecedented forceful seizure of the Zaporizhzhia nuclear power plant of Ukraine, and stressing that it has been more than two years that Russian military and other unauthorized personnel have remained at the plant, and recalling that direct threats to the safety and security of the site and its civilian personnel significantly raise the risk of a nuclear accident or incident, which endangers the population of Ukraine, neighbouring States and the international community,</w:t>
      </w:r>
    </w:p>
    <w:p w14:paraId="0F49360D" w14:textId="77777777" w:rsidR="00715DD1" w:rsidRDefault="00715DD1" w:rsidP="00715DD1">
      <w:pPr>
        <w:pStyle w:val="SingleTxt"/>
      </w:pPr>
      <w:r>
        <w:tab/>
      </w:r>
      <w:r>
        <w:rPr>
          <w:i/>
          <w:iCs/>
        </w:rPr>
        <w:t>Expressing grave concern</w:t>
      </w:r>
      <w:r>
        <w:t xml:space="preserve"> over the precarious nuclear safety and security situation at the Zaporizhzhia nuclear power plant, and that all of the “seven indispensable pillars for ensuring nuclear safety and security during an armed conflict” of the Director General of the International Atomic Energy Agency have been “compromised either fully or partially” at the site, including the denial of access to Ukrainian operating personnel, gaps in routine maintenance activities, the lack of reliable supply chains, the vulnerable status of water and off-site power supply due to attacks on critical energy infrastructure, the planting of anti-personnel mines in a buffer zone between the facility’s internal and external fences, and other actions by Russian military and other unauthorized personnel present at the site, </w:t>
      </w:r>
    </w:p>
    <w:p w14:paraId="06AB3EBC" w14:textId="77777777" w:rsidR="00715DD1" w:rsidRDefault="00715DD1" w:rsidP="00715DD1">
      <w:pPr>
        <w:pStyle w:val="SingleTxt"/>
      </w:pPr>
      <w:r>
        <w:tab/>
      </w:r>
      <w:r>
        <w:rPr>
          <w:i/>
          <w:iCs/>
        </w:rPr>
        <w:t>Emphasizing</w:t>
      </w:r>
      <w:r>
        <w:t xml:space="preserve"> the importance of the International Atomic Energy Agency Director General’s “seven indispensable pillars for ensuring nuclear safety and security during an armed conflict”, derived from Agency safety standards and nuclear security guidance, and the five concrete principles to help to ensure nuclear safety and security at the Zaporizhzhia nuclear power plant, and stressing that the implementation of Agency safety standards and security guidance must be carried out in full respect of the sovereignty and territorial integrity of Ukraine,</w:t>
      </w:r>
    </w:p>
    <w:p w14:paraId="729253A3" w14:textId="77777777" w:rsidR="00715DD1" w:rsidRDefault="00715DD1" w:rsidP="00715DD1">
      <w:pPr>
        <w:pStyle w:val="SingleTxt"/>
      </w:pPr>
      <w:r>
        <w:lastRenderedPageBreak/>
        <w:tab/>
      </w:r>
      <w:r>
        <w:rPr>
          <w:i/>
          <w:iCs/>
        </w:rPr>
        <w:t>Taking note</w:t>
      </w:r>
      <w:r>
        <w:t xml:space="preserve"> of the Summit on Peace in Ukraine, held on 15 and 16 June 2024, at which it was, inter alia, emphasized that any use of nuclear energy and nuclear installations must be safe, secured, safeguarded and environmentally sound, and that Ukrainian nuclear power plants and installations, including the Zaporizhzhia nuclear power plant, must remain under full sovereign control of Ukraine in line with International Atomic Energy Agency principles,</w:t>
      </w:r>
    </w:p>
    <w:p w14:paraId="729F8DE5" w14:textId="77777777" w:rsidR="00715DD1" w:rsidRDefault="00715DD1" w:rsidP="00715DD1">
      <w:pPr>
        <w:pStyle w:val="SingleTxt"/>
      </w:pPr>
      <w:r>
        <w:tab/>
        <w:t>1.</w:t>
      </w:r>
      <w:r>
        <w:tab/>
      </w:r>
      <w:r>
        <w:rPr>
          <w:i/>
          <w:iCs/>
        </w:rPr>
        <w:t>Reaffirms its commitment</w:t>
      </w:r>
      <w:r>
        <w:t xml:space="preserve"> to the sovereignty, independence, unity and territorial integrity of Ukraine within its internationally recognized borders, extending to its territorial waters;</w:t>
      </w:r>
    </w:p>
    <w:p w14:paraId="6E1389CB" w14:textId="77777777" w:rsidR="00715DD1" w:rsidRDefault="00715DD1" w:rsidP="00715DD1">
      <w:pPr>
        <w:pStyle w:val="SingleTxt"/>
      </w:pPr>
      <w:r>
        <w:tab/>
        <w:t>2.</w:t>
      </w:r>
      <w:r>
        <w:tab/>
      </w:r>
      <w:r>
        <w:rPr>
          <w:i/>
          <w:iCs/>
        </w:rPr>
        <w:t>Demands</w:t>
      </w:r>
      <w:r>
        <w:t xml:space="preserve"> that the Russian Federation immediately cease its aggression against Ukraine and unconditionally withdraw all of its military forces from the territory of Ukraine within its internationally recognized borders;</w:t>
      </w:r>
    </w:p>
    <w:p w14:paraId="7E9A1778" w14:textId="77777777" w:rsidR="00715DD1" w:rsidRDefault="00715DD1" w:rsidP="00715DD1">
      <w:pPr>
        <w:pStyle w:val="SingleTxt"/>
      </w:pPr>
      <w:r>
        <w:tab/>
        <w:t>3.</w:t>
      </w:r>
      <w:r>
        <w:tab/>
      </w:r>
      <w:r>
        <w:rPr>
          <w:i/>
          <w:iCs/>
        </w:rPr>
        <w:t>Also demands</w:t>
      </w:r>
      <w:r>
        <w:t xml:space="preserve"> that the Russian Federation urgently withdraw its military and other unauthorized personnel from the Zaporizhzhia nuclear power plant and immediately return the plant to the full control of the sovereign and competent authorities of Ukraine to ensure its safety and security and in order for the International Atomic Energy Agency to conduct safe, efficient and effective safeguards implementation in accordance with the comprehensive safeguards agreement and additional protocol of Ukraine, consistent with the repeated calls by the General Conference and the Board of Governors of the Agency;</w:t>
      </w:r>
    </w:p>
    <w:p w14:paraId="788357FE" w14:textId="77777777" w:rsidR="00715DD1" w:rsidRDefault="00715DD1" w:rsidP="00715DD1">
      <w:pPr>
        <w:pStyle w:val="SingleTxt"/>
      </w:pPr>
      <w:r>
        <w:tab/>
        <w:t>4.</w:t>
      </w:r>
      <w:r>
        <w:tab/>
      </w:r>
      <w:r>
        <w:rPr>
          <w:i/>
          <w:iCs/>
        </w:rPr>
        <w:t>Condemns</w:t>
      </w:r>
      <w:r>
        <w:t xml:space="preserve"> the failure of the Russian Federation to implement relevant resolutions of the General Assembly and the General Conference and the Board of Governors of the International Atomic Energy Agency;</w:t>
      </w:r>
    </w:p>
    <w:p w14:paraId="61D39FC9" w14:textId="77777777" w:rsidR="00715DD1" w:rsidRDefault="00715DD1" w:rsidP="00715DD1">
      <w:pPr>
        <w:pStyle w:val="SingleTxt"/>
      </w:pPr>
      <w:r>
        <w:tab/>
        <w:t>5.</w:t>
      </w:r>
      <w:r>
        <w:tab/>
      </w:r>
      <w:r>
        <w:rPr>
          <w:i/>
          <w:iCs/>
        </w:rPr>
        <w:t>Calls for</w:t>
      </w:r>
      <w:r>
        <w:t xml:space="preserve"> immediate cessation of the attacks by the Russian Federation against critical energy infrastructure of Ukraine, which increase the risk of a nuclear accident or incident at all nuclear facilities of Ukraine;</w:t>
      </w:r>
    </w:p>
    <w:p w14:paraId="0EA5CD3F" w14:textId="77777777" w:rsidR="00715DD1" w:rsidRDefault="00715DD1" w:rsidP="00715DD1">
      <w:pPr>
        <w:pStyle w:val="SingleTxt"/>
      </w:pPr>
      <w:r>
        <w:tab/>
        <w:t>6.</w:t>
      </w:r>
      <w:r>
        <w:tab/>
      </w:r>
      <w:r>
        <w:rPr>
          <w:i/>
          <w:iCs/>
        </w:rPr>
        <w:t>Welcomes</w:t>
      </w:r>
      <w:r>
        <w:t xml:space="preserve"> and </w:t>
      </w:r>
      <w:r>
        <w:rPr>
          <w:i/>
          <w:iCs/>
        </w:rPr>
        <w:t>encourages</w:t>
      </w:r>
      <w:r>
        <w:t xml:space="preserve"> the continued efforts of the Director General of the International Atomic Energy Agency to address the risks to nuclear safety and security, as well as to safeguards implementation at the Zaporizhzhia nuclear power plant, caused by the aggression by the Russian Federation against Ukraine, including through the continued and reinforced physical presence of the International Atomic Energy Agency Support and Assistance Mission to Zaporizhzhia;</w:t>
      </w:r>
    </w:p>
    <w:p w14:paraId="09BF9A98" w14:textId="77777777" w:rsidR="00715DD1" w:rsidRDefault="00715DD1" w:rsidP="00715DD1">
      <w:pPr>
        <w:pStyle w:val="SingleTxt"/>
      </w:pPr>
      <w:r>
        <w:tab/>
        <w:t>7.</w:t>
      </w:r>
      <w:r>
        <w:tab/>
      </w:r>
      <w:r>
        <w:rPr>
          <w:i/>
          <w:iCs/>
        </w:rPr>
        <w:t>Calls upon</w:t>
      </w:r>
      <w:r>
        <w:t xml:space="preserve"> the Russian Federation, until it returns the Zaporizhzhia nuclear power plant of Ukraine to the full control of the sovereign and competent authorities of Ukraine, to provide the International Atomic Energy Agency Support and Assistance Mission to Zaporizhzhia with timely and full access to all areas at the plant that are important for nuclear safety and security in order to allow the Agency to report fully on the nuclear safety and security situation at the site;</w:t>
      </w:r>
    </w:p>
    <w:p w14:paraId="169A6F3F" w14:textId="77777777" w:rsidR="00715DD1" w:rsidRDefault="00715DD1" w:rsidP="00715DD1">
      <w:pPr>
        <w:pStyle w:val="SingleTxt"/>
      </w:pPr>
      <w:r>
        <w:tab/>
        <w:t>8.</w:t>
      </w:r>
      <w:r>
        <w:tab/>
      </w:r>
      <w:r>
        <w:rPr>
          <w:i/>
          <w:iCs/>
        </w:rPr>
        <w:t>Calls upon</w:t>
      </w:r>
      <w:r>
        <w:t xml:space="preserve"> all parties to the armed conflict to respect international humanitarian law in all circumstances;</w:t>
      </w:r>
    </w:p>
    <w:p w14:paraId="3DAA75F0" w14:textId="77777777" w:rsidR="00715DD1" w:rsidRDefault="00715DD1" w:rsidP="00715DD1">
      <w:pPr>
        <w:pStyle w:val="SingleTxt"/>
      </w:pPr>
      <w:r>
        <w:tab/>
        <w:t>9.</w:t>
      </w:r>
      <w:r>
        <w:tab/>
      </w:r>
      <w:r>
        <w:rPr>
          <w:i/>
          <w:iCs/>
        </w:rPr>
        <w:t>Also calls upon</w:t>
      </w:r>
      <w:r>
        <w:t xml:space="preserve"> all parties to the armed conflict to implement fully the “seven indispensable pillars for ensuring nuclear safety and security during an armed conflict” and the five concrete principles of the Director General of the International Atomic Energy Agency to help to ensure nuclear safety and security at the Zaporizhzhia nuclear power plant; </w:t>
      </w:r>
    </w:p>
    <w:p w14:paraId="4F7B5EEA" w14:textId="77777777" w:rsidR="00715DD1" w:rsidRDefault="00715DD1" w:rsidP="00715DD1">
      <w:pPr>
        <w:pStyle w:val="SingleTxt"/>
      </w:pPr>
      <w:r>
        <w:tab/>
        <w:t>10.</w:t>
      </w:r>
      <w:r>
        <w:tab/>
      </w:r>
      <w:r>
        <w:rPr>
          <w:i/>
          <w:iCs/>
        </w:rPr>
        <w:t>Urges</w:t>
      </w:r>
      <w:r>
        <w:t xml:space="preserve"> the Russian Federation to immediately remove all anti-personnel mines placed along the perimeter of the Zaporizhzhia nuclear power plant;</w:t>
      </w:r>
    </w:p>
    <w:p w14:paraId="4AF511F8" w14:textId="77777777" w:rsidR="00715DD1" w:rsidRDefault="00715DD1" w:rsidP="00715DD1">
      <w:pPr>
        <w:pStyle w:val="SingleTxt"/>
      </w:pPr>
      <w:r>
        <w:lastRenderedPageBreak/>
        <w:tab/>
        <w:t>11.</w:t>
      </w:r>
      <w:r>
        <w:tab/>
      </w:r>
      <w:r>
        <w:rPr>
          <w:i/>
          <w:iCs/>
        </w:rPr>
        <w:t>Calls upon</w:t>
      </w:r>
      <w:r>
        <w:t xml:space="preserve"> Member States to continue to support the efforts of the Director General of the International Atomic Energy Agency to uphold nuclear safety, security and safeguards implementation at all nuclear facilities in Ukraine;</w:t>
      </w:r>
    </w:p>
    <w:p w14:paraId="36BF4491" w14:textId="77777777" w:rsidR="00715DD1" w:rsidRDefault="00715DD1" w:rsidP="00715DD1">
      <w:pPr>
        <w:pStyle w:val="SingleTxt"/>
      </w:pPr>
      <w:r>
        <w:tab/>
        <w:t>12.</w:t>
      </w:r>
      <w:r>
        <w:tab/>
      </w:r>
      <w:r>
        <w:rPr>
          <w:i/>
          <w:iCs/>
        </w:rPr>
        <w:t>Requests</w:t>
      </w:r>
      <w:r>
        <w:t xml:space="preserve"> the Secretary-General to provide his good offices in close cooperation with the Director General of the International Atomic Energy Agency;</w:t>
      </w:r>
    </w:p>
    <w:p w14:paraId="62B6309C" w14:textId="77777777" w:rsidR="00715DD1" w:rsidRDefault="00715DD1" w:rsidP="00715DD1">
      <w:pPr>
        <w:pStyle w:val="SingleTxt"/>
      </w:pPr>
      <w:r>
        <w:tab/>
        <w:t>13.</w:t>
      </w:r>
      <w:r>
        <w:tab/>
      </w:r>
      <w:r>
        <w:rPr>
          <w:i/>
          <w:iCs/>
        </w:rPr>
        <w:t>Decides</w:t>
      </w:r>
      <w:r>
        <w:t xml:space="preserve"> to continue its consideration of the matter at its seventy-ninth session under the agenda item entitled “The situation in the temporarily occupied territories of Ukraine”.</w:t>
      </w:r>
    </w:p>
    <w:p w14:paraId="0273CAE2" w14:textId="77777777" w:rsidR="00715DD1" w:rsidRPr="00590CDC" w:rsidRDefault="00715DD1" w:rsidP="00715DD1">
      <w:pPr>
        <w:pStyle w:val="SingleTxt"/>
        <w:spacing w:after="0" w:line="120" w:lineRule="atLeast"/>
        <w:rPr>
          <w:sz w:val="10"/>
        </w:rPr>
      </w:pPr>
    </w:p>
    <w:p w14:paraId="5480DD98" w14:textId="77777777" w:rsidR="00715DD1" w:rsidRDefault="00715DD1" w:rsidP="00715DD1">
      <w:pPr>
        <w:pStyle w:val="SingleTxt"/>
        <w:spacing w:after="0"/>
        <w:jc w:val="right"/>
        <w:rPr>
          <w:i/>
        </w:rPr>
      </w:pPr>
      <w:r>
        <w:rPr>
          <w:i/>
        </w:rPr>
        <w:t>99th plenary meeting</w:t>
      </w:r>
    </w:p>
    <w:p w14:paraId="2F3AFD65" w14:textId="4A666015" w:rsidR="00715DD1" w:rsidRDefault="00715DD1" w:rsidP="00715DD1">
      <w:pPr>
        <w:pStyle w:val="SingleTxt"/>
        <w:jc w:val="right"/>
        <w:rPr>
          <w:i/>
        </w:rPr>
      </w:pPr>
      <w:r>
        <w:rPr>
          <w:i/>
        </w:rPr>
        <w:t>11 July 2024</w:t>
      </w:r>
    </w:p>
    <w:p w14:paraId="1CF424D4" w14:textId="6EC1F37F" w:rsidR="00533C05" w:rsidRPr="00715DD1" w:rsidRDefault="00715DD1" w:rsidP="00715DD1">
      <w:pPr>
        <w:pStyle w:val="SingleTxt"/>
      </w:pPr>
      <w:r>
        <w:rPr>
          <w:noProof/>
          <w:w w:val="100"/>
        </w:rPr>
        <mc:AlternateContent>
          <mc:Choice Requires="wps">
            <w:drawing>
              <wp:anchor distT="0" distB="0" distL="114300" distR="114300" simplePos="0" relativeHeight="251659264" behindDoc="0" locked="0" layoutInCell="1" allowOverlap="1" wp14:anchorId="7E6656C1" wp14:editId="371B205A">
                <wp:simplePos x="0" y="0"/>
                <wp:positionH relativeFrom="column">
                  <wp:posOffset>2733675</wp:posOffset>
                </wp:positionH>
                <wp:positionV relativeFrom="paragraph">
                  <wp:posOffset>200025</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07C13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5.25pt,15.75pt" to="287.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" strokecolor="#010000" strokeweight=".25pt">
                <v:stroke joinstyle="miter"/>
              </v:line>
            </w:pict>
          </mc:Fallback>
        </mc:AlternateContent>
      </w:r>
    </w:p>
    <w:sectPr w:rsidR="00533C05" w:rsidRPr="00715DD1" w:rsidSect="00590CDC">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art" w:date="2024-07-19T16:13:00Z" w:initials="Start">
    <w:p w14:paraId="68443E4C" w14:textId="77777777" w:rsidR="00533C05" w:rsidRDefault="00533C05">
      <w:pPr>
        <w:pStyle w:val="CommentText"/>
      </w:pPr>
      <w:r>
        <w:rPr>
          <w:rStyle w:val="CommentReference"/>
        </w:rPr>
        <w:annotationRef/>
      </w:r>
      <w:r>
        <w:t>&lt;&lt;ODS JOB NO&gt;&gt;N2420987E&lt;&lt;ODS JOB NO&gt;&gt;</w:t>
      </w:r>
    </w:p>
    <w:p w14:paraId="1D16EA1D" w14:textId="77777777" w:rsidR="00533C05" w:rsidRDefault="00533C05">
      <w:pPr>
        <w:pStyle w:val="CommentText"/>
      </w:pPr>
      <w:r>
        <w:t>&lt;&lt;ODS DOC SYMBOL1&gt;&gt;A/RES/78/316&lt;&lt;ODS DOC SYMBOL1&gt;&gt;</w:t>
      </w:r>
    </w:p>
    <w:p w14:paraId="132021B8" w14:textId="77777777" w:rsidR="00533C05" w:rsidRDefault="00533C05">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2021B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2021B8" w16cid:durableId="2A450F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73F3D" w14:textId="77777777" w:rsidR="001F623C" w:rsidRDefault="001F623C" w:rsidP="00331D20">
      <w:r>
        <w:separator/>
      </w:r>
    </w:p>
  </w:endnote>
  <w:endnote w:type="continuationSeparator" w:id="0">
    <w:p w14:paraId="32C79B08" w14:textId="77777777" w:rsidR="001F623C" w:rsidRDefault="001F623C"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Barcode 3 of 9 by request">
    <w:altName w:val="Calibri"/>
    <w:panose1 w:val="020B08030503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33C05" w14:paraId="03AFFCD9" w14:textId="77777777" w:rsidTr="00533C05">
      <w:tc>
        <w:tcPr>
          <w:tcW w:w="4920" w:type="dxa"/>
          <w:shd w:val="clear" w:color="auto" w:fill="auto"/>
        </w:tcPr>
        <w:p w14:paraId="4C8315A3" w14:textId="5BDF2680" w:rsidR="00533C05" w:rsidRPr="00533C05" w:rsidRDefault="00533C05" w:rsidP="00533C0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658E3">
            <w:rPr>
              <w:b w:val="0"/>
              <w:w w:val="103"/>
              <w:sz w:val="14"/>
            </w:rPr>
            <w:t>24-12991</w:t>
          </w:r>
          <w:r>
            <w:rPr>
              <w:b w:val="0"/>
              <w:w w:val="103"/>
              <w:sz w:val="14"/>
            </w:rPr>
            <w:fldChar w:fldCharType="end"/>
          </w:r>
        </w:p>
      </w:tc>
      <w:tc>
        <w:tcPr>
          <w:tcW w:w="4920" w:type="dxa"/>
          <w:shd w:val="clear" w:color="auto" w:fill="auto"/>
        </w:tcPr>
        <w:p w14:paraId="5BE1E235" w14:textId="77777777" w:rsidR="00533C05" w:rsidRPr="00533C05" w:rsidRDefault="00533C05" w:rsidP="00533C0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183D266" w14:textId="77777777" w:rsidR="00533C05" w:rsidRPr="00533C05" w:rsidRDefault="00533C05" w:rsidP="00533C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33C05" w14:paraId="68618590" w14:textId="77777777" w:rsidTr="00533C05">
      <w:tc>
        <w:tcPr>
          <w:tcW w:w="4920" w:type="dxa"/>
          <w:shd w:val="clear" w:color="auto" w:fill="auto"/>
        </w:tcPr>
        <w:p w14:paraId="5BDEC558" w14:textId="77777777" w:rsidR="00533C05" w:rsidRPr="00533C05" w:rsidRDefault="00533C05" w:rsidP="00533C0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C45AF44" w14:textId="743501FF" w:rsidR="00533C05" w:rsidRPr="00533C05" w:rsidRDefault="00533C05" w:rsidP="00533C0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658E3">
            <w:rPr>
              <w:b w:val="0"/>
              <w:w w:val="103"/>
              <w:sz w:val="14"/>
            </w:rPr>
            <w:t>24-12991</w:t>
          </w:r>
          <w:r>
            <w:rPr>
              <w:b w:val="0"/>
              <w:w w:val="103"/>
              <w:sz w:val="14"/>
            </w:rPr>
            <w:fldChar w:fldCharType="end"/>
          </w:r>
        </w:p>
      </w:tc>
    </w:tr>
  </w:tbl>
  <w:p w14:paraId="004DD88E" w14:textId="77777777" w:rsidR="00533C05" w:rsidRPr="00533C05" w:rsidRDefault="00533C05" w:rsidP="00533C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533C05" w14:paraId="611F31A8" w14:textId="77777777" w:rsidTr="00533C05">
      <w:tc>
        <w:tcPr>
          <w:tcW w:w="3801" w:type="dxa"/>
        </w:tcPr>
        <w:p w14:paraId="47603AAD" w14:textId="58F08FBB" w:rsidR="00533C05" w:rsidRDefault="00533C05" w:rsidP="00533C05">
          <w:pPr>
            <w:pStyle w:val="ReleaseDate0"/>
          </w:pPr>
          <w:r>
            <w:rPr>
              <w:noProof/>
            </w:rPr>
            <w:drawing>
              <wp:anchor distT="0" distB="0" distL="114300" distR="114300" simplePos="0" relativeHeight="251658240" behindDoc="0" locked="0" layoutInCell="1" allowOverlap="1" wp14:anchorId="43CA7ABE" wp14:editId="49D3A4DD">
                <wp:simplePos x="0" y="0"/>
                <wp:positionH relativeFrom="column">
                  <wp:posOffset>5495290</wp:posOffset>
                </wp:positionH>
                <wp:positionV relativeFrom="paragraph">
                  <wp:posOffset>-365760</wp:posOffset>
                </wp:positionV>
                <wp:extent cx="694690" cy="694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24-12991 (E)    </w:t>
          </w:r>
        </w:p>
        <w:p w14:paraId="51B7DF21" w14:textId="77777777" w:rsidR="00533C05" w:rsidRPr="00533C05" w:rsidRDefault="00533C05" w:rsidP="00533C0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*2412991*</w:t>
          </w:r>
        </w:p>
      </w:tc>
      <w:tc>
        <w:tcPr>
          <w:tcW w:w="4920" w:type="dxa"/>
        </w:tcPr>
        <w:p w14:paraId="15F7DE7D" w14:textId="77777777" w:rsidR="00533C05" w:rsidRDefault="00533C05" w:rsidP="00533C05">
          <w:pPr>
            <w:pStyle w:val="Footer"/>
            <w:jc w:val="right"/>
            <w:rPr>
              <w:b w:val="0"/>
              <w:sz w:val="20"/>
            </w:rPr>
          </w:pPr>
          <w:r>
            <w:rPr>
              <w:b w:val="0"/>
              <w:sz w:val="20"/>
            </w:rPr>
            <w:drawing>
              <wp:inline distT="0" distB="0" distL="0" distR="0" wp14:anchorId="576883F5" wp14:editId="5F9B2764">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04C0E87B" w14:textId="77777777" w:rsidR="00533C05" w:rsidRPr="00533C05" w:rsidRDefault="00533C05" w:rsidP="00533C05">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15DD1" w14:paraId="1C6ACE89" w14:textId="77777777" w:rsidTr="005F4079">
      <w:tc>
        <w:tcPr>
          <w:tcW w:w="4920" w:type="dxa"/>
          <w:shd w:val="clear" w:color="auto" w:fill="auto"/>
        </w:tcPr>
        <w:p w14:paraId="4C1ACFD5" w14:textId="1E1DBC9A" w:rsidR="00715DD1" w:rsidRPr="005F4079" w:rsidRDefault="006D207E" w:rsidP="005F407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658E3">
            <w:rPr>
              <w:b w:val="0"/>
              <w:w w:val="103"/>
              <w:sz w:val="14"/>
            </w:rPr>
            <w:t>24-12991</w:t>
          </w:r>
          <w:r>
            <w:rPr>
              <w:b w:val="0"/>
              <w:w w:val="103"/>
              <w:sz w:val="14"/>
            </w:rPr>
            <w:fldChar w:fldCharType="end"/>
          </w:r>
        </w:p>
      </w:tc>
      <w:tc>
        <w:tcPr>
          <w:tcW w:w="4920" w:type="dxa"/>
          <w:shd w:val="clear" w:color="auto" w:fill="auto"/>
        </w:tcPr>
        <w:p w14:paraId="3BA3F7EB" w14:textId="77777777" w:rsidR="00715DD1" w:rsidRPr="005F4079" w:rsidRDefault="00715DD1" w:rsidP="005F407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8822148" w14:textId="77777777" w:rsidR="00715DD1" w:rsidRPr="005F4079" w:rsidRDefault="00715DD1" w:rsidP="005F40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15DD1" w14:paraId="6148C518" w14:textId="77777777" w:rsidTr="005F4079">
      <w:tc>
        <w:tcPr>
          <w:tcW w:w="4920" w:type="dxa"/>
          <w:shd w:val="clear" w:color="auto" w:fill="auto"/>
        </w:tcPr>
        <w:p w14:paraId="128D1EF2" w14:textId="77777777" w:rsidR="00715DD1" w:rsidRPr="005F4079" w:rsidRDefault="00715DD1" w:rsidP="005F407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AE8D539" w14:textId="23B3E8F1" w:rsidR="00715DD1" w:rsidRPr="005F4079" w:rsidRDefault="00715DD1" w:rsidP="005F407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658E3">
            <w:rPr>
              <w:b w:val="0"/>
              <w:w w:val="103"/>
              <w:sz w:val="14"/>
            </w:rPr>
            <w:t>24-12991</w:t>
          </w:r>
          <w:r>
            <w:rPr>
              <w:b w:val="0"/>
              <w:w w:val="103"/>
              <w:sz w:val="14"/>
            </w:rPr>
            <w:fldChar w:fldCharType="end"/>
          </w:r>
        </w:p>
      </w:tc>
    </w:tr>
  </w:tbl>
  <w:p w14:paraId="3FBE1E4F" w14:textId="77777777" w:rsidR="00715DD1" w:rsidRPr="005F4079" w:rsidRDefault="00715DD1" w:rsidP="005F40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715DD1" w14:paraId="4E8279AD" w14:textId="77777777" w:rsidTr="005F4079">
      <w:tc>
        <w:tcPr>
          <w:tcW w:w="3801" w:type="dxa"/>
        </w:tcPr>
        <w:p w14:paraId="1D1DB97E" w14:textId="77777777" w:rsidR="00715DD1" w:rsidRPr="005F4079" w:rsidRDefault="00715DD1" w:rsidP="007A57C1">
          <w:pPr>
            <w:pStyle w:val="ReleaseDate0"/>
            <w:rPr>
              <w:rFonts w:ascii="Barcode 3 of 9 by request" w:hAnsi="Barcode 3 of 9 by request"/>
              <w:b/>
              <w:sz w:val="24"/>
            </w:rPr>
          </w:pPr>
          <w:r>
            <w:t>24-</w:t>
          </w:r>
        </w:p>
        <w:p w14:paraId="1861D378" w14:textId="77777777" w:rsidR="00715DD1" w:rsidRPr="005F4079" w:rsidRDefault="00715DD1" w:rsidP="005F4079">
          <w:pPr>
            <w:pStyle w:val="Footer"/>
            <w:spacing w:before="80" w:line="210" w:lineRule="exact"/>
            <w:rPr>
              <w:rFonts w:ascii="Barcode 3 of 9 by request" w:hAnsi="Barcode 3 of 9 by request"/>
              <w:b w:val="0"/>
              <w:sz w:val="24"/>
              <w:lang w:val="en-GB"/>
            </w:rPr>
          </w:pPr>
        </w:p>
      </w:tc>
      <w:tc>
        <w:tcPr>
          <w:tcW w:w="4920" w:type="dxa"/>
        </w:tcPr>
        <w:p w14:paraId="7BFA5B03" w14:textId="77777777" w:rsidR="00715DD1" w:rsidRDefault="00715DD1" w:rsidP="005F4079">
          <w:pPr>
            <w:pStyle w:val="Footer"/>
            <w:jc w:val="right"/>
            <w:rPr>
              <w:b w:val="0"/>
              <w:sz w:val="20"/>
            </w:rPr>
          </w:pPr>
          <w:r>
            <w:rPr>
              <w:b w:val="0"/>
              <w:sz w:val="20"/>
            </w:rPr>
            <w:drawing>
              <wp:inline distT="0" distB="0" distL="0" distR="0" wp14:anchorId="54774DD9" wp14:editId="7FF26A1A">
                <wp:extent cx="929642" cy="231648"/>
                <wp:effectExtent l="0" t="0" r="3810" b="0"/>
                <wp:docPr id="6" name="Picture 6"/>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stretch>
                          <a:fillRect/>
                        </a:stretch>
                      </pic:blipFill>
                      <pic:spPr>
                        <a:xfrm>
                          <a:off x="0" y="0"/>
                          <a:ext cx="929642" cy="231648"/>
                        </a:xfrm>
                        <a:prstGeom prst="rect">
                          <a:avLst/>
                        </a:prstGeom>
                      </pic:spPr>
                    </pic:pic>
                  </a:graphicData>
                </a:graphic>
              </wp:inline>
            </w:drawing>
          </w:r>
        </w:p>
      </w:tc>
    </w:tr>
  </w:tbl>
  <w:p w14:paraId="7E82B7C9" w14:textId="77777777" w:rsidR="00715DD1" w:rsidRPr="005F4079" w:rsidRDefault="00715DD1" w:rsidP="005F4079">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B8D79" w14:textId="28BB83E0" w:rsidR="001F623C" w:rsidRPr="00715DD1" w:rsidRDefault="00715DD1" w:rsidP="00715DD1">
      <w:pPr>
        <w:pStyle w:val="Footer"/>
        <w:spacing w:after="80"/>
        <w:ind w:left="792"/>
        <w:rPr>
          <w:sz w:val="16"/>
        </w:rPr>
      </w:pPr>
      <w:r w:rsidRPr="00715DD1">
        <w:rPr>
          <w:sz w:val="16"/>
        </w:rPr>
        <w:t>__________________</w:t>
      </w:r>
    </w:p>
  </w:footnote>
  <w:footnote w:type="continuationSeparator" w:id="0">
    <w:p w14:paraId="7C403631" w14:textId="065A6E71" w:rsidR="001F623C" w:rsidRPr="00715DD1" w:rsidRDefault="00715DD1" w:rsidP="00715DD1">
      <w:pPr>
        <w:pStyle w:val="Footer"/>
        <w:spacing w:after="80"/>
        <w:ind w:left="792"/>
        <w:rPr>
          <w:sz w:val="16"/>
        </w:rPr>
      </w:pPr>
      <w:r w:rsidRPr="00715DD1">
        <w:rPr>
          <w:sz w:val="16"/>
        </w:rPr>
        <w:t>__________________</w:t>
      </w:r>
    </w:p>
  </w:footnote>
  <w:footnote w:id="1">
    <w:p w14:paraId="74D9B019" w14:textId="195355C4" w:rsidR="00715DD1" w:rsidRDefault="00715DD1" w:rsidP="00715DD1">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 xml:space="preserve"> </w:t>
      </w:r>
      <w:r>
        <w:tab/>
        <w:t xml:space="preserve">See </w:t>
      </w:r>
      <w:r>
        <w:rPr>
          <w:i/>
          <w:iCs/>
        </w:rPr>
        <w:t>Official Records of the General Assembly, Seventy-seventh Session, Supplement No. 4</w:t>
      </w:r>
      <w:r>
        <w:t xml:space="preserve"> (</w:t>
      </w:r>
      <w:hyperlink r:id="rId1" w:history="1">
        <w:r>
          <w:rPr>
            <w:rStyle w:val="Hyperlink"/>
          </w:rPr>
          <w:t>A/77/4</w:t>
        </w:r>
      </w:hyperlink>
      <w:r>
        <w:t>), paras. 189–197.</w:t>
      </w:r>
    </w:p>
  </w:footnote>
  <w:footnote w:id="2">
    <w:p w14:paraId="5E45A697" w14:textId="40F78FA2" w:rsidR="00715DD1" w:rsidRDefault="00715DD1" w:rsidP="00715DD1">
      <w:pPr>
        <w:pStyle w:val="FootnoteText"/>
        <w:tabs>
          <w:tab w:val="clear" w:pos="418"/>
          <w:tab w:val="right" w:pos="1195"/>
          <w:tab w:val="left" w:pos="1267"/>
          <w:tab w:val="left" w:pos="1742"/>
          <w:tab w:val="left" w:pos="2218"/>
          <w:tab w:val="left" w:pos="2693"/>
        </w:tabs>
        <w:ind w:left="1267" w:right="1260" w:hanging="432"/>
        <w:rPr>
          <w:lang w:val="es-ES"/>
        </w:rPr>
      </w:pPr>
      <w:r>
        <w:tab/>
      </w:r>
      <w:r>
        <w:rPr>
          <w:rStyle w:val="FootnoteReference"/>
        </w:rPr>
        <w:footnoteRef/>
      </w:r>
      <w:r>
        <w:t xml:space="preserve"> </w:t>
      </w:r>
      <w:r>
        <w:tab/>
      </w:r>
      <w:r>
        <w:rPr>
          <w:lang w:val="es-ES"/>
        </w:rPr>
        <w:t xml:space="preserve">Resolutions </w:t>
      </w:r>
      <w:hyperlink r:id="rId2" w:history="1">
        <w:r>
          <w:rPr>
            <w:rStyle w:val="Hyperlink"/>
            <w:lang w:val="es-ES"/>
          </w:rPr>
          <w:t>ES-11/1</w:t>
        </w:r>
      </w:hyperlink>
      <w:r>
        <w:rPr>
          <w:lang w:val="es-ES"/>
        </w:rPr>
        <w:t xml:space="preserve">, </w:t>
      </w:r>
      <w:hyperlink r:id="rId3" w:history="1">
        <w:r>
          <w:rPr>
            <w:rStyle w:val="Hyperlink"/>
            <w:lang w:val="es-ES"/>
          </w:rPr>
          <w:t>ES-11/2</w:t>
        </w:r>
      </w:hyperlink>
      <w:r>
        <w:rPr>
          <w:lang w:val="es-ES"/>
        </w:rPr>
        <w:t xml:space="preserve">, </w:t>
      </w:r>
      <w:hyperlink r:id="rId4" w:history="1">
        <w:r>
          <w:rPr>
            <w:rStyle w:val="Hyperlink"/>
            <w:lang w:val="es-ES"/>
          </w:rPr>
          <w:t>ES-11/4</w:t>
        </w:r>
      </w:hyperlink>
      <w:r>
        <w:rPr>
          <w:lang w:val="es-ES"/>
        </w:rPr>
        <w:t xml:space="preserve"> and </w:t>
      </w:r>
      <w:hyperlink r:id="rId5" w:history="1">
        <w:r>
          <w:rPr>
            <w:rStyle w:val="Hyperlink"/>
            <w:lang w:val="es-ES"/>
          </w:rPr>
          <w:t>ES-11/6</w:t>
        </w:r>
      </w:hyperlink>
      <w:r>
        <w:rPr>
          <w:lang w:val="es-ES"/>
        </w:rPr>
        <w:t>.</w:t>
      </w:r>
    </w:p>
  </w:footnote>
  <w:footnote w:id="3">
    <w:p w14:paraId="3114E445" w14:textId="77777777" w:rsidR="00715DD1" w:rsidRDefault="00715DD1" w:rsidP="00715DD1">
      <w:pPr>
        <w:pStyle w:val="FootnoteText"/>
        <w:tabs>
          <w:tab w:val="clear" w:pos="418"/>
          <w:tab w:val="right" w:pos="1195"/>
          <w:tab w:val="left" w:pos="1267"/>
          <w:tab w:val="left" w:pos="1742"/>
          <w:tab w:val="left" w:pos="2218"/>
          <w:tab w:val="left" w:pos="2693"/>
        </w:tabs>
        <w:ind w:left="1267" w:right="1260" w:hanging="432"/>
        <w:rPr>
          <w:lang w:val="en-US"/>
        </w:rPr>
      </w:pPr>
      <w:r>
        <w:rPr>
          <w:lang w:val="es-ES"/>
        </w:rPr>
        <w:tab/>
      </w:r>
      <w:r>
        <w:rPr>
          <w:rStyle w:val="FootnoteReference"/>
        </w:rPr>
        <w:footnoteRef/>
      </w:r>
      <w:r>
        <w:t xml:space="preserve"> </w:t>
      </w:r>
      <w:r>
        <w:tab/>
        <w:t xml:space="preserve">United Nations, </w:t>
      </w:r>
      <w:r>
        <w:rPr>
          <w:i/>
          <w:iCs/>
        </w:rPr>
        <w:t>Treaty Series</w:t>
      </w:r>
      <w:r>
        <w:t>, vol. 1125, No. 17512.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33C05" w14:paraId="58D19D18" w14:textId="77777777" w:rsidTr="00533C05">
      <w:trPr>
        <w:trHeight w:hRule="exact" w:val="864"/>
      </w:trPr>
      <w:tc>
        <w:tcPr>
          <w:tcW w:w="4920" w:type="dxa"/>
          <w:shd w:val="clear" w:color="auto" w:fill="auto"/>
          <w:vAlign w:val="bottom"/>
        </w:tcPr>
        <w:p w14:paraId="653F2B0D" w14:textId="5B7B089E" w:rsidR="00533C05" w:rsidRPr="00533C05" w:rsidRDefault="00533C05" w:rsidP="00533C05">
          <w:pPr>
            <w:pStyle w:val="Header"/>
            <w:spacing w:after="80"/>
            <w:rPr>
              <w:b/>
            </w:rPr>
          </w:pPr>
          <w:r>
            <w:rPr>
              <w:b/>
            </w:rPr>
            <w:fldChar w:fldCharType="begin"/>
          </w:r>
          <w:r>
            <w:rPr>
              <w:b/>
            </w:rPr>
            <w:instrText xml:space="preserve"> DOCVARIABLE "sss1" \* MERGEFORMAT </w:instrText>
          </w:r>
          <w:r>
            <w:rPr>
              <w:b/>
            </w:rPr>
            <w:fldChar w:fldCharType="separate"/>
          </w:r>
          <w:r w:rsidR="005658E3">
            <w:rPr>
              <w:b/>
            </w:rPr>
            <w:t>A/RES/78/316</w:t>
          </w:r>
          <w:r>
            <w:rPr>
              <w:b/>
            </w:rPr>
            <w:fldChar w:fldCharType="end"/>
          </w:r>
        </w:p>
      </w:tc>
      <w:tc>
        <w:tcPr>
          <w:tcW w:w="4920" w:type="dxa"/>
          <w:shd w:val="clear" w:color="auto" w:fill="auto"/>
          <w:vAlign w:val="bottom"/>
        </w:tcPr>
        <w:p w14:paraId="43637022" w14:textId="77777777" w:rsidR="00533C05" w:rsidRDefault="00533C05" w:rsidP="00533C05">
          <w:pPr>
            <w:pStyle w:val="Header"/>
          </w:pPr>
        </w:p>
      </w:tc>
    </w:tr>
  </w:tbl>
  <w:p w14:paraId="7C848C43" w14:textId="77777777" w:rsidR="00533C05" w:rsidRPr="00533C05" w:rsidRDefault="00533C05" w:rsidP="00533C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33C05" w14:paraId="6BF5BC9E" w14:textId="77777777" w:rsidTr="00533C05">
      <w:trPr>
        <w:trHeight w:hRule="exact" w:val="864"/>
      </w:trPr>
      <w:tc>
        <w:tcPr>
          <w:tcW w:w="4920" w:type="dxa"/>
          <w:shd w:val="clear" w:color="auto" w:fill="auto"/>
          <w:vAlign w:val="bottom"/>
        </w:tcPr>
        <w:p w14:paraId="731960D7" w14:textId="77777777" w:rsidR="00533C05" w:rsidRDefault="00533C05" w:rsidP="00533C05">
          <w:pPr>
            <w:pStyle w:val="Header"/>
          </w:pPr>
        </w:p>
      </w:tc>
      <w:tc>
        <w:tcPr>
          <w:tcW w:w="4920" w:type="dxa"/>
          <w:shd w:val="clear" w:color="auto" w:fill="auto"/>
          <w:vAlign w:val="bottom"/>
        </w:tcPr>
        <w:p w14:paraId="2FA51A7B" w14:textId="05283A5A" w:rsidR="00533C05" w:rsidRPr="00533C05" w:rsidRDefault="00533C05" w:rsidP="00533C05">
          <w:pPr>
            <w:pStyle w:val="Header"/>
            <w:spacing w:after="80"/>
            <w:jc w:val="right"/>
            <w:rPr>
              <w:b/>
            </w:rPr>
          </w:pPr>
          <w:r>
            <w:rPr>
              <w:b/>
            </w:rPr>
            <w:fldChar w:fldCharType="begin"/>
          </w:r>
          <w:r>
            <w:rPr>
              <w:b/>
            </w:rPr>
            <w:instrText xml:space="preserve"> DOCVARIABLE "sss1" \* MERGEFORMAT </w:instrText>
          </w:r>
          <w:r>
            <w:rPr>
              <w:b/>
            </w:rPr>
            <w:fldChar w:fldCharType="separate"/>
          </w:r>
          <w:r w:rsidR="005658E3">
            <w:rPr>
              <w:b/>
            </w:rPr>
            <w:t>A/RES/78/316</w:t>
          </w:r>
          <w:r>
            <w:rPr>
              <w:b/>
            </w:rPr>
            <w:fldChar w:fldCharType="end"/>
          </w:r>
        </w:p>
      </w:tc>
    </w:tr>
  </w:tbl>
  <w:p w14:paraId="4D51F4BB" w14:textId="77777777" w:rsidR="00533C05" w:rsidRPr="00533C05" w:rsidRDefault="00533C05" w:rsidP="00533C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33C05" w14:paraId="37B3FE59" w14:textId="77777777" w:rsidTr="00533C05">
      <w:trPr>
        <w:trHeight w:hRule="exact" w:val="864"/>
      </w:trPr>
      <w:tc>
        <w:tcPr>
          <w:tcW w:w="1267" w:type="dxa"/>
          <w:tcBorders>
            <w:bottom w:val="single" w:sz="4" w:space="0" w:color="auto"/>
          </w:tcBorders>
          <w:shd w:val="clear" w:color="auto" w:fill="auto"/>
          <w:vAlign w:val="bottom"/>
        </w:tcPr>
        <w:p w14:paraId="6156A66E" w14:textId="77777777" w:rsidR="00533C05" w:rsidRDefault="00533C05" w:rsidP="00533C05">
          <w:pPr>
            <w:pStyle w:val="Header"/>
            <w:spacing w:after="120"/>
          </w:pPr>
        </w:p>
      </w:tc>
      <w:tc>
        <w:tcPr>
          <w:tcW w:w="1872" w:type="dxa"/>
          <w:tcBorders>
            <w:bottom w:val="single" w:sz="4" w:space="0" w:color="auto"/>
          </w:tcBorders>
          <w:shd w:val="clear" w:color="auto" w:fill="auto"/>
          <w:vAlign w:val="bottom"/>
        </w:tcPr>
        <w:p w14:paraId="543BB27C" w14:textId="77777777" w:rsidR="00533C05" w:rsidRPr="00533C05" w:rsidRDefault="00533C05" w:rsidP="00533C05">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13B27CD" w14:textId="77777777" w:rsidR="00533C05" w:rsidRDefault="00533C05" w:rsidP="00533C05">
          <w:pPr>
            <w:pStyle w:val="Header"/>
            <w:spacing w:after="120"/>
          </w:pPr>
        </w:p>
      </w:tc>
      <w:tc>
        <w:tcPr>
          <w:tcW w:w="6466" w:type="dxa"/>
          <w:gridSpan w:val="4"/>
          <w:tcBorders>
            <w:bottom w:val="single" w:sz="4" w:space="0" w:color="auto"/>
          </w:tcBorders>
          <w:shd w:val="clear" w:color="auto" w:fill="auto"/>
          <w:vAlign w:val="bottom"/>
        </w:tcPr>
        <w:p w14:paraId="25729467" w14:textId="77777777" w:rsidR="00533C05" w:rsidRPr="00533C05" w:rsidRDefault="00533C05" w:rsidP="00533C05">
          <w:pPr>
            <w:spacing w:after="80" w:line="240" w:lineRule="auto"/>
            <w:jc w:val="right"/>
            <w:rPr>
              <w:position w:val="-4"/>
            </w:rPr>
          </w:pPr>
          <w:r>
            <w:rPr>
              <w:position w:val="-4"/>
              <w:sz w:val="40"/>
            </w:rPr>
            <w:t>A</w:t>
          </w:r>
          <w:r>
            <w:rPr>
              <w:position w:val="-4"/>
            </w:rPr>
            <w:t>/RES/78/316</w:t>
          </w:r>
        </w:p>
      </w:tc>
    </w:tr>
    <w:tr w:rsidR="00533C05" w:rsidRPr="00533C05" w14:paraId="11D30089" w14:textId="77777777" w:rsidTr="00533C05">
      <w:trPr>
        <w:gridAfter w:val="1"/>
        <w:wAfter w:w="15" w:type="dxa"/>
        <w:trHeight w:hRule="exact" w:val="2880"/>
      </w:trPr>
      <w:tc>
        <w:tcPr>
          <w:tcW w:w="1267" w:type="dxa"/>
          <w:tcBorders>
            <w:top w:val="single" w:sz="4" w:space="0" w:color="auto"/>
            <w:bottom w:val="single" w:sz="12" w:space="0" w:color="auto"/>
          </w:tcBorders>
          <w:shd w:val="clear" w:color="auto" w:fill="auto"/>
        </w:tcPr>
        <w:p w14:paraId="0F316863" w14:textId="77777777" w:rsidR="00533C05" w:rsidRPr="00533C05" w:rsidRDefault="00533C05" w:rsidP="00533C05">
          <w:pPr>
            <w:pStyle w:val="Header"/>
            <w:spacing w:before="120"/>
            <w:jc w:val="center"/>
          </w:pPr>
          <w:r>
            <w:t xml:space="preserve"> </w:t>
          </w:r>
          <w:r>
            <w:drawing>
              <wp:inline distT="0" distB="0" distL="0" distR="0" wp14:anchorId="2F58BC85" wp14:editId="7A44FDD3">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57E5F73" w14:textId="77777777" w:rsidR="00533C05" w:rsidRPr="00533C05" w:rsidRDefault="00533C05" w:rsidP="00533C05">
          <w:pPr>
            <w:pStyle w:val="XLarge"/>
            <w:spacing w:before="109"/>
          </w:pPr>
          <w:r>
            <w:t>General Assembly</w:t>
          </w:r>
        </w:p>
      </w:tc>
      <w:tc>
        <w:tcPr>
          <w:tcW w:w="245" w:type="dxa"/>
          <w:tcBorders>
            <w:top w:val="single" w:sz="4" w:space="0" w:color="auto"/>
            <w:bottom w:val="single" w:sz="12" w:space="0" w:color="auto"/>
          </w:tcBorders>
          <w:shd w:val="clear" w:color="auto" w:fill="auto"/>
        </w:tcPr>
        <w:p w14:paraId="0C20B58B" w14:textId="77777777" w:rsidR="00533C05" w:rsidRPr="00533C05" w:rsidRDefault="00533C05" w:rsidP="00533C05">
          <w:pPr>
            <w:pStyle w:val="Header"/>
            <w:spacing w:before="109"/>
          </w:pPr>
        </w:p>
      </w:tc>
      <w:tc>
        <w:tcPr>
          <w:tcW w:w="3096" w:type="dxa"/>
          <w:tcBorders>
            <w:top w:val="single" w:sz="4" w:space="0" w:color="auto"/>
            <w:bottom w:val="single" w:sz="12" w:space="0" w:color="auto"/>
          </w:tcBorders>
          <w:shd w:val="clear" w:color="auto" w:fill="auto"/>
        </w:tcPr>
        <w:p w14:paraId="5DE14539" w14:textId="77777777" w:rsidR="00533C05" w:rsidRDefault="00533C05" w:rsidP="00533C05">
          <w:pPr>
            <w:pStyle w:val="Publication"/>
            <w:spacing w:before="240"/>
            <w:rPr>
              <w:color w:val="010000"/>
            </w:rPr>
          </w:pPr>
          <w:r>
            <w:rPr>
              <w:color w:val="010000"/>
            </w:rPr>
            <w:t>Distr.: General</w:t>
          </w:r>
        </w:p>
        <w:p w14:paraId="58E98653" w14:textId="634E1D1A" w:rsidR="00533C05" w:rsidRPr="00533C05" w:rsidRDefault="00533C05" w:rsidP="00715DD1">
          <w:r>
            <w:t>15 July 2024</w:t>
          </w:r>
        </w:p>
      </w:tc>
    </w:tr>
  </w:tbl>
  <w:p w14:paraId="66C84E33" w14:textId="77777777" w:rsidR="00533C05" w:rsidRPr="00533C05" w:rsidRDefault="00533C05" w:rsidP="00533C05">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15DD1" w:rsidRPr="00D95155" w14:paraId="08C981B3" w14:textId="77777777" w:rsidTr="005F4079">
      <w:trPr>
        <w:trHeight w:hRule="exact" w:val="864"/>
      </w:trPr>
      <w:tc>
        <w:tcPr>
          <w:tcW w:w="4920" w:type="dxa"/>
          <w:shd w:val="clear" w:color="auto" w:fill="auto"/>
          <w:vAlign w:val="bottom"/>
        </w:tcPr>
        <w:p w14:paraId="0985F6BF" w14:textId="77777777" w:rsidR="00715DD1" w:rsidRPr="005F4079" w:rsidRDefault="00715DD1" w:rsidP="005F4079">
          <w:pPr>
            <w:pStyle w:val="Header"/>
            <w:spacing w:after="80"/>
            <w:rPr>
              <w:b/>
            </w:rPr>
          </w:pPr>
          <w:r>
            <w:rPr>
              <w:b/>
            </w:rPr>
            <w:t>A/RES/78/316</w:t>
          </w:r>
        </w:p>
      </w:tc>
      <w:tc>
        <w:tcPr>
          <w:tcW w:w="4920" w:type="dxa"/>
          <w:shd w:val="clear" w:color="auto" w:fill="auto"/>
          <w:vAlign w:val="bottom"/>
        </w:tcPr>
        <w:p w14:paraId="7357C265" w14:textId="77777777" w:rsidR="00715DD1" w:rsidRPr="00C27BCF" w:rsidRDefault="00715DD1" w:rsidP="00C27BCF">
          <w:pPr>
            <w:pStyle w:val="Header"/>
            <w:spacing w:after="80"/>
            <w:jc w:val="right"/>
            <w:rPr>
              <w:b/>
              <w:bCs/>
              <w:kern w:val="0"/>
              <w14:ligatures w14:val="none"/>
            </w:rPr>
          </w:pPr>
          <w:r w:rsidRPr="00C27BCF">
            <w:rPr>
              <w:b/>
              <w:bCs/>
              <w:kern w:val="0"/>
              <w14:ligatures w14:val="none"/>
            </w:rPr>
            <w:t xml:space="preserve">Safety and security of nuclear facilities of Ukraine, including </w:t>
          </w:r>
          <w:r w:rsidRPr="00C27BCF">
            <w:rPr>
              <w:b/>
              <w:bCs/>
              <w:kern w:val="0"/>
              <w14:ligatures w14:val="none"/>
            </w:rPr>
            <w:br/>
            <w:t>the Zaporizhzhia nuclear power plant</w:t>
          </w:r>
        </w:p>
      </w:tc>
    </w:tr>
  </w:tbl>
  <w:p w14:paraId="35815DCF" w14:textId="77777777" w:rsidR="00715DD1" w:rsidRPr="005F4079" w:rsidRDefault="00715DD1" w:rsidP="005F40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15DD1" w14:paraId="2EDF81F9" w14:textId="77777777" w:rsidTr="005F4079">
      <w:trPr>
        <w:trHeight w:hRule="exact" w:val="864"/>
      </w:trPr>
      <w:tc>
        <w:tcPr>
          <w:tcW w:w="4920" w:type="dxa"/>
          <w:shd w:val="clear" w:color="auto" w:fill="auto"/>
          <w:vAlign w:val="bottom"/>
        </w:tcPr>
        <w:p w14:paraId="64397A77" w14:textId="70F57189" w:rsidR="00715DD1" w:rsidRPr="00C27BCF" w:rsidRDefault="00715DD1" w:rsidP="00C27BCF">
          <w:pPr>
            <w:pStyle w:val="Header"/>
            <w:spacing w:after="80"/>
            <w:rPr>
              <w:b/>
              <w:bCs/>
              <w:kern w:val="0"/>
              <w14:ligatures w14:val="none"/>
            </w:rPr>
          </w:pPr>
          <w:r w:rsidRPr="00C27BCF">
            <w:rPr>
              <w:b/>
              <w:bCs/>
              <w:kern w:val="0"/>
              <w14:ligatures w14:val="none"/>
            </w:rPr>
            <w:t>Safety and security of nuclear facilities of Ukraine, including the</w:t>
          </w:r>
          <w:r w:rsidR="00C27BCF">
            <w:rPr>
              <w:b/>
              <w:bCs/>
              <w:kern w:val="0"/>
              <w14:ligatures w14:val="none"/>
            </w:rPr>
            <w:t> </w:t>
          </w:r>
          <w:r w:rsidRPr="00C27BCF">
            <w:rPr>
              <w:b/>
              <w:bCs/>
              <w:kern w:val="0"/>
              <w14:ligatures w14:val="none"/>
            </w:rPr>
            <w:t>Zaporizhzhia nuclear power plant</w:t>
          </w:r>
        </w:p>
      </w:tc>
      <w:tc>
        <w:tcPr>
          <w:tcW w:w="4920" w:type="dxa"/>
          <w:shd w:val="clear" w:color="auto" w:fill="auto"/>
          <w:vAlign w:val="bottom"/>
        </w:tcPr>
        <w:p w14:paraId="0C1C25B7" w14:textId="3326C7E0" w:rsidR="00715DD1" w:rsidRPr="005F4079" w:rsidRDefault="00715DD1" w:rsidP="005F4079">
          <w:pPr>
            <w:pStyle w:val="Header"/>
            <w:spacing w:after="80"/>
            <w:jc w:val="right"/>
            <w:rPr>
              <w:b/>
            </w:rPr>
          </w:pPr>
          <w:r>
            <w:rPr>
              <w:b/>
            </w:rPr>
            <w:fldChar w:fldCharType="begin"/>
          </w:r>
          <w:r>
            <w:rPr>
              <w:b/>
            </w:rPr>
            <w:instrText xml:space="preserve"> DOCVARIABLE "sss1" \* MERGEFORMAT </w:instrText>
          </w:r>
          <w:r>
            <w:rPr>
              <w:b/>
            </w:rPr>
            <w:fldChar w:fldCharType="separate"/>
          </w:r>
          <w:r w:rsidR="005658E3">
            <w:rPr>
              <w:b/>
            </w:rPr>
            <w:t>A/RES/78/316</w:t>
          </w:r>
          <w:r>
            <w:rPr>
              <w:b/>
            </w:rPr>
            <w:fldChar w:fldCharType="end"/>
          </w:r>
        </w:p>
      </w:tc>
    </w:tr>
  </w:tbl>
  <w:p w14:paraId="4F89F28A" w14:textId="77777777" w:rsidR="00715DD1" w:rsidRPr="005F4079" w:rsidRDefault="00715DD1" w:rsidP="005F40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15DD1" w14:paraId="401928D5" w14:textId="77777777" w:rsidTr="005F4079">
      <w:trPr>
        <w:trHeight w:hRule="exact" w:val="864"/>
      </w:trPr>
      <w:tc>
        <w:tcPr>
          <w:tcW w:w="1267" w:type="dxa"/>
          <w:tcBorders>
            <w:bottom w:val="single" w:sz="4" w:space="0" w:color="auto"/>
          </w:tcBorders>
          <w:shd w:val="clear" w:color="auto" w:fill="auto"/>
          <w:vAlign w:val="bottom"/>
        </w:tcPr>
        <w:p w14:paraId="6588961E" w14:textId="77777777" w:rsidR="00715DD1" w:rsidRDefault="00715DD1" w:rsidP="005F4079">
          <w:pPr>
            <w:pStyle w:val="Header"/>
            <w:spacing w:after="120"/>
          </w:pPr>
        </w:p>
      </w:tc>
      <w:tc>
        <w:tcPr>
          <w:tcW w:w="1872" w:type="dxa"/>
          <w:tcBorders>
            <w:bottom w:val="single" w:sz="4" w:space="0" w:color="auto"/>
          </w:tcBorders>
          <w:shd w:val="clear" w:color="auto" w:fill="auto"/>
          <w:vAlign w:val="bottom"/>
        </w:tcPr>
        <w:p w14:paraId="43F3DDEE" w14:textId="77777777" w:rsidR="00715DD1" w:rsidRPr="005F4079" w:rsidRDefault="00715DD1" w:rsidP="005F4079">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D95D5EA" w14:textId="77777777" w:rsidR="00715DD1" w:rsidRDefault="00715DD1" w:rsidP="005F4079">
          <w:pPr>
            <w:pStyle w:val="Header"/>
            <w:spacing w:after="120"/>
          </w:pPr>
        </w:p>
      </w:tc>
      <w:tc>
        <w:tcPr>
          <w:tcW w:w="6466" w:type="dxa"/>
          <w:gridSpan w:val="4"/>
          <w:tcBorders>
            <w:bottom w:val="single" w:sz="4" w:space="0" w:color="auto"/>
          </w:tcBorders>
          <w:shd w:val="clear" w:color="auto" w:fill="auto"/>
          <w:vAlign w:val="bottom"/>
        </w:tcPr>
        <w:p w14:paraId="783C65C5" w14:textId="77777777" w:rsidR="00715DD1" w:rsidRPr="005F4079" w:rsidRDefault="00715DD1" w:rsidP="005F4079">
          <w:pPr>
            <w:spacing w:after="80" w:line="240" w:lineRule="auto"/>
            <w:jc w:val="right"/>
            <w:rPr>
              <w:position w:val="-4"/>
            </w:rPr>
          </w:pPr>
          <w:r>
            <w:rPr>
              <w:position w:val="-4"/>
              <w:sz w:val="40"/>
            </w:rPr>
            <w:t>A</w:t>
          </w:r>
          <w:r>
            <w:rPr>
              <w:position w:val="-4"/>
            </w:rPr>
            <w:t>/RES/78/316</w:t>
          </w:r>
        </w:p>
      </w:tc>
    </w:tr>
    <w:tr w:rsidR="00715DD1" w:rsidRPr="005F4079" w14:paraId="451C72E5" w14:textId="77777777" w:rsidTr="005F4079">
      <w:trPr>
        <w:gridAfter w:val="1"/>
        <w:wAfter w:w="15" w:type="dxa"/>
        <w:trHeight w:hRule="exact" w:val="2880"/>
      </w:trPr>
      <w:tc>
        <w:tcPr>
          <w:tcW w:w="1267" w:type="dxa"/>
          <w:tcBorders>
            <w:top w:val="single" w:sz="4" w:space="0" w:color="auto"/>
            <w:bottom w:val="single" w:sz="12" w:space="0" w:color="auto"/>
          </w:tcBorders>
          <w:shd w:val="clear" w:color="auto" w:fill="auto"/>
        </w:tcPr>
        <w:p w14:paraId="20404D5F" w14:textId="77777777" w:rsidR="00715DD1" w:rsidRPr="005F4079" w:rsidRDefault="00715DD1" w:rsidP="005F4079">
          <w:pPr>
            <w:pStyle w:val="Header"/>
            <w:spacing w:before="120"/>
            <w:jc w:val="center"/>
          </w:pPr>
          <w:r>
            <w:t xml:space="preserve"> </w:t>
          </w:r>
          <w:r>
            <w:drawing>
              <wp:inline distT="0" distB="0" distL="0" distR="0" wp14:anchorId="410D57E6" wp14:editId="37F1DB50">
                <wp:extent cx="713232" cy="597103"/>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DE4EEC1" w14:textId="77777777" w:rsidR="00715DD1" w:rsidRPr="005F4079" w:rsidRDefault="00715DD1" w:rsidP="005F4079">
          <w:pPr>
            <w:pStyle w:val="XLarge"/>
            <w:spacing w:before="109"/>
          </w:pPr>
          <w:r>
            <w:t>General Assembly</w:t>
          </w:r>
        </w:p>
      </w:tc>
      <w:tc>
        <w:tcPr>
          <w:tcW w:w="245" w:type="dxa"/>
          <w:tcBorders>
            <w:top w:val="single" w:sz="4" w:space="0" w:color="auto"/>
            <w:bottom w:val="single" w:sz="12" w:space="0" w:color="auto"/>
          </w:tcBorders>
          <w:shd w:val="clear" w:color="auto" w:fill="auto"/>
        </w:tcPr>
        <w:p w14:paraId="32A859A0" w14:textId="77777777" w:rsidR="00715DD1" w:rsidRPr="005F4079" w:rsidRDefault="00715DD1" w:rsidP="005F4079">
          <w:pPr>
            <w:pStyle w:val="Header"/>
            <w:spacing w:before="109"/>
          </w:pPr>
        </w:p>
      </w:tc>
      <w:tc>
        <w:tcPr>
          <w:tcW w:w="3096" w:type="dxa"/>
          <w:tcBorders>
            <w:top w:val="single" w:sz="4" w:space="0" w:color="auto"/>
            <w:bottom w:val="single" w:sz="12" w:space="0" w:color="auto"/>
          </w:tcBorders>
          <w:shd w:val="clear" w:color="auto" w:fill="auto"/>
        </w:tcPr>
        <w:p w14:paraId="7F831E19" w14:textId="77777777" w:rsidR="00715DD1" w:rsidRDefault="00715DD1" w:rsidP="005F4079">
          <w:pPr>
            <w:pStyle w:val="Publication"/>
            <w:spacing w:before="240"/>
            <w:rPr>
              <w:color w:val="010000"/>
            </w:rPr>
          </w:pPr>
          <w:r>
            <w:rPr>
              <w:color w:val="010000"/>
            </w:rPr>
            <w:t>Distr.: General</w:t>
          </w:r>
        </w:p>
        <w:p w14:paraId="64269027" w14:textId="77777777" w:rsidR="00715DD1" w:rsidRDefault="00715DD1" w:rsidP="005F4079">
          <w:r>
            <w:t>15 July 2024</w:t>
          </w:r>
        </w:p>
        <w:p w14:paraId="367517BD" w14:textId="77777777" w:rsidR="00715DD1" w:rsidRPr="005F4079" w:rsidRDefault="00715DD1" w:rsidP="005F4079"/>
      </w:tc>
    </w:tr>
  </w:tbl>
  <w:p w14:paraId="6F708EBC" w14:textId="77777777" w:rsidR="00715DD1" w:rsidRPr="005F4079" w:rsidRDefault="00715DD1" w:rsidP="005F4079">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665400368">
    <w:abstractNumId w:val="7"/>
  </w:num>
  <w:num w:numId="2" w16cid:durableId="821582737">
    <w:abstractNumId w:val="4"/>
  </w:num>
  <w:num w:numId="3" w16cid:durableId="60057993">
    <w:abstractNumId w:val="3"/>
  </w:num>
  <w:num w:numId="4" w16cid:durableId="1524440697">
    <w:abstractNumId w:val="2"/>
  </w:num>
  <w:num w:numId="5" w16cid:durableId="636186646">
    <w:abstractNumId w:val="1"/>
  </w:num>
  <w:num w:numId="6" w16cid:durableId="2063408362">
    <w:abstractNumId w:val="0"/>
  </w:num>
  <w:num w:numId="7" w16cid:durableId="246772902">
    <w:abstractNumId w:val="11"/>
  </w:num>
  <w:num w:numId="8" w16cid:durableId="2011710767">
    <w:abstractNumId w:val="5"/>
  </w:num>
  <w:num w:numId="9" w16cid:durableId="2067145270">
    <w:abstractNumId w:val="10"/>
  </w:num>
  <w:num w:numId="10" w16cid:durableId="795755175">
    <w:abstractNumId w:val="9"/>
  </w:num>
  <w:num w:numId="11" w16cid:durableId="1065690092">
    <w:abstractNumId w:val="8"/>
  </w:num>
  <w:num w:numId="12" w16cid:durableId="461387236">
    <w:abstractNumId w:val="11"/>
  </w:num>
  <w:num w:numId="13" w16cid:durableId="1578710209">
    <w:abstractNumId w:val="5"/>
  </w:num>
  <w:num w:numId="14" w16cid:durableId="1811092143">
    <w:abstractNumId w:val="10"/>
  </w:num>
  <w:num w:numId="15" w16cid:durableId="1615479354">
    <w:abstractNumId w:val="8"/>
  </w:num>
  <w:num w:numId="16" w16cid:durableId="1902323932">
    <w:abstractNumId w:val="8"/>
  </w:num>
  <w:num w:numId="17" w16cid:durableId="94595879">
    <w:abstractNumId w:val="8"/>
  </w:num>
  <w:num w:numId="18" w16cid:durableId="1992908262">
    <w:abstractNumId w:val="8"/>
  </w:num>
  <w:num w:numId="19" w16cid:durableId="2082024259">
    <w:abstractNumId w:val="8"/>
  </w:num>
  <w:num w:numId="20" w16cid:durableId="1850876114">
    <w:abstractNumId w:val="8"/>
  </w:num>
  <w:num w:numId="21" w16cid:durableId="525677797">
    <w:abstractNumId w:val="8"/>
  </w:num>
  <w:num w:numId="22" w16cid:durableId="2107189563">
    <w:abstractNumId w:val="8"/>
  </w:num>
  <w:num w:numId="23" w16cid:durableId="476723092">
    <w:abstractNumId w:val="8"/>
  </w:num>
  <w:num w:numId="24" w16cid:durableId="1816337770">
    <w:abstractNumId w:val="9"/>
  </w:num>
  <w:num w:numId="25" w16cid:durableId="1922181710">
    <w:abstractNumId w:val="8"/>
  </w:num>
  <w:num w:numId="26" w16cid:durableId="1547912004">
    <w:abstractNumId w:val="12"/>
  </w:num>
  <w:num w:numId="27" w16cid:durableId="1897542946">
    <w:abstractNumId w:val="6"/>
  </w:num>
  <w:num w:numId="28" w16cid:durableId="2101946042">
    <w:abstractNumId w:val="12"/>
  </w:num>
  <w:num w:numId="29" w16cid:durableId="1785807504">
    <w:abstractNumId w:val="6"/>
  </w:num>
  <w:num w:numId="30" w16cid:durableId="1520661756">
    <w:abstractNumId w:val="12"/>
  </w:num>
  <w:num w:numId="31" w16cid:durableId="565528646">
    <w:abstractNumId w:val="6"/>
  </w:num>
  <w:num w:numId="32" w16cid:durableId="124390806">
    <w:abstractNumId w:val="12"/>
  </w:num>
  <w:num w:numId="33" w16cid:durableId="537931232">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475"/>
  <w:doNotHyphenateCaps/>
  <w:evenAndOddHeaders/>
  <w:characterSpacingControl w:val="doNotCompress"/>
  <w:hdrShapeDefaults>
    <o:shapedefaults v:ext="edit" spidmax="4097"/>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The situation in the temporarily occupied territories of Ukraine_x000d_"/>
    <w:docVar w:name="Agenda1" w:val="Agenda item 62_x000d__x0007_"/>
    <w:docVar w:name="Barcode" w:val="*2412991*"/>
    <w:docVar w:name="CreationDt" w:val="19/07/2024 4:13: PM"/>
    <w:docVar w:name="DocCategory" w:val="Doc"/>
    <w:docVar w:name="DocType" w:val="Final"/>
    <w:docVar w:name="DutyStation" w:val="New York"/>
    <w:docVar w:name="FooterJN" w:val="24-12991"/>
    <w:docVar w:name="jobn" w:val="24-12991 (E)"/>
    <w:docVar w:name="jobnDT" w:val="24-12991 (E)   190724"/>
    <w:docVar w:name="jobnDTDT" w:val="24-12991 (E)   190724   190724"/>
    <w:docVar w:name="JobNo" w:val="2412991E"/>
    <w:docVar w:name="JobNo2" w:val="2420987E"/>
    <w:docVar w:name="LocalDrive" w:val="-1"/>
    <w:docVar w:name="OandT" w:val=" "/>
    <w:docVar w:name="Session1" w:val="Seventy-eighth session_x000d__x0007_"/>
    <w:docVar w:name="sss1" w:val="A/RES/78/316"/>
    <w:docVar w:name="sss2" w:val="-"/>
    <w:docVar w:name="Symbol1" w:val="A/RES/78/316"/>
    <w:docVar w:name="Symbol2" w:val="-"/>
    <w:docVar w:name="Title1" w:val="_x0009__x0009_Resolution adopted by the General Assembly on 11 July 2024_x000d_"/>
    <w:docVar w:name="Title2" w:val="_x0009_78/316._x0009_Safety and security of nuclear facilities of Ukraine, including _x000b_the Zaporizhzhia nuclear power plant_x000d_"/>
  </w:docVars>
  <w:rsids>
    <w:rsidRoot w:val="001F623C"/>
    <w:rsid w:val="00001169"/>
    <w:rsid w:val="000A10A0"/>
    <w:rsid w:val="000A747C"/>
    <w:rsid w:val="000C5D40"/>
    <w:rsid w:val="00101B6D"/>
    <w:rsid w:val="001167DA"/>
    <w:rsid w:val="0013302C"/>
    <w:rsid w:val="001954AA"/>
    <w:rsid w:val="001F623C"/>
    <w:rsid w:val="00247400"/>
    <w:rsid w:val="00331D20"/>
    <w:rsid w:val="00361DD3"/>
    <w:rsid w:val="00365FD7"/>
    <w:rsid w:val="00377FE7"/>
    <w:rsid w:val="003867C4"/>
    <w:rsid w:val="00420BAC"/>
    <w:rsid w:val="004245ED"/>
    <w:rsid w:val="00495E7B"/>
    <w:rsid w:val="0049669D"/>
    <w:rsid w:val="004A7B5F"/>
    <w:rsid w:val="004C7753"/>
    <w:rsid w:val="004F5722"/>
    <w:rsid w:val="005124D1"/>
    <w:rsid w:val="00533C05"/>
    <w:rsid w:val="0054211F"/>
    <w:rsid w:val="005610B1"/>
    <w:rsid w:val="005658E3"/>
    <w:rsid w:val="005715AF"/>
    <w:rsid w:val="006D207E"/>
    <w:rsid w:val="00715DD1"/>
    <w:rsid w:val="007E7717"/>
    <w:rsid w:val="008000C3"/>
    <w:rsid w:val="008138CB"/>
    <w:rsid w:val="0086112C"/>
    <w:rsid w:val="00863195"/>
    <w:rsid w:val="00877270"/>
    <w:rsid w:val="008F66A1"/>
    <w:rsid w:val="00906A21"/>
    <w:rsid w:val="009C5632"/>
    <w:rsid w:val="009D56BA"/>
    <w:rsid w:val="00A30D14"/>
    <w:rsid w:val="00A77F41"/>
    <w:rsid w:val="00A96458"/>
    <w:rsid w:val="00AA29EE"/>
    <w:rsid w:val="00B06285"/>
    <w:rsid w:val="00B27698"/>
    <w:rsid w:val="00B4204C"/>
    <w:rsid w:val="00B80680"/>
    <w:rsid w:val="00B901FD"/>
    <w:rsid w:val="00BC2C8A"/>
    <w:rsid w:val="00C27BCF"/>
    <w:rsid w:val="00C46199"/>
    <w:rsid w:val="00C4776A"/>
    <w:rsid w:val="00C757CB"/>
    <w:rsid w:val="00CC2D86"/>
    <w:rsid w:val="00CD3916"/>
    <w:rsid w:val="00D23FFB"/>
    <w:rsid w:val="00D409D0"/>
    <w:rsid w:val="00D91A05"/>
    <w:rsid w:val="00DB0712"/>
    <w:rsid w:val="00DD405A"/>
    <w:rsid w:val="00E26243"/>
    <w:rsid w:val="00E548DF"/>
    <w:rsid w:val="00E8036E"/>
    <w:rsid w:val="00EA1709"/>
    <w:rsid w:val="00EC7936"/>
    <w:rsid w:val="00EF2580"/>
    <w:rsid w:val="00F95E56"/>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431BEA"/>
  <w15:chartTrackingRefBased/>
  <w15:docId w15:val="{80CF5FD9-E72B-42CC-AD9D-018057F5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199"/>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C46199"/>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C46199"/>
    <w:rPr>
      <w:rFonts w:ascii="Times New Roman" w:eastAsiaTheme="minorHAnsi" w:hAnsi="Times New Roman" w:cs="Times New Roman"/>
      <w:noProof/>
      <w:sz w:val="17"/>
      <w:szCs w:val="20"/>
      <w:lang w:eastAsia="en-US"/>
    </w:rPr>
  </w:style>
  <w:style w:type="paragraph" w:styleId="Footer">
    <w:name w:val="footer"/>
    <w:link w:val="FooterChar"/>
    <w:rsid w:val="00C46199"/>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C46199"/>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C46199"/>
    <w:pPr>
      <w:spacing w:line="360" w:lineRule="exact"/>
    </w:pPr>
    <w:rPr>
      <w:spacing w:val="-3"/>
      <w:w w:val="99"/>
      <w:sz w:val="34"/>
    </w:rPr>
  </w:style>
  <w:style w:type="paragraph" w:customStyle="1" w:styleId="H1">
    <w:name w:val="_ H_1"/>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C46199"/>
    <w:pPr>
      <w:spacing w:line="300" w:lineRule="exact"/>
      <w:ind w:left="0" w:right="0" w:firstLine="0"/>
    </w:pPr>
    <w:rPr>
      <w:spacing w:val="-2"/>
      <w:sz w:val="28"/>
    </w:rPr>
  </w:style>
  <w:style w:type="paragraph" w:customStyle="1" w:styleId="H23">
    <w:name w:val="_ H_2/3"/>
    <w:basedOn w:val="Normal"/>
    <w:next w:val="Normal"/>
    <w:rsid w:val="00A7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pPr>
    <w:rPr>
      <w:b/>
      <w:lang w:val="en-US"/>
    </w:rPr>
  </w:style>
  <w:style w:type="paragraph" w:customStyle="1" w:styleId="H4">
    <w:name w:val="_ H_4"/>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C46199"/>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C46199"/>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C46199"/>
    <w:pPr>
      <w:spacing w:line="540" w:lineRule="exact"/>
    </w:pPr>
    <w:rPr>
      <w:spacing w:val="-8"/>
      <w:w w:val="96"/>
      <w:sz w:val="57"/>
    </w:rPr>
  </w:style>
  <w:style w:type="paragraph" w:customStyle="1" w:styleId="SS">
    <w:name w:val="__S_S"/>
    <w:basedOn w:val="HCh"/>
    <w:next w:val="Normal"/>
    <w:rsid w:val="00C46199"/>
    <w:pPr>
      <w:ind w:left="1267" w:right="1267"/>
    </w:pPr>
  </w:style>
  <w:style w:type="paragraph" w:customStyle="1" w:styleId="SingleTxt">
    <w:name w:val="__Single Txt"/>
    <w:basedOn w:val="Normal"/>
    <w:link w:val="SingleTxtChar"/>
    <w:rsid w:val="00C4619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C46199"/>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SingleTxt"/>
    <w:qFormat/>
    <w:rsid w:val="00C46199"/>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C46199"/>
    <w:pPr>
      <w:spacing w:line="240" w:lineRule="exact"/>
      <w:ind w:left="0" w:right="5040" w:firstLine="0"/>
      <w:outlineLvl w:val="1"/>
    </w:pPr>
    <w:rPr>
      <w:sz w:val="20"/>
    </w:rPr>
  </w:style>
  <w:style w:type="paragraph" w:customStyle="1" w:styleId="Bullet1">
    <w:name w:val="Bullet 1"/>
    <w:basedOn w:val="Normal"/>
    <w:qFormat/>
    <w:rsid w:val="00C46199"/>
    <w:pPr>
      <w:numPr>
        <w:numId w:val="32"/>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C46199"/>
    <w:pPr>
      <w:numPr>
        <w:numId w:val="33"/>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C46199"/>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C46199"/>
  </w:style>
  <w:style w:type="character" w:customStyle="1" w:styleId="EndnoteTextChar">
    <w:name w:val="Endnote Text Char"/>
    <w:basedOn w:val="DefaultParagraphFont"/>
    <w:link w:val="EndnoteText"/>
    <w:semiHidden/>
    <w:rsid w:val="00C46199"/>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C46199"/>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C46199"/>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C46199"/>
    <w:pPr>
      <w:tabs>
        <w:tab w:val="right" w:pos="9965"/>
      </w:tabs>
      <w:spacing w:line="210" w:lineRule="exact"/>
    </w:pPr>
    <w:rPr>
      <w:spacing w:val="5"/>
      <w:w w:val="104"/>
      <w:sz w:val="17"/>
    </w:rPr>
  </w:style>
  <w:style w:type="paragraph" w:customStyle="1" w:styleId="SmallX">
    <w:name w:val="SmallX"/>
    <w:basedOn w:val="Small"/>
    <w:next w:val="Normal"/>
    <w:rsid w:val="00C46199"/>
    <w:pPr>
      <w:spacing w:line="180" w:lineRule="exact"/>
      <w:jc w:val="right"/>
    </w:pPr>
    <w:rPr>
      <w:spacing w:val="6"/>
      <w:w w:val="106"/>
      <w:sz w:val="14"/>
    </w:rPr>
  </w:style>
  <w:style w:type="paragraph" w:customStyle="1" w:styleId="TitleHCH">
    <w:name w:val="Title_H_CH"/>
    <w:basedOn w:val="H1"/>
    <w:next w:val="Normal"/>
    <w:qFormat/>
    <w:rsid w:val="00C46199"/>
    <w:pPr>
      <w:spacing w:line="300" w:lineRule="exact"/>
      <w:ind w:left="0" w:right="0" w:firstLine="0"/>
    </w:pPr>
    <w:rPr>
      <w:spacing w:val="-2"/>
      <w:sz w:val="28"/>
    </w:rPr>
  </w:style>
  <w:style w:type="paragraph" w:customStyle="1" w:styleId="TitleH2">
    <w:name w:val="Title_H2"/>
    <w:basedOn w:val="Normal"/>
    <w:next w:val="Normal"/>
    <w:qFormat/>
    <w:rsid w:val="00C46199"/>
    <w:pPr>
      <w:outlineLvl w:val="1"/>
    </w:pPr>
    <w:rPr>
      <w:b/>
    </w:rPr>
  </w:style>
  <w:style w:type="paragraph" w:customStyle="1" w:styleId="XLarge">
    <w:name w:val="XLarge"/>
    <w:basedOn w:val="HM"/>
    <w:rsid w:val="00C46199"/>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46199"/>
    <w:rPr>
      <w:rFonts w:ascii="Tahoma" w:hAnsi="Tahoma" w:cs="Tahoma"/>
      <w:sz w:val="16"/>
      <w:szCs w:val="16"/>
    </w:rPr>
  </w:style>
  <w:style w:type="character" w:customStyle="1" w:styleId="BalloonTextChar">
    <w:name w:val="Balloon Text Char"/>
    <w:basedOn w:val="DefaultParagraphFont"/>
    <w:link w:val="BalloonText"/>
    <w:semiHidden/>
    <w:rsid w:val="00C46199"/>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single"/>
    </w:rPr>
  </w:style>
  <w:style w:type="character" w:styleId="Hyperlink">
    <w:name w:val="Hyperlink"/>
    <w:basedOn w:val="DefaultParagraphFont"/>
    <w:rsid w:val="00C46199"/>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C46199"/>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semiHidden/>
    <w:rsid w:val="00C46199"/>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C46199"/>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C46199"/>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C46199"/>
    <w:rPr>
      <w:rFonts w:ascii="Courier New" w:eastAsia="Times New Roman" w:hAnsi="Courier New" w:cs="Times New Roman"/>
      <w:sz w:val="20"/>
      <w:szCs w:val="20"/>
      <w:lang w:eastAsia="en-GB"/>
    </w:rPr>
  </w:style>
  <w:style w:type="paragraph" w:customStyle="1" w:styleId="ReleaseDate0">
    <w:name w:val="Release Date"/>
    <w:next w:val="Footer"/>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C4619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EF258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pPr>
    <w:rPr>
      <w:b/>
      <w:color w:val="0000FF"/>
      <w:sz w:val="24"/>
    </w:rPr>
  </w:style>
  <w:style w:type="paragraph" w:customStyle="1" w:styleId="BLUEHeadingH2">
    <w:name w:val="BLUE_Heading_H2"/>
    <w:basedOn w:val="Normal"/>
    <w:next w:val="Normal"/>
    <w:qFormat/>
    <w:rsid w:val="00E26243"/>
    <w:pPr>
      <w:outlineLvl w:val="1"/>
    </w:pPr>
    <w:rPr>
      <w:b/>
      <w:color w:val="0000FF"/>
    </w:rPr>
  </w:style>
  <w:style w:type="paragraph" w:styleId="CommentText">
    <w:name w:val="annotation text"/>
    <w:basedOn w:val="Normal"/>
    <w:link w:val="CommentTextChar"/>
    <w:uiPriority w:val="99"/>
    <w:semiHidden/>
    <w:unhideWhenUsed/>
    <w:rsid w:val="00533C05"/>
    <w:pPr>
      <w:spacing w:line="240" w:lineRule="auto"/>
    </w:pPr>
  </w:style>
  <w:style w:type="character" w:customStyle="1" w:styleId="CommentTextChar">
    <w:name w:val="Comment Text Char"/>
    <w:basedOn w:val="DefaultParagraphFont"/>
    <w:link w:val="CommentText"/>
    <w:uiPriority w:val="99"/>
    <w:semiHidden/>
    <w:rsid w:val="00533C05"/>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533C05"/>
    <w:rPr>
      <w:b/>
      <w:bCs/>
    </w:rPr>
  </w:style>
  <w:style w:type="character" w:customStyle="1" w:styleId="CommentSubjectChar">
    <w:name w:val="Comment Subject Char"/>
    <w:basedOn w:val="CommentTextChar"/>
    <w:link w:val="CommentSubject"/>
    <w:uiPriority w:val="99"/>
    <w:semiHidden/>
    <w:rsid w:val="00533C05"/>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C27BCF"/>
    <w:pPr>
      <w:spacing w:after="0" w:line="240" w:lineRule="auto"/>
    </w:pPr>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undocs.org/en/A/RES/68/262" TargetMode="Externa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undocs.org/en/A/78/L.90" TargetMode="Externa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yperlink" Target="https://undocs.org/en/A/RES/78/221" TargetMode="Externa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yperlink" Target="https://undocs.org/en/A/RES/78/8" TargetMode="Externa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3" Type="http://schemas.openxmlformats.org/officeDocument/2006/relationships/hyperlink" Target="https://undocs.org/en/A/RES/ES-11/2" TargetMode="External"/><Relationship Id="rId2" Type="http://schemas.openxmlformats.org/officeDocument/2006/relationships/hyperlink" Target="https://undocs.org/en/A/RES/ES-11/1" TargetMode="External"/><Relationship Id="rId1" Type="http://schemas.openxmlformats.org/officeDocument/2006/relationships/hyperlink" Target="https://undocs.org/en/A/77/4" TargetMode="External"/><Relationship Id="rId5" Type="http://schemas.openxmlformats.org/officeDocument/2006/relationships/hyperlink" Target="https://undocs.org/en/A/RES/ES-11/6" TargetMode="External"/><Relationship Id="rId4" Type="http://schemas.openxmlformats.org/officeDocument/2006/relationships/hyperlink" Target="https://undocs.org/en/A/RES/ES-11/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E8C901-7730-4EEB-AAB3-8A6569D83BE8}">
  <ds:schemaRefs>
    <ds:schemaRef ds:uri="http://schemas.openxmlformats.org/package/2006/metadata/core-properties"/>
    <ds:schemaRef ds:uri="http://purl.org/dc/dcmitype/"/>
    <ds:schemaRef ds:uri="32aca14f-6975-493a-b86a-2ec1bd8de72a"/>
    <ds:schemaRef ds:uri="http://schemas.microsoft.com/office/2006/documentManagement/types"/>
    <ds:schemaRef ds:uri="http://purl.org/dc/terms/"/>
    <ds:schemaRef ds:uri="http://purl.org/dc/elements/1.1/"/>
    <ds:schemaRef ds:uri="http://schemas.microsoft.com/office/2006/metadata/properties"/>
    <ds:schemaRef ds:uri="41c8501f-7554-4cfe-b76f-88ff51cf7baf"/>
    <ds:schemaRef ds:uri="http://schemas.microsoft.com/office/infopath/2007/PartnerControls"/>
    <ds:schemaRef ds:uri="985ec44e-1bab-4c0b-9df0-6ba128686fc9"/>
    <ds:schemaRef ds:uri="http://www.w3.org/XML/1998/namespace"/>
  </ds:schemaRefs>
</ds:datastoreItem>
</file>

<file path=customXml/itemProps2.xml><?xml version="1.0" encoding="utf-8"?>
<ds:datastoreItem xmlns:ds="http://schemas.openxmlformats.org/officeDocument/2006/customXml" ds:itemID="{7B24CB31-0E02-4902-9154-42D8F3D94234}">
  <ds:schemaRefs>
    <ds:schemaRef ds:uri="http://schemas.microsoft.com/sharepoint/v3/contenttype/forms"/>
  </ds:schemaRefs>
</ds:datastoreItem>
</file>

<file path=customXml/itemProps3.xml><?xml version="1.0" encoding="utf-8"?>
<ds:datastoreItem xmlns:ds="http://schemas.openxmlformats.org/officeDocument/2006/customXml" ds:itemID="{0B8AAA66-32BC-45BD-AD00-D899897E3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Mavrodin</dc:creator>
  <cp:keywords/>
  <dc:description/>
  <cp:lastModifiedBy>Esther Kimani</cp:lastModifiedBy>
  <cp:revision>3</cp:revision>
  <cp:lastPrinted>2024-07-22T21:46:00Z</cp:lastPrinted>
  <dcterms:created xsi:type="dcterms:W3CDTF">2024-07-22T21:46:00Z</dcterms:created>
  <dcterms:modified xsi:type="dcterms:W3CDTF">2024-07-22T21:46:00Z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2412991</vt:lpwstr>
  </property>
  <property fmtid="{D5CDD505-2E9C-101B-9397-08002B2CF9AE}" pid="3" name="ODSRefJobNo">
    <vt:lpwstr>2420987E</vt:lpwstr>
  </property>
  <property fmtid="{D5CDD505-2E9C-101B-9397-08002B2CF9AE}" pid="4" name="Symbol1">
    <vt:lpwstr>A/RES/78/316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Seventy-eighth session_x000d__x0007_</vt:lpwstr>
  </property>
  <property fmtid="{D5CDD505-2E9C-101B-9397-08002B2CF9AE}" pid="14" name="Agenda1">
    <vt:lpwstr>Agenda item 62_x000d__x0007_</vt:lpwstr>
  </property>
  <property fmtid="{D5CDD505-2E9C-101B-9397-08002B2CF9AE}" pid="15" name="Agenda Title1">
    <vt:lpwstr>The situation in the temporarily occupied territories of Ukraine_x000d_</vt:lpwstr>
  </property>
  <property fmtid="{D5CDD505-2E9C-101B-9397-08002B2CF9AE}" pid="16" name="Title1">
    <vt:lpwstr>Resolution adopted by the General Assembly on 11 July 2024</vt:lpwstr>
  </property>
  <property fmtid="{D5CDD505-2E9C-101B-9397-08002B2CF9AE}" pid="17" name="Title2">
    <vt:lpwstr>Safety and security of nuclear facilities of Ukraine, including </vt:lpwstr>
  </property>
</Properties>
</file>