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 xml:space="preserve">Należy oddać wszystkie prace domowe. </w:t>
      </w:r>
      <w:proofErr w:type="gramStart"/>
      <w:r>
        <w:t>Nie przyniesienie</w:t>
      </w:r>
      <w:proofErr w:type="gramEnd"/>
      <w:r>
        <w:t xml:space="preserve">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 xml:space="preserve">: podręcznik, ksero tekstu, lektura. </w:t>
      </w:r>
      <w:proofErr w:type="gramStart"/>
      <w:r>
        <w:t>Uczeń</w:t>
      </w:r>
      <w:proofErr w:type="gramEnd"/>
      <w:r>
        <w:t xml:space="preserve">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śródroczna i na koniec roku szkolnego jest </w:t>
      </w:r>
      <w:proofErr w:type="gramStart"/>
      <w:r>
        <w:t>pozytywna</w:t>
      </w:r>
      <w:proofErr w:type="gramEnd"/>
      <w:r>
        <w:t xml:space="preserve">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2293005D" w14:textId="24461558" w:rsidR="00117156" w:rsidRDefault="00117156">
      <w:r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46541C17" w:rsidR="00E8175B" w:rsidRDefault="00634FAB" w:rsidP="00E8175B">
            <w:pPr>
              <w:pStyle w:val="Akapitzlist"/>
              <w:ind w:left="0"/>
            </w:pPr>
            <w:r>
              <w:t xml:space="preserve">Odbija przebieg zdarzeń, trwanie, </w:t>
            </w:r>
            <w:proofErr w:type="spellStart"/>
            <w:r>
              <w:t>wzruszneie</w:t>
            </w:r>
            <w:proofErr w:type="spellEnd"/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77777777" w:rsidR="00E8175B" w:rsidRDefault="00E8175B" w:rsidP="00E8175B">
            <w:pPr>
              <w:pStyle w:val="Akapitzlist"/>
              <w:ind w:left="0"/>
            </w:pPr>
            <w:bookmarkStart w:id="0" w:name="_GoBack"/>
            <w:bookmarkEnd w:id="0"/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proofErr w:type="gramStart"/>
            <w:r>
              <w:t>Efektowne</w:t>
            </w:r>
            <w:proofErr w:type="gramEnd"/>
            <w:r>
              <w:t xml:space="preserve">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1" w:type="dxa"/>
          </w:tcPr>
          <w:p w14:paraId="1EBEE20C" w14:textId="77777777" w:rsidR="00E8175B" w:rsidRDefault="00E8175B" w:rsidP="00E8175B">
            <w:pPr>
              <w:pStyle w:val="Akapitzlist"/>
              <w:ind w:left="0"/>
            </w:pPr>
          </w:p>
        </w:tc>
      </w:tr>
    </w:tbl>
    <w:p w14:paraId="318FB650" w14:textId="05990E95" w:rsidR="00E8175B" w:rsidRDefault="00E8175B" w:rsidP="00E8175B">
      <w:pPr>
        <w:pStyle w:val="Akapitzlist"/>
      </w:pP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45"/>
        <w:gridCol w:w="2061"/>
        <w:gridCol w:w="2118"/>
        <w:gridCol w:w="2118"/>
      </w:tblGrid>
      <w:tr w:rsidR="00ED3987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ED3987" w14:paraId="7B1BA7E8" w14:textId="77777777" w:rsidTr="00ED3987">
        <w:tc>
          <w:tcPr>
            <w:tcW w:w="2265" w:type="dxa"/>
          </w:tcPr>
          <w:p w14:paraId="5FF417E1" w14:textId="77777777" w:rsidR="00ED3987" w:rsidRDefault="00ED3987" w:rsidP="00ED3987">
            <w:pPr>
              <w:pStyle w:val="Akapitzlist"/>
              <w:ind w:left="0"/>
            </w:pPr>
          </w:p>
        </w:tc>
        <w:tc>
          <w:tcPr>
            <w:tcW w:w="2265" w:type="dxa"/>
          </w:tcPr>
          <w:p w14:paraId="3244FD5D" w14:textId="77777777" w:rsidR="00ED3987" w:rsidRDefault="00ED3987" w:rsidP="00ED3987">
            <w:pPr>
              <w:pStyle w:val="Akapitzlist"/>
              <w:ind w:left="0"/>
            </w:pPr>
          </w:p>
        </w:tc>
        <w:tc>
          <w:tcPr>
            <w:tcW w:w="2266" w:type="dxa"/>
          </w:tcPr>
          <w:p w14:paraId="1BB89E79" w14:textId="77777777" w:rsidR="00ED3987" w:rsidRDefault="00ED3987" w:rsidP="00ED3987">
            <w:pPr>
              <w:pStyle w:val="Akapitzlist"/>
              <w:ind w:left="0"/>
            </w:pPr>
          </w:p>
        </w:tc>
        <w:tc>
          <w:tcPr>
            <w:tcW w:w="2266" w:type="dxa"/>
          </w:tcPr>
          <w:p w14:paraId="14A43897" w14:textId="77777777" w:rsidR="00ED3987" w:rsidRDefault="00ED3987" w:rsidP="00ED3987">
            <w:pPr>
              <w:pStyle w:val="Akapitzlist"/>
              <w:ind w:left="0"/>
            </w:pPr>
          </w:p>
        </w:tc>
      </w:tr>
      <w:tr w:rsidR="00ED3987" w14:paraId="2F81D7C9" w14:textId="77777777" w:rsidTr="00ED3987">
        <w:tc>
          <w:tcPr>
            <w:tcW w:w="2265" w:type="dxa"/>
          </w:tcPr>
          <w:p w14:paraId="777119E3" w14:textId="77777777" w:rsidR="00ED3987" w:rsidRDefault="00ED3987" w:rsidP="00ED3987">
            <w:pPr>
              <w:pStyle w:val="Akapitzlist"/>
              <w:ind w:left="0"/>
            </w:pPr>
          </w:p>
        </w:tc>
        <w:tc>
          <w:tcPr>
            <w:tcW w:w="2265" w:type="dxa"/>
          </w:tcPr>
          <w:p w14:paraId="48FB2342" w14:textId="77777777" w:rsidR="00ED3987" w:rsidRDefault="00ED3987" w:rsidP="00ED3987">
            <w:pPr>
              <w:pStyle w:val="Akapitzlist"/>
              <w:ind w:left="0"/>
            </w:pPr>
          </w:p>
        </w:tc>
        <w:tc>
          <w:tcPr>
            <w:tcW w:w="2266" w:type="dxa"/>
          </w:tcPr>
          <w:p w14:paraId="65847650" w14:textId="77777777" w:rsidR="00ED3987" w:rsidRDefault="00ED3987" w:rsidP="00ED3987">
            <w:pPr>
              <w:pStyle w:val="Akapitzlist"/>
              <w:ind w:left="0"/>
            </w:pPr>
          </w:p>
        </w:tc>
        <w:tc>
          <w:tcPr>
            <w:tcW w:w="2266" w:type="dxa"/>
          </w:tcPr>
          <w:p w14:paraId="25BBC503" w14:textId="77777777" w:rsidR="00ED3987" w:rsidRDefault="00ED3987" w:rsidP="00ED3987">
            <w:pPr>
              <w:pStyle w:val="Akapitzlist"/>
              <w:ind w:left="0"/>
            </w:pPr>
          </w:p>
        </w:tc>
      </w:tr>
      <w:tr w:rsidR="00ED3987" w14:paraId="0A6C08B8" w14:textId="77777777" w:rsidTr="00ED3987">
        <w:tc>
          <w:tcPr>
            <w:tcW w:w="2265" w:type="dxa"/>
          </w:tcPr>
          <w:p w14:paraId="4C9983C1" w14:textId="77777777" w:rsidR="00ED3987" w:rsidRDefault="00ED3987" w:rsidP="00ED3987">
            <w:pPr>
              <w:pStyle w:val="Akapitzlist"/>
              <w:ind w:left="0"/>
            </w:pPr>
          </w:p>
        </w:tc>
        <w:tc>
          <w:tcPr>
            <w:tcW w:w="2265" w:type="dxa"/>
          </w:tcPr>
          <w:p w14:paraId="38605B9B" w14:textId="77777777" w:rsidR="00ED3987" w:rsidRDefault="00ED3987" w:rsidP="00ED3987">
            <w:pPr>
              <w:pStyle w:val="Akapitzlist"/>
              <w:ind w:left="0"/>
            </w:pPr>
          </w:p>
        </w:tc>
        <w:tc>
          <w:tcPr>
            <w:tcW w:w="2266" w:type="dxa"/>
          </w:tcPr>
          <w:p w14:paraId="63A710A3" w14:textId="77777777" w:rsidR="00ED3987" w:rsidRDefault="00ED3987" w:rsidP="00ED3987">
            <w:pPr>
              <w:pStyle w:val="Akapitzlist"/>
              <w:ind w:left="0"/>
            </w:pPr>
          </w:p>
        </w:tc>
        <w:tc>
          <w:tcPr>
            <w:tcW w:w="2266" w:type="dxa"/>
          </w:tcPr>
          <w:p w14:paraId="1B363A6C" w14:textId="77777777" w:rsidR="00ED3987" w:rsidRDefault="00ED3987" w:rsidP="00ED3987">
            <w:pPr>
              <w:pStyle w:val="Akapitzlist"/>
              <w:ind w:left="0"/>
            </w:pPr>
          </w:p>
        </w:tc>
      </w:tr>
    </w:tbl>
    <w:p w14:paraId="3F7291A5" w14:textId="77777777" w:rsidR="00ED3987" w:rsidRDefault="00ED3987" w:rsidP="00ED3987">
      <w:pPr>
        <w:pStyle w:val="Akapitzlist"/>
      </w:pPr>
    </w:p>
    <w:sectPr w:rsidR="00ED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117156"/>
    <w:rsid w:val="00503A88"/>
    <w:rsid w:val="00634FAB"/>
    <w:rsid w:val="00903C19"/>
    <w:rsid w:val="00DE5442"/>
    <w:rsid w:val="00E8175B"/>
    <w:rsid w:val="00ED3987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4</cp:revision>
  <dcterms:created xsi:type="dcterms:W3CDTF">2018-09-06T13:07:00Z</dcterms:created>
  <dcterms:modified xsi:type="dcterms:W3CDTF">2018-09-06T13:46:00Z</dcterms:modified>
</cp:coreProperties>
</file>