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7A76" w14:textId="77777777" w:rsidR="00631871" w:rsidRDefault="00631871">
      <w:pPr>
        <w:spacing w:before="3000"/>
      </w:pPr>
    </w:p>
    <w:p w14:paraId="7A17BD2E" w14:textId="77777777" w:rsidR="00631871" w:rsidRDefault="0013387A">
      <w:pPr>
        <w:spacing w:after="200"/>
        <w:jc w:val="center"/>
      </w:pPr>
      <w:r>
        <w:rPr>
          <w:b/>
          <w:bCs/>
          <w:color w:val="2C3E50"/>
          <w:sz w:val="52"/>
          <w:szCs w:val="52"/>
        </w:rPr>
        <w:t>NCA Assistant</w:t>
      </w:r>
    </w:p>
    <w:p w14:paraId="7BC19660" w14:textId="77777777" w:rsidR="00631871" w:rsidRDefault="0013387A">
      <w:pPr>
        <w:spacing w:after="100"/>
        <w:jc w:val="center"/>
      </w:pPr>
      <w:r>
        <w:rPr>
          <w:color w:val="3498DB"/>
          <w:sz w:val="36"/>
          <w:szCs w:val="36"/>
        </w:rPr>
        <w:t>User Manual</w:t>
      </w:r>
    </w:p>
    <w:p w14:paraId="4CB2ED11" w14:textId="77777777" w:rsidR="00631871" w:rsidRDefault="0013387A">
      <w:pPr>
        <w:spacing w:after="400"/>
        <w:jc w:val="center"/>
      </w:pPr>
      <w:r>
        <w:rPr>
          <w:color w:val="7F8C8D"/>
          <w:sz w:val="24"/>
          <w:szCs w:val="24"/>
        </w:rPr>
        <w:t>Version 1.7</w:t>
      </w:r>
    </w:p>
    <w:p w14:paraId="073D7953" w14:textId="77777777" w:rsidR="00631871" w:rsidRDefault="0013387A">
      <w:pPr>
        <w:spacing w:after="100"/>
        <w:jc w:val="center"/>
      </w:pPr>
      <w:r>
        <w:rPr>
          <w:sz w:val="24"/>
          <w:szCs w:val="24"/>
        </w:rPr>
        <w:t>Non-Compartmental Pharmacokinetic Analysis</w:t>
      </w:r>
    </w:p>
    <w:p w14:paraId="5C6417F4" w14:textId="77777777" w:rsidR="00631871" w:rsidRDefault="0013387A">
      <w:pPr>
        <w:spacing w:after="100"/>
        <w:jc w:val="center"/>
      </w:pPr>
      <w:r>
        <w:rPr>
          <w:sz w:val="24"/>
          <w:szCs w:val="24"/>
        </w:rPr>
        <w:t>Bioequivalence • Drug Interaction Studies • Power &amp; Sample Size</w:t>
      </w:r>
    </w:p>
    <w:p w14:paraId="06F7CB54" w14:textId="77777777" w:rsidR="00631871" w:rsidRDefault="0013387A">
      <w:pPr>
        <w:spacing w:before="800"/>
        <w:jc w:val="center"/>
      </w:pPr>
      <w:r>
        <w:rPr>
          <w:i/>
          <w:iCs/>
        </w:rPr>
        <w:t>Radboud Applied Pharmacometrics</w:t>
      </w:r>
    </w:p>
    <w:p w14:paraId="6B400744" w14:textId="77777777" w:rsidR="00631871" w:rsidRDefault="0013387A">
      <w:pPr>
        <w:jc w:val="center"/>
      </w:pPr>
      <w:r>
        <w:rPr>
          <w:i/>
          <w:iCs/>
        </w:rPr>
        <w:t>Radboudumc, Nijmegen, The Netherlands</w:t>
      </w:r>
    </w:p>
    <w:p w14:paraId="1263ACEC" w14:textId="77777777" w:rsidR="00631871" w:rsidRDefault="0013387A">
      <w:pPr>
        <w:jc w:val="center"/>
      </w:pPr>
      <w:r>
        <w:rPr>
          <w:i/>
          <w:iCs/>
          <w:color w:val="555555"/>
          <w:sz w:val="20"/>
          <w:szCs w:val="20"/>
        </w:rPr>
        <w:t>Designed and developed by Rob ter Heine (hospital pharmacist and clinical pharmacologist, Radboudumc)</w:t>
      </w:r>
    </w:p>
    <w:p w14:paraId="14ED9EE5" w14:textId="77777777" w:rsidR="00631871" w:rsidRDefault="0013387A">
      <w:pPr>
        <w:spacing w:before="400"/>
        <w:jc w:val="center"/>
      </w:pPr>
      <w:r>
        <w:rPr>
          <w:color w:val="999999"/>
          <w:sz w:val="18"/>
          <w:szCs w:val="18"/>
        </w:rPr>
        <w:t>Manual version 1.7, for NCA Assistant v1.6.0</w:t>
      </w:r>
    </w:p>
    <w:p w14:paraId="7AF583C4" w14:textId="77777777" w:rsidR="00631871" w:rsidRDefault="0013387A">
      <w:r>
        <w:br w:type="page"/>
      </w:r>
    </w:p>
    <w:p w14:paraId="37CCE878" w14:textId="77777777" w:rsidR="00631871" w:rsidRDefault="0013387A">
      <w:pPr>
        <w:pStyle w:val="Kop1"/>
      </w:pPr>
      <w:bookmarkStart w:id="0" w:name="_Toc241214333"/>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A14AE0E"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AFF1D95"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EBCBD"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3B6FD0"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3D272D" w14:textId="77777777" w:rsidR="00631871" w:rsidRDefault="0013387A">
            <w:r>
              <w:rPr>
                <w:b/>
                <w:bCs/>
                <w:color w:val="FFFFFF"/>
                <w:sz w:val="20"/>
                <w:szCs w:val="20"/>
              </w:rPr>
              <w:t>Changes</w:t>
            </w:r>
          </w:p>
        </w:tc>
      </w:tr>
      <w:tr w:rsidR="00631871" w14:paraId="1BE634D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63E94"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B9864"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2325B"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2BAD4" w14:textId="77777777" w:rsidR="00631871" w:rsidRDefault="0013387A">
            <w:r>
              <w:rPr>
                <w:sz w:val="20"/>
                <w:szCs w:val="20"/>
              </w:rPr>
              <w:t>Initial release</w:t>
            </w:r>
          </w:p>
        </w:tc>
      </w:tr>
      <w:tr w:rsidR="00631871" w14:paraId="0A5DDDC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6C60"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B8407"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4E29F"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6E50B" w14:textId="77777777" w:rsidR="00631871" w:rsidRDefault="0013387A">
            <w:r>
              <w:rPr>
                <w:sz w:val="20"/>
                <w:szCs w:val="20"/>
              </w:rPr>
              <w:t>Added theoretical background (Part V), expanded statistical methods (Part VI), DDI study analysis, decimal separator guidance</w:t>
            </w:r>
          </w:p>
        </w:tc>
      </w:tr>
      <w:tr w:rsidR="00631871" w14:paraId="01B77A5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85E5"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7712B"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D4355"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DD02" w14:textId="77777777" w:rsidR="00631871" w:rsidRDefault="0013387A">
            <w:r>
              <w:rPr>
                <w:sz w:val="20"/>
                <w:szCs w:val="20"/>
              </w:rPr>
              <w:t>Quick Start data preparation callout, grid plot fix documentation, single-subject Analysis Record, DDI interpretation thresholds, regulatory DDI guideline links, troubleshooting updates</w:t>
            </w:r>
          </w:p>
        </w:tc>
      </w:tr>
      <w:tr w:rsidR="00631871" w14:paraId="5FFBC6A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DCCCC" w14:textId="77777777" w:rsidR="00631871" w:rsidRDefault="0013387A">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6A2DA"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24F73"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C8D7" w14:textId="77777777" w:rsidR="00631871" w:rsidRDefault="0013387A">
            <w:r>
              <w:rPr>
                <w:sz w:val="20"/>
                <w:szCs w:val="20"/>
              </w:rPr>
              <w:t>New chapter 3 (Visualize Data); chapters 3–5 renumbered to 4–6; hub layout updated to 3+3 grid; attribution updated</w:t>
            </w:r>
          </w:p>
        </w:tc>
      </w:tr>
      <w:tr w:rsidR="00631871" w14:paraId="7E59402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1F499" w14:textId="77777777" w:rsidR="00631871" w:rsidRDefault="0013387A">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1874C"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02FCC"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8000" w14:textId="77777777" w:rsidR="00631871" w:rsidRDefault="0013387A">
            <w:r>
              <w:rPr>
                <w:sz w:val="20"/>
                <w:szCs w:val="20"/>
              </w:rPr>
              <w:t>Factual corrections (Rule 6 label, AUC extrapolation flag); new feature documentation (steady-state in BE, balance check, design summary, Apply LLOQ button, excluded profiles note); beginner clarity additions (LLOQ/BLQ definitions, extravascular explained, R² failure consequences, SHA-256 explained, half-life review how-to, AUC % Extrapolated meaning)</w:t>
            </w:r>
          </w:p>
        </w:tc>
      </w:tr>
      <w:tr w:rsidR="00631871" w14:paraId="1D78B05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E6B23" w14:textId="77777777" w:rsidR="00631871" w:rsidRDefault="0013387A">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0F142"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45F1F"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028E" w14:textId="77777777" w:rsidR="00631871" w:rsidRDefault="0013387A">
            <w:r>
              <w:rPr>
                <w:sz w:val="20"/>
                <w:szCs w:val="20"/>
              </w:rPr>
              <w:t>Updated for NCA Assistant v1.4.0: CDISC ADNCA upload and parameter codes, safety checks on upload, decimal comma and semicolon files, doses per period, replicate designs and the within-subject variability table, choosing the Reference treatment, the minimum R² rule, planning with Test and Reference CV, the reproduction check in the Analysis Record. Exercise 1 answers corrected; guideline references updated.</w:t>
            </w:r>
          </w:p>
        </w:tc>
      </w:tr>
      <w:tr w:rsidR="00631871" w14:paraId="51B3449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E9113" w14:textId="77777777" w:rsidR="00631871" w:rsidRDefault="0013387A">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051CE"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F25C0"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80F65" w14:textId="77777777" w:rsidR="00631871" w:rsidRDefault="0013387A">
            <w:r>
              <w:rPr>
                <w:sz w:val="20"/>
                <w:szCs w:val="20"/>
              </w:rPr>
              <w:t xml:space="preserve">Updated for NCA Assistant v1.5.0: partial AUCs in Paths 4, 5 and 6, with intervals ending at a time or at the last measurable concentration, Cmax and Tmax within an </w:t>
            </w:r>
            <w:r>
              <w:rPr>
                <w:sz w:val="20"/>
                <w:szCs w:val="20"/>
              </w:rPr>
              <w:lastRenderedPageBreak/>
              <w:t>interval, pivotal and supportive metrics in bioequivalence, and interval shading in Visualize Data. New Exercise 4, new sections in Parts V and VI, and new glossary, troubleshooting and reference entries.</w:t>
            </w:r>
          </w:p>
        </w:tc>
      </w:tr>
      <w:tr w:rsidR="00631871" w14:paraId="4F8AA56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13C50" w14:textId="77777777" w:rsidR="00631871" w:rsidRDefault="0013387A">
            <w:r>
              <w:rPr>
                <w:sz w:val="20"/>
                <w:szCs w:val="20"/>
              </w:rPr>
              <w:lastRenderedPageBreak/>
              <w:t>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3AA06"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E5D4D"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E4ADB" w14:textId="77777777" w:rsidR="00631871" w:rsidRDefault="0013387A">
            <w:r>
              <w:rPr>
                <w:sz w:val="20"/>
                <w:szCs w:val="20"/>
              </w:rPr>
              <w:t>Updated for NCA Assistant v1.6.0, after a review of the whole app. New: intended use and data notice; ICH M13A (Cmax and AUC to last point compared by default, BLQ values kept out of the half-life, checks listed with the results, no verdict where the guideline excludes one); widened limits for Cmax only; Rules 4 and 6 changed; IV bolus samples at time 0 set aside; thousands separators in decimal-comma files; unique subject IDs; units taken from the data; settings kept and results cleared; file integrity in the reproduction check; the Welch interval; excluding subjects. Exercise answers checked against v1.6.0.</w:t>
            </w:r>
          </w:p>
        </w:tc>
      </w:tr>
    </w:tbl>
    <w:p w14:paraId="3A11E0A2" w14:textId="77777777" w:rsidR="00631871" w:rsidRDefault="0013387A">
      <w:r>
        <w:br w:type="page"/>
      </w:r>
    </w:p>
    <w:p w14:paraId="5AE37753" w14:textId="77777777" w:rsidR="00631871" w:rsidRDefault="0013387A">
      <w:pPr>
        <w:pStyle w:val="Kop1"/>
      </w:pPr>
      <w:bookmarkStart w:id="1" w:name="_Toc241214334"/>
      <w:r>
        <w:lastRenderedPageBreak/>
        <w:t>Table of Contents</w:t>
      </w:r>
      <w:bookmarkEnd w:id="1"/>
    </w:p>
    <w:sdt>
      <w:sdtPr>
        <w:alias w:val="Table of Contents"/>
        <w:id w:val="-1533791606"/>
      </w:sdtPr>
      <w:sdtEndPr/>
      <w:sdtContent>
        <w:p w14:paraId="5F1E4C9C" w14:textId="42B8F522" w:rsidR="000A26A0" w:rsidRDefault="003D2EE2">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sidR="0013387A">
            <w:instrText>TOC \h \o "1-2"</w:instrText>
          </w:r>
          <w:r>
            <w:fldChar w:fldCharType="separate"/>
          </w:r>
          <w:hyperlink w:anchor="_Toc241214333" w:history="1">
            <w:r w:rsidR="000A26A0" w:rsidRPr="00C8104E">
              <w:rPr>
                <w:rStyle w:val="Hyperlink"/>
                <w:noProof/>
              </w:rPr>
              <w:t>Document Control</w:t>
            </w:r>
            <w:r w:rsidR="000A26A0">
              <w:rPr>
                <w:noProof/>
              </w:rPr>
              <w:tab/>
            </w:r>
            <w:r w:rsidR="000A26A0">
              <w:rPr>
                <w:noProof/>
              </w:rPr>
              <w:fldChar w:fldCharType="begin"/>
            </w:r>
            <w:r w:rsidR="000A26A0">
              <w:rPr>
                <w:noProof/>
              </w:rPr>
              <w:instrText xml:space="preserve"> PAGEREF _Toc241214333 \h </w:instrText>
            </w:r>
            <w:r w:rsidR="000A26A0">
              <w:rPr>
                <w:noProof/>
              </w:rPr>
            </w:r>
            <w:r w:rsidR="000A26A0">
              <w:rPr>
                <w:noProof/>
              </w:rPr>
              <w:fldChar w:fldCharType="separate"/>
            </w:r>
            <w:r w:rsidR="000A26A0">
              <w:rPr>
                <w:noProof/>
              </w:rPr>
              <w:t>2</w:t>
            </w:r>
            <w:r w:rsidR="000A26A0">
              <w:rPr>
                <w:noProof/>
              </w:rPr>
              <w:fldChar w:fldCharType="end"/>
            </w:r>
          </w:hyperlink>
        </w:p>
        <w:p w14:paraId="286DD683" w14:textId="57677BE9"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34" w:history="1">
            <w:r w:rsidRPr="00C8104E">
              <w:rPr>
                <w:rStyle w:val="Hyperlink"/>
                <w:noProof/>
              </w:rPr>
              <w:t>Table of Contents</w:t>
            </w:r>
            <w:r>
              <w:rPr>
                <w:noProof/>
              </w:rPr>
              <w:tab/>
            </w:r>
            <w:r>
              <w:rPr>
                <w:noProof/>
              </w:rPr>
              <w:fldChar w:fldCharType="begin"/>
            </w:r>
            <w:r>
              <w:rPr>
                <w:noProof/>
              </w:rPr>
              <w:instrText xml:space="preserve"> PAGEREF _Toc241214334 \h </w:instrText>
            </w:r>
            <w:r>
              <w:rPr>
                <w:noProof/>
              </w:rPr>
            </w:r>
            <w:r>
              <w:rPr>
                <w:noProof/>
              </w:rPr>
              <w:fldChar w:fldCharType="separate"/>
            </w:r>
            <w:r>
              <w:rPr>
                <w:noProof/>
              </w:rPr>
              <w:t>4</w:t>
            </w:r>
            <w:r>
              <w:rPr>
                <w:noProof/>
              </w:rPr>
              <w:fldChar w:fldCharType="end"/>
            </w:r>
          </w:hyperlink>
        </w:p>
        <w:p w14:paraId="18CB3144" w14:textId="5D1913CC"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35" w:history="1">
            <w:r w:rsidRPr="00C8104E">
              <w:rPr>
                <w:rStyle w:val="Hyperlink"/>
                <w:noProof/>
              </w:rPr>
              <w:t>Intended Use and Your Data</w:t>
            </w:r>
            <w:r>
              <w:rPr>
                <w:noProof/>
              </w:rPr>
              <w:tab/>
            </w:r>
            <w:r>
              <w:rPr>
                <w:noProof/>
              </w:rPr>
              <w:fldChar w:fldCharType="begin"/>
            </w:r>
            <w:r>
              <w:rPr>
                <w:noProof/>
              </w:rPr>
              <w:instrText xml:space="preserve"> PAGEREF _Toc241214335 \h </w:instrText>
            </w:r>
            <w:r>
              <w:rPr>
                <w:noProof/>
              </w:rPr>
            </w:r>
            <w:r>
              <w:rPr>
                <w:noProof/>
              </w:rPr>
              <w:fldChar w:fldCharType="separate"/>
            </w:r>
            <w:r>
              <w:rPr>
                <w:noProof/>
              </w:rPr>
              <w:t>6</w:t>
            </w:r>
            <w:r>
              <w:rPr>
                <w:noProof/>
              </w:rPr>
              <w:fldChar w:fldCharType="end"/>
            </w:r>
          </w:hyperlink>
        </w:p>
        <w:p w14:paraId="462DB0BB" w14:textId="34C6A37E"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36" w:history="1">
            <w:r w:rsidRPr="00C8104E">
              <w:rPr>
                <w:rStyle w:val="Hyperlink"/>
                <w:noProof/>
              </w:rPr>
              <w:t>Quick Start Guide</w:t>
            </w:r>
            <w:r>
              <w:rPr>
                <w:noProof/>
              </w:rPr>
              <w:tab/>
            </w:r>
            <w:r>
              <w:rPr>
                <w:noProof/>
              </w:rPr>
              <w:fldChar w:fldCharType="begin"/>
            </w:r>
            <w:r>
              <w:rPr>
                <w:noProof/>
              </w:rPr>
              <w:instrText xml:space="preserve"> PAGEREF _Toc241214336 \h </w:instrText>
            </w:r>
            <w:r>
              <w:rPr>
                <w:noProof/>
              </w:rPr>
            </w:r>
            <w:r>
              <w:rPr>
                <w:noProof/>
              </w:rPr>
              <w:fldChar w:fldCharType="separate"/>
            </w:r>
            <w:r>
              <w:rPr>
                <w:noProof/>
              </w:rPr>
              <w:t>6</w:t>
            </w:r>
            <w:r>
              <w:rPr>
                <w:noProof/>
              </w:rPr>
              <w:fldChar w:fldCharType="end"/>
            </w:r>
          </w:hyperlink>
        </w:p>
        <w:p w14:paraId="61E1C428" w14:textId="5E6CA632"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37" w:history="1">
            <w:r w:rsidRPr="00C8104E">
              <w:rPr>
                <w:rStyle w:val="Hyperlink"/>
                <w:noProof/>
              </w:rPr>
              <w:t>Part I: Introduction to Non-Compartmental Analysis</w:t>
            </w:r>
            <w:r>
              <w:rPr>
                <w:noProof/>
              </w:rPr>
              <w:tab/>
            </w:r>
            <w:r>
              <w:rPr>
                <w:noProof/>
              </w:rPr>
              <w:fldChar w:fldCharType="begin"/>
            </w:r>
            <w:r>
              <w:rPr>
                <w:noProof/>
              </w:rPr>
              <w:instrText xml:space="preserve"> PAGEREF _Toc241214337 \h </w:instrText>
            </w:r>
            <w:r>
              <w:rPr>
                <w:noProof/>
              </w:rPr>
            </w:r>
            <w:r>
              <w:rPr>
                <w:noProof/>
              </w:rPr>
              <w:fldChar w:fldCharType="separate"/>
            </w:r>
            <w:r>
              <w:rPr>
                <w:noProof/>
              </w:rPr>
              <w:t>7</w:t>
            </w:r>
            <w:r>
              <w:rPr>
                <w:noProof/>
              </w:rPr>
              <w:fldChar w:fldCharType="end"/>
            </w:r>
          </w:hyperlink>
        </w:p>
        <w:p w14:paraId="2D2F24A6" w14:textId="2F792B31"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38" w:history="1">
            <w:r w:rsidRPr="00C8104E">
              <w:rPr>
                <w:rStyle w:val="Hyperlink"/>
                <w:noProof/>
              </w:rPr>
              <w:t>What Is Non-Compartmental Analysis?</w:t>
            </w:r>
            <w:r>
              <w:rPr>
                <w:noProof/>
              </w:rPr>
              <w:tab/>
            </w:r>
            <w:r>
              <w:rPr>
                <w:noProof/>
              </w:rPr>
              <w:fldChar w:fldCharType="begin"/>
            </w:r>
            <w:r>
              <w:rPr>
                <w:noProof/>
              </w:rPr>
              <w:instrText xml:space="preserve"> PAGEREF _Toc241214338 \h </w:instrText>
            </w:r>
            <w:r>
              <w:rPr>
                <w:noProof/>
              </w:rPr>
            </w:r>
            <w:r>
              <w:rPr>
                <w:noProof/>
              </w:rPr>
              <w:fldChar w:fldCharType="separate"/>
            </w:r>
            <w:r>
              <w:rPr>
                <w:noProof/>
              </w:rPr>
              <w:t>7</w:t>
            </w:r>
            <w:r>
              <w:rPr>
                <w:noProof/>
              </w:rPr>
              <w:fldChar w:fldCharType="end"/>
            </w:r>
          </w:hyperlink>
        </w:p>
        <w:p w14:paraId="049DC049" w14:textId="4146CDE1"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39" w:history="1">
            <w:r w:rsidRPr="00C8104E">
              <w:rPr>
                <w:rStyle w:val="Hyperlink"/>
                <w:noProof/>
              </w:rPr>
              <w:t>The Concentration–Time Curve</w:t>
            </w:r>
            <w:r>
              <w:rPr>
                <w:noProof/>
              </w:rPr>
              <w:tab/>
            </w:r>
            <w:r>
              <w:rPr>
                <w:noProof/>
              </w:rPr>
              <w:fldChar w:fldCharType="begin"/>
            </w:r>
            <w:r>
              <w:rPr>
                <w:noProof/>
              </w:rPr>
              <w:instrText xml:space="preserve"> PAGEREF _Toc241214339 \h </w:instrText>
            </w:r>
            <w:r>
              <w:rPr>
                <w:noProof/>
              </w:rPr>
            </w:r>
            <w:r>
              <w:rPr>
                <w:noProof/>
              </w:rPr>
              <w:fldChar w:fldCharType="separate"/>
            </w:r>
            <w:r>
              <w:rPr>
                <w:noProof/>
              </w:rPr>
              <w:t>7</w:t>
            </w:r>
            <w:r>
              <w:rPr>
                <w:noProof/>
              </w:rPr>
              <w:fldChar w:fldCharType="end"/>
            </w:r>
          </w:hyperlink>
        </w:p>
        <w:p w14:paraId="32E66B0A" w14:textId="5CBD4A5C"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0" w:history="1">
            <w:r w:rsidRPr="00C8104E">
              <w:rPr>
                <w:rStyle w:val="Hyperlink"/>
                <w:noProof/>
              </w:rPr>
              <w:t>Key Pharmacokinetic Parameters</w:t>
            </w:r>
            <w:r>
              <w:rPr>
                <w:noProof/>
              </w:rPr>
              <w:tab/>
            </w:r>
            <w:r>
              <w:rPr>
                <w:noProof/>
              </w:rPr>
              <w:fldChar w:fldCharType="begin"/>
            </w:r>
            <w:r>
              <w:rPr>
                <w:noProof/>
              </w:rPr>
              <w:instrText xml:space="preserve"> PAGEREF _Toc241214340 \h </w:instrText>
            </w:r>
            <w:r>
              <w:rPr>
                <w:noProof/>
              </w:rPr>
            </w:r>
            <w:r>
              <w:rPr>
                <w:noProof/>
              </w:rPr>
              <w:fldChar w:fldCharType="separate"/>
            </w:r>
            <w:r>
              <w:rPr>
                <w:noProof/>
              </w:rPr>
              <w:t>7</w:t>
            </w:r>
            <w:r>
              <w:rPr>
                <w:noProof/>
              </w:rPr>
              <w:fldChar w:fldCharType="end"/>
            </w:r>
          </w:hyperlink>
        </w:p>
        <w:p w14:paraId="4CA53327" w14:textId="30847280"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1" w:history="1">
            <w:r w:rsidRPr="00C8104E">
              <w:rPr>
                <w:rStyle w:val="Hyperlink"/>
                <w:noProof/>
              </w:rPr>
              <w:t>Why NCA Is Used So Widely</w:t>
            </w:r>
            <w:r>
              <w:rPr>
                <w:noProof/>
              </w:rPr>
              <w:tab/>
            </w:r>
            <w:r>
              <w:rPr>
                <w:noProof/>
              </w:rPr>
              <w:fldChar w:fldCharType="begin"/>
            </w:r>
            <w:r>
              <w:rPr>
                <w:noProof/>
              </w:rPr>
              <w:instrText xml:space="preserve"> PAGEREF _Toc241214341 \h </w:instrText>
            </w:r>
            <w:r>
              <w:rPr>
                <w:noProof/>
              </w:rPr>
            </w:r>
            <w:r>
              <w:rPr>
                <w:noProof/>
              </w:rPr>
              <w:fldChar w:fldCharType="separate"/>
            </w:r>
            <w:r>
              <w:rPr>
                <w:noProof/>
              </w:rPr>
              <w:t>7</w:t>
            </w:r>
            <w:r>
              <w:rPr>
                <w:noProof/>
              </w:rPr>
              <w:fldChar w:fldCharType="end"/>
            </w:r>
          </w:hyperlink>
        </w:p>
        <w:p w14:paraId="78A834CF" w14:textId="24E3677A"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2" w:history="1">
            <w:r w:rsidRPr="00C8104E">
              <w:rPr>
                <w:rStyle w:val="Hyperlink"/>
                <w:noProof/>
              </w:rPr>
              <w:t>When to Use NCA vs. Compartmental Modelling</w:t>
            </w:r>
            <w:r>
              <w:rPr>
                <w:noProof/>
              </w:rPr>
              <w:tab/>
            </w:r>
            <w:r>
              <w:rPr>
                <w:noProof/>
              </w:rPr>
              <w:fldChar w:fldCharType="begin"/>
            </w:r>
            <w:r>
              <w:rPr>
                <w:noProof/>
              </w:rPr>
              <w:instrText xml:space="preserve"> PAGEREF _Toc241214342 \h </w:instrText>
            </w:r>
            <w:r>
              <w:rPr>
                <w:noProof/>
              </w:rPr>
            </w:r>
            <w:r>
              <w:rPr>
                <w:noProof/>
              </w:rPr>
              <w:fldChar w:fldCharType="separate"/>
            </w:r>
            <w:r>
              <w:rPr>
                <w:noProof/>
              </w:rPr>
              <w:t>8</w:t>
            </w:r>
            <w:r>
              <w:rPr>
                <w:noProof/>
              </w:rPr>
              <w:fldChar w:fldCharType="end"/>
            </w:r>
          </w:hyperlink>
        </w:p>
        <w:p w14:paraId="67FEDAA3" w14:textId="45F41BDA"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43" w:history="1">
            <w:r w:rsidRPr="00C8104E">
              <w:rPr>
                <w:rStyle w:val="Hyperlink"/>
                <w:noProof/>
              </w:rPr>
              <w:t>Part II: Preparing Your Data</w:t>
            </w:r>
            <w:r>
              <w:rPr>
                <w:noProof/>
              </w:rPr>
              <w:tab/>
            </w:r>
            <w:r>
              <w:rPr>
                <w:noProof/>
              </w:rPr>
              <w:fldChar w:fldCharType="begin"/>
            </w:r>
            <w:r>
              <w:rPr>
                <w:noProof/>
              </w:rPr>
              <w:instrText xml:space="preserve"> PAGEREF _Toc241214343 \h </w:instrText>
            </w:r>
            <w:r>
              <w:rPr>
                <w:noProof/>
              </w:rPr>
            </w:r>
            <w:r>
              <w:rPr>
                <w:noProof/>
              </w:rPr>
              <w:fldChar w:fldCharType="separate"/>
            </w:r>
            <w:r>
              <w:rPr>
                <w:noProof/>
              </w:rPr>
              <w:t>9</w:t>
            </w:r>
            <w:r>
              <w:rPr>
                <w:noProof/>
              </w:rPr>
              <w:fldChar w:fldCharType="end"/>
            </w:r>
          </w:hyperlink>
        </w:p>
        <w:p w14:paraId="37169F91" w14:textId="070A4224"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4" w:history="1">
            <w:r w:rsidRPr="00C8104E">
              <w:rPr>
                <w:rStyle w:val="Hyperlink"/>
                <w:noProof/>
              </w:rPr>
              <w:t>General Format Rules</w:t>
            </w:r>
            <w:r>
              <w:rPr>
                <w:noProof/>
              </w:rPr>
              <w:tab/>
            </w:r>
            <w:r>
              <w:rPr>
                <w:noProof/>
              </w:rPr>
              <w:fldChar w:fldCharType="begin"/>
            </w:r>
            <w:r>
              <w:rPr>
                <w:noProof/>
              </w:rPr>
              <w:instrText xml:space="preserve"> PAGEREF _Toc241214344 \h </w:instrText>
            </w:r>
            <w:r>
              <w:rPr>
                <w:noProof/>
              </w:rPr>
            </w:r>
            <w:r>
              <w:rPr>
                <w:noProof/>
              </w:rPr>
              <w:fldChar w:fldCharType="separate"/>
            </w:r>
            <w:r>
              <w:rPr>
                <w:noProof/>
              </w:rPr>
              <w:t>9</w:t>
            </w:r>
            <w:r>
              <w:rPr>
                <w:noProof/>
              </w:rPr>
              <w:fldChar w:fldCharType="end"/>
            </w:r>
          </w:hyperlink>
        </w:p>
        <w:p w14:paraId="79F45D48" w14:textId="7A14EBD9"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5" w:history="1">
            <w:r w:rsidRPr="00C8104E">
              <w:rPr>
                <w:rStyle w:val="Hyperlink"/>
                <w:noProof/>
              </w:rPr>
              <w:t>Scenario 1: Single Subject</w:t>
            </w:r>
            <w:r>
              <w:rPr>
                <w:noProof/>
              </w:rPr>
              <w:tab/>
            </w:r>
            <w:r>
              <w:rPr>
                <w:noProof/>
              </w:rPr>
              <w:fldChar w:fldCharType="begin"/>
            </w:r>
            <w:r>
              <w:rPr>
                <w:noProof/>
              </w:rPr>
              <w:instrText xml:space="preserve"> PAGEREF _Toc241214345 \h </w:instrText>
            </w:r>
            <w:r>
              <w:rPr>
                <w:noProof/>
              </w:rPr>
            </w:r>
            <w:r>
              <w:rPr>
                <w:noProof/>
              </w:rPr>
              <w:fldChar w:fldCharType="separate"/>
            </w:r>
            <w:r>
              <w:rPr>
                <w:noProof/>
              </w:rPr>
              <w:t>9</w:t>
            </w:r>
            <w:r>
              <w:rPr>
                <w:noProof/>
              </w:rPr>
              <w:fldChar w:fldCharType="end"/>
            </w:r>
          </w:hyperlink>
        </w:p>
        <w:p w14:paraId="2EAB8AAB" w14:textId="5AA33D13"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6" w:history="1">
            <w:r w:rsidRPr="00C8104E">
              <w:rPr>
                <w:rStyle w:val="Hyperlink"/>
                <w:noProof/>
              </w:rPr>
              <w:t>Scenario 2: Multiple Subjects, Same Dose</w:t>
            </w:r>
            <w:r>
              <w:rPr>
                <w:noProof/>
              </w:rPr>
              <w:tab/>
            </w:r>
            <w:r>
              <w:rPr>
                <w:noProof/>
              </w:rPr>
              <w:fldChar w:fldCharType="begin"/>
            </w:r>
            <w:r>
              <w:rPr>
                <w:noProof/>
              </w:rPr>
              <w:instrText xml:space="preserve"> PAGEREF _Toc241214346 \h </w:instrText>
            </w:r>
            <w:r>
              <w:rPr>
                <w:noProof/>
              </w:rPr>
            </w:r>
            <w:r>
              <w:rPr>
                <w:noProof/>
              </w:rPr>
              <w:fldChar w:fldCharType="separate"/>
            </w:r>
            <w:r>
              <w:rPr>
                <w:noProof/>
              </w:rPr>
              <w:t>9</w:t>
            </w:r>
            <w:r>
              <w:rPr>
                <w:noProof/>
              </w:rPr>
              <w:fldChar w:fldCharType="end"/>
            </w:r>
          </w:hyperlink>
        </w:p>
        <w:p w14:paraId="05F3912D" w14:textId="7596B887"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7" w:history="1">
            <w:r w:rsidRPr="00C8104E">
              <w:rPr>
                <w:rStyle w:val="Hyperlink"/>
                <w:noProof/>
              </w:rPr>
              <w:t>Scenario 3: Multiple Subjects, Different Doses</w:t>
            </w:r>
            <w:r>
              <w:rPr>
                <w:noProof/>
              </w:rPr>
              <w:tab/>
            </w:r>
            <w:r>
              <w:rPr>
                <w:noProof/>
              </w:rPr>
              <w:fldChar w:fldCharType="begin"/>
            </w:r>
            <w:r>
              <w:rPr>
                <w:noProof/>
              </w:rPr>
              <w:instrText xml:space="preserve"> PAGEREF _Toc241214347 \h </w:instrText>
            </w:r>
            <w:r>
              <w:rPr>
                <w:noProof/>
              </w:rPr>
            </w:r>
            <w:r>
              <w:rPr>
                <w:noProof/>
              </w:rPr>
              <w:fldChar w:fldCharType="separate"/>
            </w:r>
            <w:r>
              <w:rPr>
                <w:noProof/>
              </w:rPr>
              <w:t>10</w:t>
            </w:r>
            <w:r>
              <w:rPr>
                <w:noProof/>
              </w:rPr>
              <w:fldChar w:fldCharType="end"/>
            </w:r>
          </w:hyperlink>
        </w:p>
        <w:p w14:paraId="6C1510A9" w14:textId="4638C823"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8" w:history="1">
            <w:r w:rsidRPr="00C8104E">
              <w:rPr>
                <w:rStyle w:val="Hyperlink"/>
                <w:noProof/>
              </w:rPr>
              <w:t>Scenario 4: Standard 2-Period Crossover (BE)</w:t>
            </w:r>
            <w:r>
              <w:rPr>
                <w:noProof/>
              </w:rPr>
              <w:tab/>
            </w:r>
            <w:r>
              <w:rPr>
                <w:noProof/>
              </w:rPr>
              <w:fldChar w:fldCharType="begin"/>
            </w:r>
            <w:r>
              <w:rPr>
                <w:noProof/>
              </w:rPr>
              <w:instrText xml:space="preserve"> PAGEREF _Toc241214348 \h </w:instrText>
            </w:r>
            <w:r>
              <w:rPr>
                <w:noProof/>
              </w:rPr>
            </w:r>
            <w:r>
              <w:rPr>
                <w:noProof/>
              </w:rPr>
              <w:fldChar w:fldCharType="separate"/>
            </w:r>
            <w:r>
              <w:rPr>
                <w:noProof/>
              </w:rPr>
              <w:t>10</w:t>
            </w:r>
            <w:r>
              <w:rPr>
                <w:noProof/>
              </w:rPr>
              <w:fldChar w:fldCharType="end"/>
            </w:r>
          </w:hyperlink>
        </w:p>
        <w:p w14:paraId="7F2D0EC3" w14:textId="6565460F"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49" w:history="1">
            <w:r w:rsidRPr="00C8104E">
              <w:rPr>
                <w:rStyle w:val="Hyperlink"/>
                <w:noProof/>
              </w:rPr>
              <w:t>Scenario 5: Replicate Designs and Paired Comparison</w:t>
            </w:r>
            <w:r>
              <w:rPr>
                <w:noProof/>
              </w:rPr>
              <w:tab/>
            </w:r>
            <w:r>
              <w:rPr>
                <w:noProof/>
              </w:rPr>
              <w:fldChar w:fldCharType="begin"/>
            </w:r>
            <w:r>
              <w:rPr>
                <w:noProof/>
              </w:rPr>
              <w:instrText xml:space="preserve"> PAGEREF _Toc241214349 \h </w:instrText>
            </w:r>
            <w:r>
              <w:rPr>
                <w:noProof/>
              </w:rPr>
            </w:r>
            <w:r>
              <w:rPr>
                <w:noProof/>
              </w:rPr>
              <w:fldChar w:fldCharType="separate"/>
            </w:r>
            <w:r>
              <w:rPr>
                <w:noProof/>
              </w:rPr>
              <w:t>10</w:t>
            </w:r>
            <w:r>
              <w:rPr>
                <w:noProof/>
              </w:rPr>
              <w:fldChar w:fldCharType="end"/>
            </w:r>
          </w:hyperlink>
        </w:p>
        <w:p w14:paraId="7E9C5A47" w14:textId="4C10EA4D"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0" w:history="1">
            <w:r w:rsidRPr="00C8104E">
              <w:rPr>
                <w:rStyle w:val="Hyperlink"/>
                <w:noProof/>
              </w:rPr>
              <w:t>Scenario 6: Parallel-Group BE</w:t>
            </w:r>
            <w:r>
              <w:rPr>
                <w:noProof/>
              </w:rPr>
              <w:tab/>
            </w:r>
            <w:r>
              <w:rPr>
                <w:noProof/>
              </w:rPr>
              <w:fldChar w:fldCharType="begin"/>
            </w:r>
            <w:r>
              <w:rPr>
                <w:noProof/>
              </w:rPr>
              <w:instrText xml:space="preserve"> PAGEREF _Toc241214350 \h </w:instrText>
            </w:r>
            <w:r>
              <w:rPr>
                <w:noProof/>
              </w:rPr>
            </w:r>
            <w:r>
              <w:rPr>
                <w:noProof/>
              </w:rPr>
              <w:fldChar w:fldCharType="separate"/>
            </w:r>
            <w:r>
              <w:rPr>
                <w:noProof/>
              </w:rPr>
              <w:t>10</w:t>
            </w:r>
            <w:r>
              <w:rPr>
                <w:noProof/>
              </w:rPr>
              <w:fldChar w:fldCharType="end"/>
            </w:r>
          </w:hyperlink>
        </w:p>
        <w:p w14:paraId="4F405758" w14:textId="5C2B8099"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1" w:history="1">
            <w:r w:rsidRPr="00C8104E">
              <w:rPr>
                <w:rStyle w:val="Hyperlink"/>
                <w:noProof/>
              </w:rPr>
              <w:t>Scenario 7: Steady-State PK</w:t>
            </w:r>
            <w:r>
              <w:rPr>
                <w:noProof/>
              </w:rPr>
              <w:tab/>
            </w:r>
            <w:r>
              <w:rPr>
                <w:noProof/>
              </w:rPr>
              <w:fldChar w:fldCharType="begin"/>
            </w:r>
            <w:r>
              <w:rPr>
                <w:noProof/>
              </w:rPr>
              <w:instrText xml:space="preserve"> PAGEREF _Toc241214351 \h </w:instrText>
            </w:r>
            <w:r>
              <w:rPr>
                <w:noProof/>
              </w:rPr>
            </w:r>
            <w:r>
              <w:rPr>
                <w:noProof/>
              </w:rPr>
              <w:fldChar w:fldCharType="separate"/>
            </w:r>
            <w:r>
              <w:rPr>
                <w:noProof/>
              </w:rPr>
              <w:t>10</w:t>
            </w:r>
            <w:r>
              <w:rPr>
                <w:noProof/>
              </w:rPr>
              <w:fldChar w:fldCharType="end"/>
            </w:r>
          </w:hyperlink>
        </w:p>
        <w:p w14:paraId="7263A70E" w14:textId="43B23BDF"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2" w:history="1">
            <w:r w:rsidRPr="00C8104E">
              <w:rPr>
                <w:rStyle w:val="Hyperlink"/>
                <w:noProof/>
              </w:rPr>
              <w:t>Scenario 8: Drug–Drug Interaction Study</w:t>
            </w:r>
            <w:r>
              <w:rPr>
                <w:noProof/>
              </w:rPr>
              <w:tab/>
            </w:r>
            <w:r>
              <w:rPr>
                <w:noProof/>
              </w:rPr>
              <w:fldChar w:fldCharType="begin"/>
            </w:r>
            <w:r>
              <w:rPr>
                <w:noProof/>
              </w:rPr>
              <w:instrText xml:space="preserve"> PAGEREF _Toc241214352 \h </w:instrText>
            </w:r>
            <w:r>
              <w:rPr>
                <w:noProof/>
              </w:rPr>
            </w:r>
            <w:r>
              <w:rPr>
                <w:noProof/>
              </w:rPr>
              <w:fldChar w:fldCharType="separate"/>
            </w:r>
            <w:r>
              <w:rPr>
                <w:noProof/>
              </w:rPr>
              <w:t>11</w:t>
            </w:r>
            <w:r>
              <w:rPr>
                <w:noProof/>
              </w:rPr>
              <w:fldChar w:fldCharType="end"/>
            </w:r>
          </w:hyperlink>
        </w:p>
        <w:p w14:paraId="740CA6FD" w14:textId="18AAD9DB"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3" w:history="1">
            <w:r w:rsidRPr="00C8104E">
              <w:rPr>
                <w:rStyle w:val="Hyperlink"/>
                <w:noProof/>
              </w:rPr>
              <w:t>Scenario 9: CDISC ADNCA Dataset</w:t>
            </w:r>
            <w:r>
              <w:rPr>
                <w:noProof/>
              </w:rPr>
              <w:tab/>
            </w:r>
            <w:r>
              <w:rPr>
                <w:noProof/>
              </w:rPr>
              <w:fldChar w:fldCharType="begin"/>
            </w:r>
            <w:r>
              <w:rPr>
                <w:noProof/>
              </w:rPr>
              <w:instrText xml:space="preserve"> PAGEREF _Toc241214353 \h </w:instrText>
            </w:r>
            <w:r>
              <w:rPr>
                <w:noProof/>
              </w:rPr>
            </w:r>
            <w:r>
              <w:rPr>
                <w:noProof/>
              </w:rPr>
              <w:fldChar w:fldCharType="separate"/>
            </w:r>
            <w:r>
              <w:rPr>
                <w:noProof/>
              </w:rPr>
              <w:t>11</w:t>
            </w:r>
            <w:r>
              <w:rPr>
                <w:noProof/>
              </w:rPr>
              <w:fldChar w:fldCharType="end"/>
            </w:r>
          </w:hyperlink>
        </w:p>
        <w:p w14:paraId="246F2F20" w14:textId="251ECC64"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4" w:history="1">
            <w:r w:rsidRPr="00C8104E">
              <w:rPr>
                <w:rStyle w:val="Hyperlink"/>
                <w:noProof/>
              </w:rPr>
              <w:t>BLQ Handling</w:t>
            </w:r>
            <w:r>
              <w:rPr>
                <w:noProof/>
              </w:rPr>
              <w:tab/>
            </w:r>
            <w:r>
              <w:rPr>
                <w:noProof/>
              </w:rPr>
              <w:fldChar w:fldCharType="begin"/>
            </w:r>
            <w:r>
              <w:rPr>
                <w:noProof/>
              </w:rPr>
              <w:instrText xml:space="preserve"> PAGEREF _Toc241214354 \h </w:instrText>
            </w:r>
            <w:r>
              <w:rPr>
                <w:noProof/>
              </w:rPr>
            </w:r>
            <w:r>
              <w:rPr>
                <w:noProof/>
              </w:rPr>
              <w:fldChar w:fldCharType="separate"/>
            </w:r>
            <w:r>
              <w:rPr>
                <w:noProof/>
              </w:rPr>
              <w:t>11</w:t>
            </w:r>
            <w:r>
              <w:rPr>
                <w:noProof/>
              </w:rPr>
              <w:fldChar w:fldCharType="end"/>
            </w:r>
          </w:hyperlink>
        </w:p>
        <w:p w14:paraId="586F91CD" w14:textId="275D1FBB"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5" w:history="1">
            <w:r w:rsidRPr="00C8104E">
              <w:rPr>
                <w:rStyle w:val="Hyperlink"/>
                <w:noProof/>
              </w:rPr>
              <w:t>Common Mistakes</w:t>
            </w:r>
            <w:r>
              <w:rPr>
                <w:noProof/>
              </w:rPr>
              <w:tab/>
            </w:r>
            <w:r>
              <w:rPr>
                <w:noProof/>
              </w:rPr>
              <w:fldChar w:fldCharType="begin"/>
            </w:r>
            <w:r>
              <w:rPr>
                <w:noProof/>
              </w:rPr>
              <w:instrText xml:space="preserve"> PAGEREF _Toc241214355 \h </w:instrText>
            </w:r>
            <w:r>
              <w:rPr>
                <w:noProof/>
              </w:rPr>
            </w:r>
            <w:r>
              <w:rPr>
                <w:noProof/>
              </w:rPr>
              <w:fldChar w:fldCharType="separate"/>
            </w:r>
            <w:r>
              <w:rPr>
                <w:noProof/>
              </w:rPr>
              <w:t>12</w:t>
            </w:r>
            <w:r>
              <w:rPr>
                <w:noProof/>
              </w:rPr>
              <w:fldChar w:fldCharType="end"/>
            </w:r>
          </w:hyperlink>
        </w:p>
        <w:p w14:paraId="4B3941A2" w14:textId="52715F5C"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56" w:history="1">
            <w:r w:rsidRPr="00C8104E">
              <w:rPr>
                <w:rStyle w:val="Hyperlink"/>
                <w:noProof/>
              </w:rPr>
              <w:t>Part III: Using the App</w:t>
            </w:r>
            <w:r>
              <w:rPr>
                <w:noProof/>
              </w:rPr>
              <w:tab/>
            </w:r>
            <w:r>
              <w:rPr>
                <w:noProof/>
              </w:rPr>
              <w:fldChar w:fldCharType="begin"/>
            </w:r>
            <w:r>
              <w:rPr>
                <w:noProof/>
              </w:rPr>
              <w:instrText xml:space="preserve"> PAGEREF _Toc241214356 \h </w:instrText>
            </w:r>
            <w:r>
              <w:rPr>
                <w:noProof/>
              </w:rPr>
            </w:r>
            <w:r>
              <w:rPr>
                <w:noProof/>
              </w:rPr>
              <w:fldChar w:fldCharType="separate"/>
            </w:r>
            <w:r>
              <w:rPr>
                <w:noProof/>
              </w:rPr>
              <w:t>13</w:t>
            </w:r>
            <w:r>
              <w:rPr>
                <w:noProof/>
              </w:rPr>
              <w:fldChar w:fldCharType="end"/>
            </w:r>
          </w:hyperlink>
        </w:p>
        <w:p w14:paraId="6E97CDB9" w14:textId="399ACD4D"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7" w:history="1">
            <w:r w:rsidRPr="00C8104E">
              <w:rPr>
                <w:rStyle w:val="Hyperlink"/>
                <w:noProof/>
              </w:rPr>
              <w:t>The Hub Screen</w:t>
            </w:r>
            <w:r>
              <w:rPr>
                <w:noProof/>
              </w:rPr>
              <w:tab/>
            </w:r>
            <w:r>
              <w:rPr>
                <w:noProof/>
              </w:rPr>
              <w:fldChar w:fldCharType="begin"/>
            </w:r>
            <w:r>
              <w:rPr>
                <w:noProof/>
              </w:rPr>
              <w:instrText xml:space="preserve"> PAGEREF _Toc241214357 \h </w:instrText>
            </w:r>
            <w:r>
              <w:rPr>
                <w:noProof/>
              </w:rPr>
            </w:r>
            <w:r>
              <w:rPr>
                <w:noProof/>
              </w:rPr>
              <w:fldChar w:fldCharType="separate"/>
            </w:r>
            <w:r>
              <w:rPr>
                <w:noProof/>
              </w:rPr>
              <w:t>13</w:t>
            </w:r>
            <w:r>
              <w:rPr>
                <w:noProof/>
              </w:rPr>
              <w:fldChar w:fldCharType="end"/>
            </w:r>
          </w:hyperlink>
        </w:p>
        <w:p w14:paraId="50BC254C" w14:textId="096CDFED"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8" w:history="1">
            <w:r w:rsidRPr="00C8104E">
              <w:rPr>
                <w:rStyle w:val="Hyperlink"/>
                <w:noProof/>
              </w:rPr>
              <w:t>Path 1: Plan a Study</w:t>
            </w:r>
            <w:r>
              <w:rPr>
                <w:noProof/>
              </w:rPr>
              <w:tab/>
            </w:r>
            <w:r>
              <w:rPr>
                <w:noProof/>
              </w:rPr>
              <w:fldChar w:fldCharType="begin"/>
            </w:r>
            <w:r>
              <w:rPr>
                <w:noProof/>
              </w:rPr>
              <w:instrText xml:space="preserve"> PAGEREF _Toc241214358 \h </w:instrText>
            </w:r>
            <w:r>
              <w:rPr>
                <w:noProof/>
              </w:rPr>
            </w:r>
            <w:r>
              <w:rPr>
                <w:noProof/>
              </w:rPr>
              <w:fldChar w:fldCharType="separate"/>
            </w:r>
            <w:r>
              <w:rPr>
                <w:noProof/>
              </w:rPr>
              <w:t>13</w:t>
            </w:r>
            <w:r>
              <w:rPr>
                <w:noProof/>
              </w:rPr>
              <w:fldChar w:fldCharType="end"/>
            </w:r>
          </w:hyperlink>
        </w:p>
        <w:p w14:paraId="5CEFAE72" w14:textId="4D64B141"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59" w:history="1">
            <w:r w:rsidRPr="00C8104E">
              <w:rPr>
                <w:rStyle w:val="Hyperlink"/>
                <w:noProof/>
              </w:rPr>
              <w:t>Path 2: Upload &amp; Check Data</w:t>
            </w:r>
            <w:r>
              <w:rPr>
                <w:noProof/>
              </w:rPr>
              <w:tab/>
            </w:r>
            <w:r>
              <w:rPr>
                <w:noProof/>
              </w:rPr>
              <w:fldChar w:fldCharType="begin"/>
            </w:r>
            <w:r>
              <w:rPr>
                <w:noProof/>
              </w:rPr>
              <w:instrText xml:space="preserve"> PAGEREF _Toc241214359 \h </w:instrText>
            </w:r>
            <w:r>
              <w:rPr>
                <w:noProof/>
              </w:rPr>
            </w:r>
            <w:r>
              <w:rPr>
                <w:noProof/>
              </w:rPr>
              <w:fldChar w:fldCharType="separate"/>
            </w:r>
            <w:r>
              <w:rPr>
                <w:noProof/>
              </w:rPr>
              <w:t>13</w:t>
            </w:r>
            <w:r>
              <w:rPr>
                <w:noProof/>
              </w:rPr>
              <w:fldChar w:fldCharType="end"/>
            </w:r>
          </w:hyperlink>
        </w:p>
        <w:p w14:paraId="72044372" w14:textId="78B67E0C"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0" w:history="1">
            <w:r w:rsidRPr="00C8104E">
              <w:rPr>
                <w:rStyle w:val="Hyperlink"/>
                <w:noProof/>
              </w:rPr>
              <w:t>Path 3: Visualize Data</w:t>
            </w:r>
            <w:r>
              <w:rPr>
                <w:noProof/>
              </w:rPr>
              <w:tab/>
            </w:r>
            <w:r>
              <w:rPr>
                <w:noProof/>
              </w:rPr>
              <w:fldChar w:fldCharType="begin"/>
            </w:r>
            <w:r>
              <w:rPr>
                <w:noProof/>
              </w:rPr>
              <w:instrText xml:space="preserve"> PAGEREF _Toc241214360 \h </w:instrText>
            </w:r>
            <w:r>
              <w:rPr>
                <w:noProof/>
              </w:rPr>
            </w:r>
            <w:r>
              <w:rPr>
                <w:noProof/>
              </w:rPr>
              <w:fldChar w:fldCharType="separate"/>
            </w:r>
            <w:r>
              <w:rPr>
                <w:noProof/>
              </w:rPr>
              <w:t>14</w:t>
            </w:r>
            <w:r>
              <w:rPr>
                <w:noProof/>
              </w:rPr>
              <w:fldChar w:fldCharType="end"/>
            </w:r>
          </w:hyperlink>
        </w:p>
        <w:p w14:paraId="289C6C2B" w14:textId="24140757"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1" w:history="1">
            <w:r w:rsidRPr="00C8104E">
              <w:rPr>
                <w:rStyle w:val="Hyperlink"/>
                <w:noProof/>
              </w:rPr>
              <w:t>Path 4: One Subject at a Time</w:t>
            </w:r>
            <w:r>
              <w:rPr>
                <w:noProof/>
              </w:rPr>
              <w:tab/>
            </w:r>
            <w:r>
              <w:rPr>
                <w:noProof/>
              </w:rPr>
              <w:fldChar w:fldCharType="begin"/>
            </w:r>
            <w:r>
              <w:rPr>
                <w:noProof/>
              </w:rPr>
              <w:instrText xml:space="preserve"> PAGEREF _Toc241214361 \h </w:instrText>
            </w:r>
            <w:r>
              <w:rPr>
                <w:noProof/>
              </w:rPr>
            </w:r>
            <w:r>
              <w:rPr>
                <w:noProof/>
              </w:rPr>
              <w:fldChar w:fldCharType="separate"/>
            </w:r>
            <w:r>
              <w:rPr>
                <w:noProof/>
              </w:rPr>
              <w:t>16</w:t>
            </w:r>
            <w:r>
              <w:rPr>
                <w:noProof/>
              </w:rPr>
              <w:fldChar w:fldCharType="end"/>
            </w:r>
          </w:hyperlink>
        </w:p>
        <w:p w14:paraId="13EE7BED" w14:textId="1E449DCF"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2" w:history="1">
            <w:r w:rsidRPr="00C8104E">
              <w:rPr>
                <w:rStyle w:val="Hyperlink"/>
                <w:noProof/>
              </w:rPr>
              <w:t>Path 5: All Subjects (Batch)</w:t>
            </w:r>
            <w:r>
              <w:rPr>
                <w:noProof/>
              </w:rPr>
              <w:tab/>
            </w:r>
            <w:r>
              <w:rPr>
                <w:noProof/>
              </w:rPr>
              <w:fldChar w:fldCharType="begin"/>
            </w:r>
            <w:r>
              <w:rPr>
                <w:noProof/>
              </w:rPr>
              <w:instrText xml:space="preserve"> PAGEREF _Toc241214362 \h </w:instrText>
            </w:r>
            <w:r>
              <w:rPr>
                <w:noProof/>
              </w:rPr>
            </w:r>
            <w:r>
              <w:rPr>
                <w:noProof/>
              </w:rPr>
              <w:fldChar w:fldCharType="separate"/>
            </w:r>
            <w:r>
              <w:rPr>
                <w:noProof/>
              </w:rPr>
              <w:t>16</w:t>
            </w:r>
            <w:r>
              <w:rPr>
                <w:noProof/>
              </w:rPr>
              <w:fldChar w:fldCharType="end"/>
            </w:r>
          </w:hyperlink>
        </w:p>
        <w:p w14:paraId="3F14DF75" w14:textId="07153088"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3" w:history="1">
            <w:r w:rsidRPr="00C8104E">
              <w:rPr>
                <w:rStyle w:val="Hyperlink"/>
                <w:noProof/>
              </w:rPr>
              <w:t>Path 6: Bioequivalence</w:t>
            </w:r>
            <w:r>
              <w:rPr>
                <w:noProof/>
              </w:rPr>
              <w:tab/>
            </w:r>
            <w:r>
              <w:rPr>
                <w:noProof/>
              </w:rPr>
              <w:fldChar w:fldCharType="begin"/>
            </w:r>
            <w:r>
              <w:rPr>
                <w:noProof/>
              </w:rPr>
              <w:instrText xml:space="preserve"> PAGEREF _Toc241214363 \h </w:instrText>
            </w:r>
            <w:r>
              <w:rPr>
                <w:noProof/>
              </w:rPr>
            </w:r>
            <w:r>
              <w:rPr>
                <w:noProof/>
              </w:rPr>
              <w:fldChar w:fldCharType="separate"/>
            </w:r>
            <w:r>
              <w:rPr>
                <w:noProof/>
              </w:rPr>
              <w:t>17</w:t>
            </w:r>
            <w:r>
              <w:rPr>
                <w:noProof/>
              </w:rPr>
              <w:fldChar w:fldCharType="end"/>
            </w:r>
          </w:hyperlink>
        </w:p>
        <w:p w14:paraId="1ECD535D" w14:textId="626BCD36"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4" w:history="1">
            <w:r w:rsidRPr="00C8104E">
              <w:rPr>
                <w:rStyle w:val="Hyperlink"/>
                <w:noProof/>
              </w:rPr>
              <w:t>Analysing Drug–Drug Interaction Studies</w:t>
            </w:r>
            <w:r>
              <w:rPr>
                <w:noProof/>
              </w:rPr>
              <w:tab/>
            </w:r>
            <w:r>
              <w:rPr>
                <w:noProof/>
              </w:rPr>
              <w:fldChar w:fldCharType="begin"/>
            </w:r>
            <w:r>
              <w:rPr>
                <w:noProof/>
              </w:rPr>
              <w:instrText xml:space="preserve"> PAGEREF _Toc241214364 \h </w:instrText>
            </w:r>
            <w:r>
              <w:rPr>
                <w:noProof/>
              </w:rPr>
            </w:r>
            <w:r>
              <w:rPr>
                <w:noProof/>
              </w:rPr>
              <w:fldChar w:fldCharType="separate"/>
            </w:r>
            <w:r>
              <w:rPr>
                <w:noProof/>
              </w:rPr>
              <w:t>18</w:t>
            </w:r>
            <w:r>
              <w:rPr>
                <w:noProof/>
              </w:rPr>
              <w:fldChar w:fldCharType="end"/>
            </w:r>
          </w:hyperlink>
        </w:p>
        <w:p w14:paraId="4603D1AE" w14:textId="62428536"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5" w:history="1">
            <w:r w:rsidRPr="00C8104E">
              <w:rPr>
                <w:rStyle w:val="Hyperlink"/>
                <w:noProof/>
              </w:rPr>
              <w:t>Complete Analysis Record</w:t>
            </w:r>
            <w:r>
              <w:rPr>
                <w:noProof/>
              </w:rPr>
              <w:tab/>
            </w:r>
            <w:r>
              <w:rPr>
                <w:noProof/>
              </w:rPr>
              <w:fldChar w:fldCharType="begin"/>
            </w:r>
            <w:r>
              <w:rPr>
                <w:noProof/>
              </w:rPr>
              <w:instrText xml:space="preserve"> PAGEREF _Toc241214365 \h </w:instrText>
            </w:r>
            <w:r>
              <w:rPr>
                <w:noProof/>
              </w:rPr>
            </w:r>
            <w:r>
              <w:rPr>
                <w:noProof/>
              </w:rPr>
              <w:fldChar w:fldCharType="separate"/>
            </w:r>
            <w:r>
              <w:rPr>
                <w:noProof/>
              </w:rPr>
              <w:t>19</w:t>
            </w:r>
            <w:r>
              <w:rPr>
                <w:noProof/>
              </w:rPr>
              <w:fldChar w:fldCharType="end"/>
            </w:r>
          </w:hyperlink>
        </w:p>
        <w:p w14:paraId="1B8FD136" w14:textId="0CD6DE11"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66" w:history="1">
            <w:r w:rsidRPr="00C8104E">
              <w:rPr>
                <w:rStyle w:val="Hyperlink"/>
                <w:noProof/>
              </w:rPr>
              <w:t>Part IV: Worked Examples</w:t>
            </w:r>
            <w:r>
              <w:rPr>
                <w:noProof/>
              </w:rPr>
              <w:tab/>
            </w:r>
            <w:r>
              <w:rPr>
                <w:noProof/>
              </w:rPr>
              <w:fldChar w:fldCharType="begin"/>
            </w:r>
            <w:r>
              <w:rPr>
                <w:noProof/>
              </w:rPr>
              <w:instrText xml:space="preserve"> PAGEREF _Toc241214366 \h </w:instrText>
            </w:r>
            <w:r>
              <w:rPr>
                <w:noProof/>
              </w:rPr>
            </w:r>
            <w:r>
              <w:rPr>
                <w:noProof/>
              </w:rPr>
              <w:fldChar w:fldCharType="separate"/>
            </w:r>
            <w:r>
              <w:rPr>
                <w:noProof/>
              </w:rPr>
              <w:t>20</w:t>
            </w:r>
            <w:r>
              <w:rPr>
                <w:noProof/>
              </w:rPr>
              <w:fldChar w:fldCharType="end"/>
            </w:r>
          </w:hyperlink>
        </w:p>
        <w:p w14:paraId="7759C5A7" w14:textId="09738290"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7" w:history="1">
            <w:r w:rsidRPr="00C8104E">
              <w:rPr>
                <w:rStyle w:val="Hyperlink"/>
                <w:noProof/>
              </w:rPr>
              <w:t>Exercise 1: Theoph Dataset (Batch NCA)</w:t>
            </w:r>
            <w:r>
              <w:rPr>
                <w:noProof/>
              </w:rPr>
              <w:tab/>
            </w:r>
            <w:r>
              <w:rPr>
                <w:noProof/>
              </w:rPr>
              <w:fldChar w:fldCharType="begin"/>
            </w:r>
            <w:r>
              <w:rPr>
                <w:noProof/>
              </w:rPr>
              <w:instrText xml:space="preserve"> PAGEREF _Toc241214367 \h </w:instrText>
            </w:r>
            <w:r>
              <w:rPr>
                <w:noProof/>
              </w:rPr>
            </w:r>
            <w:r>
              <w:rPr>
                <w:noProof/>
              </w:rPr>
              <w:fldChar w:fldCharType="separate"/>
            </w:r>
            <w:r>
              <w:rPr>
                <w:noProof/>
              </w:rPr>
              <w:t>20</w:t>
            </w:r>
            <w:r>
              <w:rPr>
                <w:noProof/>
              </w:rPr>
              <w:fldChar w:fldCharType="end"/>
            </w:r>
          </w:hyperlink>
        </w:p>
        <w:p w14:paraId="4A008AFB" w14:textId="3D751853"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8" w:history="1">
            <w:r w:rsidRPr="00C8104E">
              <w:rPr>
                <w:rStyle w:val="Hyperlink"/>
                <w:noProof/>
              </w:rPr>
              <w:t>Exercise 2: Bioequivalence</w:t>
            </w:r>
            <w:r>
              <w:rPr>
                <w:noProof/>
              </w:rPr>
              <w:tab/>
            </w:r>
            <w:r>
              <w:rPr>
                <w:noProof/>
              </w:rPr>
              <w:fldChar w:fldCharType="begin"/>
            </w:r>
            <w:r>
              <w:rPr>
                <w:noProof/>
              </w:rPr>
              <w:instrText xml:space="preserve"> PAGEREF _Toc241214368 \h </w:instrText>
            </w:r>
            <w:r>
              <w:rPr>
                <w:noProof/>
              </w:rPr>
            </w:r>
            <w:r>
              <w:rPr>
                <w:noProof/>
              </w:rPr>
              <w:fldChar w:fldCharType="separate"/>
            </w:r>
            <w:r>
              <w:rPr>
                <w:noProof/>
              </w:rPr>
              <w:t>20</w:t>
            </w:r>
            <w:r>
              <w:rPr>
                <w:noProof/>
              </w:rPr>
              <w:fldChar w:fldCharType="end"/>
            </w:r>
          </w:hyperlink>
        </w:p>
        <w:p w14:paraId="11E0AE01" w14:textId="4D313DDB"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69" w:history="1">
            <w:r w:rsidRPr="00C8104E">
              <w:rPr>
                <w:rStyle w:val="Hyperlink"/>
                <w:noProof/>
              </w:rPr>
              <w:t>Exercise 3: Power Calculation</w:t>
            </w:r>
            <w:r>
              <w:rPr>
                <w:noProof/>
              </w:rPr>
              <w:tab/>
            </w:r>
            <w:r>
              <w:rPr>
                <w:noProof/>
              </w:rPr>
              <w:fldChar w:fldCharType="begin"/>
            </w:r>
            <w:r>
              <w:rPr>
                <w:noProof/>
              </w:rPr>
              <w:instrText xml:space="preserve"> PAGEREF _Toc241214369 \h </w:instrText>
            </w:r>
            <w:r>
              <w:rPr>
                <w:noProof/>
              </w:rPr>
            </w:r>
            <w:r>
              <w:rPr>
                <w:noProof/>
              </w:rPr>
              <w:fldChar w:fldCharType="separate"/>
            </w:r>
            <w:r>
              <w:rPr>
                <w:noProof/>
              </w:rPr>
              <w:t>20</w:t>
            </w:r>
            <w:r>
              <w:rPr>
                <w:noProof/>
              </w:rPr>
              <w:fldChar w:fldCharType="end"/>
            </w:r>
          </w:hyperlink>
        </w:p>
        <w:p w14:paraId="738028A3" w14:textId="38D5D51A"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0" w:history="1">
            <w:r w:rsidRPr="00C8104E">
              <w:rPr>
                <w:rStyle w:val="Hyperlink"/>
                <w:noProof/>
              </w:rPr>
              <w:t>Exercise 4: Partial AUC</w:t>
            </w:r>
            <w:r>
              <w:rPr>
                <w:noProof/>
              </w:rPr>
              <w:tab/>
            </w:r>
            <w:r>
              <w:rPr>
                <w:noProof/>
              </w:rPr>
              <w:fldChar w:fldCharType="begin"/>
            </w:r>
            <w:r>
              <w:rPr>
                <w:noProof/>
              </w:rPr>
              <w:instrText xml:space="preserve"> PAGEREF _Toc241214370 \h </w:instrText>
            </w:r>
            <w:r>
              <w:rPr>
                <w:noProof/>
              </w:rPr>
            </w:r>
            <w:r>
              <w:rPr>
                <w:noProof/>
              </w:rPr>
              <w:fldChar w:fldCharType="separate"/>
            </w:r>
            <w:r>
              <w:rPr>
                <w:noProof/>
              </w:rPr>
              <w:t>20</w:t>
            </w:r>
            <w:r>
              <w:rPr>
                <w:noProof/>
              </w:rPr>
              <w:fldChar w:fldCharType="end"/>
            </w:r>
          </w:hyperlink>
        </w:p>
        <w:p w14:paraId="16A3F1F9" w14:textId="5339BE62"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71" w:history="1">
            <w:r w:rsidRPr="00C8104E">
              <w:rPr>
                <w:rStyle w:val="Hyperlink"/>
                <w:noProof/>
              </w:rPr>
              <w:t>Part V: Theoretical Background</w:t>
            </w:r>
            <w:r>
              <w:rPr>
                <w:noProof/>
              </w:rPr>
              <w:tab/>
            </w:r>
            <w:r>
              <w:rPr>
                <w:noProof/>
              </w:rPr>
              <w:fldChar w:fldCharType="begin"/>
            </w:r>
            <w:r>
              <w:rPr>
                <w:noProof/>
              </w:rPr>
              <w:instrText xml:space="preserve"> PAGEREF _Toc241214371 \h </w:instrText>
            </w:r>
            <w:r>
              <w:rPr>
                <w:noProof/>
              </w:rPr>
            </w:r>
            <w:r>
              <w:rPr>
                <w:noProof/>
              </w:rPr>
              <w:fldChar w:fldCharType="separate"/>
            </w:r>
            <w:r>
              <w:rPr>
                <w:noProof/>
              </w:rPr>
              <w:t>22</w:t>
            </w:r>
            <w:r>
              <w:rPr>
                <w:noProof/>
              </w:rPr>
              <w:fldChar w:fldCharType="end"/>
            </w:r>
          </w:hyperlink>
        </w:p>
        <w:p w14:paraId="2A86A192" w14:textId="486698D3"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2" w:history="1">
            <w:r w:rsidRPr="00C8104E">
              <w:rPr>
                <w:rStyle w:val="Hyperlink"/>
                <w:noProof/>
              </w:rPr>
              <w:t>Trapezoidal Methods for AUC Calculation</w:t>
            </w:r>
            <w:r>
              <w:rPr>
                <w:noProof/>
              </w:rPr>
              <w:tab/>
            </w:r>
            <w:r>
              <w:rPr>
                <w:noProof/>
              </w:rPr>
              <w:fldChar w:fldCharType="begin"/>
            </w:r>
            <w:r>
              <w:rPr>
                <w:noProof/>
              </w:rPr>
              <w:instrText xml:space="preserve"> PAGEREF _Toc241214372 \h </w:instrText>
            </w:r>
            <w:r>
              <w:rPr>
                <w:noProof/>
              </w:rPr>
            </w:r>
            <w:r>
              <w:rPr>
                <w:noProof/>
              </w:rPr>
              <w:fldChar w:fldCharType="separate"/>
            </w:r>
            <w:r>
              <w:rPr>
                <w:noProof/>
              </w:rPr>
              <w:t>22</w:t>
            </w:r>
            <w:r>
              <w:rPr>
                <w:noProof/>
              </w:rPr>
              <w:fldChar w:fldCharType="end"/>
            </w:r>
          </w:hyperlink>
        </w:p>
        <w:p w14:paraId="09F115CA" w14:textId="10D17AFC"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3" w:history="1">
            <w:r w:rsidRPr="00C8104E">
              <w:rPr>
                <w:rStyle w:val="Hyperlink"/>
                <w:noProof/>
              </w:rPr>
              <w:t>Terminal Phase Characterisation and Half-Life Estimation</w:t>
            </w:r>
            <w:r>
              <w:rPr>
                <w:noProof/>
              </w:rPr>
              <w:tab/>
            </w:r>
            <w:r>
              <w:rPr>
                <w:noProof/>
              </w:rPr>
              <w:fldChar w:fldCharType="begin"/>
            </w:r>
            <w:r>
              <w:rPr>
                <w:noProof/>
              </w:rPr>
              <w:instrText xml:space="preserve"> PAGEREF _Toc241214373 \h </w:instrText>
            </w:r>
            <w:r>
              <w:rPr>
                <w:noProof/>
              </w:rPr>
            </w:r>
            <w:r>
              <w:rPr>
                <w:noProof/>
              </w:rPr>
              <w:fldChar w:fldCharType="separate"/>
            </w:r>
            <w:r>
              <w:rPr>
                <w:noProof/>
              </w:rPr>
              <w:t>22</w:t>
            </w:r>
            <w:r>
              <w:rPr>
                <w:noProof/>
              </w:rPr>
              <w:fldChar w:fldCharType="end"/>
            </w:r>
          </w:hyperlink>
        </w:p>
        <w:p w14:paraId="00DD9F42" w14:textId="5EB11928"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4" w:history="1">
            <w:r w:rsidRPr="00C8104E">
              <w:rPr>
                <w:rStyle w:val="Hyperlink"/>
                <w:noProof/>
              </w:rPr>
              <w:t>BLQ Handling: Pharmacological Rationale</w:t>
            </w:r>
            <w:r>
              <w:rPr>
                <w:noProof/>
              </w:rPr>
              <w:tab/>
            </w:r>
            <w:r>
              <w:rPr>
                <w:noProof/>
              </w:rPr>
              <w:fldChar w:fldCharType="begin"/>
            </w:r>
            <w:r>
              <w:rPr>
                <w:noProof/>
              </w:rPr>
              <w:instrText xml:space="preserve"> PAGEREF _Toc241214374 \h </w:instrText>
            </w:r>
            <w:r>
              <w:rPr>
                <w:noProof/>
              </w:rPr>
            </w:r>
            <w:r>
              <w:rPr>
                <w:noProof/>
              </w:rPr>
              <w:fldChar w:fldCharType="separate"/>
            </w:r>
            <w:r>
              <w:rPr>
                <w:noProof/>
              </w:rPr>
              <w:t>23</w:t>
            </w:r>
            <w:r>
              <w:rPr>
                <w:noProof/>
              </w:rPr>
              <w:fldChar w:fldCharType="end"/>
            </w:r>
          </w:hyperlink>
        </w:p>
        <w:p w14:paraId="51335548" w14:textId="7E7950AD"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5" w:history="1">
            <w:r w:rsidRPr="00C8104E">
              <w:rPr>
                <w:rStyle w:val="Hyperlink"/>
                <w:noProof/>
              </w:rPr>
              <w:t>Steady-State Considerations</w:t>
            </w:r>
            <w:r>
              <w:rPr>
                <w:noProof/>
              </w:rPr>
              <w:tab/>
            </w:r>
            <w:r>
              <w:rPr>
                <w:noProof/>
              </w:rPr>
              <w:fldChar w:fldCharType="begin"/>
            </w:r>
            <w:r>
              <w:rPr>
                <w:noProof/>
              </w:rPr>
              <w:instrText xml:space="preserve"> PAGEREF _Toc241214375 \h </w:instrText>
            </w:r>
            <w:r>
              <w:rPr>
                <w:noProof/>
              </w:rPr>
            </w:r>
            <w:r>
              <w:rPr>
                <w:noProof/>
              </w:rPr>
              <w:fldChar w:fldCharType="separate"/>
            </w:r>
            <w:r>
              <w:rPr>
                <w:noProof/>
              </w:rPr>
              <w:t>23</w:t>
            </w:r>
            <w:r>
              <w:rPr>
                <w:noProof/>
              </w:rPr>
              <w:fldChar w:fldCharType="end"/>
            </w:r>
          </w:hyperlink>
        </w:p>
        <w:p w14:paraId="395B8EBD" w14:textId="4E6599D0"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6" w:history="1">
            <w:r w:rsidRPr="00C8104E">
              <w:rPr>
                <w:rStyle w:val="Hyperlink"/>
                <w:noProof/>
              </w:rPr>
              <w:t>Partial AUCs: Interpolation and the End of the Interval</w:t>
            </w:r>
            <w:r>
              <w:rPr>
                <w:noProof/>
              </w:rPr>
              <w:tab/>
            </w:r>
            <w:r>
              <w:rPr>
                <w:noProof/>
              </w:rPr>
              <w:fldChar w:fldCharType="begin"/>
            </w:r>
            <w:r>
              <w:rPr>
                <w:noProof/>
              </w:rPr>
              <w:instrText xml:space="preserve"> PAGEREF _Toc241214376 \h </w:instrText>
            </w:r>
            <w:r>
              <w:rPr>
                <w:noProof/>
              </w:rPr>
            </w:r>
            <w:r>
              <w:rPr>
                <w:noProof/>
              </w:rPr>
              <w:fldChar w:fldCharType="separate"/>
            </w:r>
            <w:r>
              <w:rPr>
                <w:noProof/>
              </w:rPr>
              <w:t>23</w:t>
            </w:r>
            <w:r>
              <w:rPr>
                <w:noProof/>
              </w:rPr>
              <w:fldChar w:fldCharType="end"/>
            </w:r>
          </w:hyperlink>
        </w:p>
        <w:p w14:paraId="087FB6F7" w14:textId="38A95D91"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77" w:history="1">
            <w:r w:rsidRPr="00C8104E">
              <w:rPr>
                <w:rStyle w:val="Hyperlink"/>
                <w:noProof/>
              </w:rPr>
              <w:t>Part VI: Statistical Methods</w:t>
            </w:r>
            <w:r>
              <w:rPr>
                <w:noProof/>
              </w:rPr>
              <w:tab/>
            </w:r>
            <w:r>
              <w:rPr>
                <w:noProof/>
              </w:rPr>
              <w:fldChar w:fldCharType="begin"/>
            </w:r>
            <w:r>
              <w:rPr>
                <w:noProof/>
              </w:rPr>
              <w:instrText xml:space="preserve"> PAGEREF _Toc241214377 \h </w:instrText>
            </w:r>
            <w:r>
              <w:rPr>
                <w:noProof/>
              </w:rPr>
            </w:r>
            <w:r>
              <w:rPr>
                <w:noProof/>
              </w:rPr>
              <w:fldChar w:fldCharType="separate"/>
            </w:r>
            <w:r>
              <w:rPr>
                <w:noProof/>
              </w:rPr>
              <w:t>25</w:t>
            </w:r>
            <w:r>
              <w:rPr>
                <w:noProof/>
              </w:rPr>
              <w:fldChar w:fldCharType="end"/>
            </w:r>
          </w:hyperlink>
        </w:p>
        <w:p w14:paraId="269ACE17" w14:textId="00825731"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8" w:history="1">
            <w:r w:rsidRPr="00C8104E">
              <w:rPr>
                <w:rStyle w:val="Hyperlink"/>
                <w:noProof/>
              </w:rPr>
              <w:t>The Two One-Sided Tests (TOST) Procedure</w:t>
            </w:r>
            <w:r>
              <w:rPr>
                <w:noProof/>
              </w:rPr>
              <w:tab/>
            </w:r>
            <w:r>
              <w:rPr>
                <w:noProof/>
              </w:rPr>
              <w:fldChar w:fldCharType="begin"/>
            </w:r>
            <w:r>
              <w:rPr>
                <w:noProof/>
              </w:rPr>
              <w:instrText xml:space="preserve"> PAGEREF _Toc241214378 \h </w:instrText>
            </w:r>
            <w:r>
              <w:rPr>
                <w:noProof/>
              </w:rPr>
            </w:r>
            <w:r>
              <w:rPr>
                <w:noProof/>
              </w:rPr>
              <w:fldChar w:fldCharType="separate"/>
            </w:r>
            <w:r>
              <w:rPr>
                <w:noProof/>
              </w:rPr>
              <w:t>25</w:t>
            </w:r>
            <w:r>
              <w:rPr>
                <w:noProof/>
              </w:rPr>
              <w:fldChar w:fldCharType="end"/>
            </w:r>
          </w:hyperlink>
        </w:p>
        <w:p w14:paraId="1BE11037" w14:textId="74F75EF0"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79" w:history="1">
            <w:r w:rsidRPr="00C8104E">
              <w:rPr>
                <w:rStyle w:val="Hyperlink"/>
                <w:noProof/>
              </w:rPr>
              <w:t>The ANOVA Model for Crossover Designs</w:t>
            </w:r>
            <w:r>
              <w:rPr>
                <w:noProof/>
              </w:rPr>
              <w:tab/>
            </w:r>
            <w:r>
              <w:rPr>
                <w:noProof/>
              </w:rPr>
              <w:fldChar w:fldCharType="begin"/>
            </w:r>
            <w:r>
              <w:rPr>
                <w:noProof/>
              </w:rPr>
              <w:instrText xml:space="preserve"> PAGEREF _Toc241214379 \h </w:instrText>
            </w:r>
            <w:r>
              <w:rPr>
                <w:noProof/>
              </w:rPr>
            </w:r>
            <w:r>
              <w:rPr>
                <w:noProof/>
              </w:rPr>
              <w:fldChar w:fldCharType="separate"/>
            </w:r>
            <w:r>
              <w:rPr>
                <w:noProof/>
              </w:rPr>
              <w:t>25</w:t>
            </w:r>
            <w:r>
              <w:rPr>
                <w:noProof/>
              </w:rPr>
              <w:fldChar w:fldCharType="end"/>
            </w:r>
          </w:hyperlink>
        </w:p>
        <w:p w14:paraId="2437C8E0" w14:textId="56782645"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0" w:history="1">
            <w:r w:rsidRPr="00C8104E">
              <w:rPr>
                <w:rStyle w:val="Hyperlink"/>
                <w:noProof/>
              </w:rPr>
              <w:t>Fixed-Effects vs. Mixed-Effects Models</w:t>
            </w:r>
            <w:r>
              <w:rPr>
                <w:noProof/>
              </w:rPr>
              <w:tab/>
            </w:r>
            <w:r>
              <w:rPr>
                <w:noProof/>
              </w:rPr>
              <w:fldChar w:fldCharType="begin"/>
            </w:r>
            <w:r>
              <w:rPr>
                <w:noProof/>
              </w:rPr>
              <w:instrText xml:space="preserve"> PAGEREF _Toc241214380 \h </w:instrText>
            </w:r>
            <w:r>
              <w:rPr>
                <w:noProof/>
              </w:rPr>
            </w:r>
            <w:r>
              <w:rPr>
                <w:noProof/>
              </w:rPr>
              <w:fldChar w:fldCharType="separate"/>
            </w:r>
            <w:r>
              <w:rPr>
                <w:noProof/>
              </w:rPr>
              <w:t>25</w:t>
            </w:r>
            <w:r>
              <w:rPr>
                <w:noProof/>
              </w:rPr>
              <w:fldChar w:fldCharType="end"/>
            </w:r>
          </w:hyperlink>
        </w:p>
        <w:p w14:paraId="0B220A60" w14:textId="563F7A88"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1" w:history="1">
            <w:r w:rsidRPr="00C8104E">
              <w:rPr>
                <w:rStyle w:val="Hyperlink"/>
                <w:noProof/>
              </w:rPr>
              <w:t>Confidence Interval Construction</w:t>
            </w:r>
            <w:r>
              <w:rPr>
                <w:noProof/>
              </w:rPr>
              <w:tab/>
            </w:r>
            <w:r>
              <w:rPr>
                <w:noProof/>
              </w:rPr>
              <w:fldChar w:fldCharType="begin"/>
            </w:r>
            <w:r>
              <w:rPr>
                <w:noProof/>
              </w:rPr>
              <w:instrText xml:space="preserve"> PAGEREF _Toc241214381 \h </w:instrText>
            </w:r>
            <w:r>
              <w:rPr>
                <w:noProof/>
              </w:rPr>
            </w:r>
            <w:r>
              <w:rPr>
                <w:noProof/>
              </w:rPr>
              <w:fldChar w:fldCharType="separate"/>
            </w:r>
            <w:r>
              <w:rPr>
                <w:noProof/>
              </w:rPr>
              <w:t>25</w:t>
            </w:r>
            <w:r>
              <w:rPr>
                <w:noProof/>
              </w:rPr>
              <w:fldChar w:fldCharType="end"/>
            </w:r>
          </w:hyperlink>
        </w:p>
        <w:p w14:paraId="33F4C5EA" w14:textId="7EB6E85C"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2" w:history="1">
            <w:r w:rsidRPr="00C8104E">
              <w:rPr>
                <w:rStyle w:val="Hyperlink"/>
                <w:noProof/>
              </w:rPr>
              <w:t>Design-Specific Models</w:t>
            </w:r>
            <w:r>
              <w:rPr>
                <w:noProof/>
              </w:rPr>
              <w:tab/>
            </w:r>
            <w:r>
              <w:rPr>
                <w:noProof/>
              </w:rPr>
              <w:fldChar w:fldCharType="begin"/>
            </w:r>
            <w:r>
              <w:rPr>
                <w:noProof/>
              </w:rPr>
              <w:instrText xml:space="preserve"> PAGEREF _Toc241214382 \h </w:instrText>
            </w:r>
            <w:r>
              <w:rPr>
                <w:noProof/>
              </w:rPr>
            </w:r>
            <w:r>
              <w:rPr>
                <w:noProof/>
              </w:rPr>
              <w:fldChar w:fldCharType="separate"/>
            </w:r>
            <w:r>
              <w:rPr>
                <w:noProof/>
              </w:rPr>
              <w:t>26</w:t>
            </w:r>
            <w:r>
              <w:rPr>
                <w:noProof/>
              </w:rPr>
              <w:fldChar w:fldCharType="end"/>
            </w:r>
          </w:hyperlink>
        </w:p>
        <w:p w14:paraId="50596EF5" w14:textId="0A6F31C3"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3" w:history="1">
            <w:r w:rsidRPr="00C8104E">
              <w:rPr>
                <w:rStyle w:val="Hyperlink"/>
                <w:noProof/>
              </w:rPr>
              <w:t>Drug–Drug Interaction Analysis</w:t>
            </w:r>
            <w:r>
              <w:rPr>
                <w:noProof/>
              </w:rPr>
              <w:tab/>
            </w:r>
            <w:r>
              <w:rPr>
                <w:noProof/>
              </w:rPr>
              <w:fldChar w:fldCharType="begin"/>
            </w:r>
            <w:r>
              <w:rPr>
                <w:noProof/>
              </w:rPr>
              <w:instrText xml:space="preserve"> PAGEREF _Toc241214383 \h </w:instrText>
            </w:r>
            <w:r>
              <w:rPr>
                <w:noProof/>
              </w:rPr>
            </w:r>
            <w:r>
              <w:rPr>
                <w:noProof/>
              </w:rPr>
              <w:fldChar w:fldCharType="separate"/>
            </w:r>
            <w:r>
              <w:rPr>
                <w:noProof/>
              </w:rPr>
              <w:t>26</w:t>
            </w:r>
            <w:r>
              <w:rPr>
                <w:noProof/>
              </w:rPr>
              <w:fldChar w:fldCharType="end"/>
            </w:r>
          </w:hyperlink>
        </w:p>
        <w:p w14:paraId="12029BC0" w14:textId="083B1C98"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4" w:history="1">
            <w:r w:rsidRPr="00C8104E">
              <w:rPr>
                <w:rStyle w:val="Hyperlink"/>
                <w:noProof/>
              </w:rPr>
              <w:t>Power and Sample Size for Bioequivalence</w:t>
            </w:r>
            <w:r>
              <w:rPr>
                <w:noProof/>
              </w:rPr>
              <w:tab/>
            </w:r>
            <w:r>
              <w:rPr>
                <w:noProof/>
              </w:rPr>
              <w:fldChar w:fldCharType="begin"/>
            </w:r>
            <w:r>
              <w:rPr>
                <w:noProof/>
              </w:rPr>
              <w:instrText xml:space="preserve"> PAGEREF _Toc241214384 \h </w:instrText>
            </w:r>
            <w:r>
              <w:rPr>
                <w:noProof/>
              </w:rPr>
            </w:r>
            <w:r>
              <w:rPr>
                <w:noProof/>
              </w:rPr>
              <w:fldChar w:fldCharType="separate"/>
            </w:r>
            <w:r>
              <w:rPr>
                <w:noProof/>
              </w:rPr>
              <w:t>26</w:t>
            </w:r>
            <w:r>
              <w:rPr>
                <w:noProof/>
              </w:rPr>
              <w:fldChar w:fldCharType="end"/>
            </w:r>
          </w:hyperlink>
        </w:p>
        <w:p w14:paraId="091DDA10" w14:textId="3B3E5530"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5" w:history="1">
            <w:r w:rsidRPr="00C8104E">
              <w:rPr>
                <w:rStyle w:val="Hyperlink"/>
                <w:noProof/>
              </w:rPr>
              <w:t>Partial AUCs in Bioequivalence</w:t>
            </w:r>
            <w:r>
              <w:rPr>
                <w:noProof/>
              </w:rPr>
              <w:tab/>
            </w:r>
            <w:r>
              <w:rPr>
                <w:noProof/>
              </w:rPr>
              <w:fldChar w:fldCharType="begin"/>
            </w:r>
            <w:r>
              <w:rPr>
                <w:noProof/>
              </w:rPr>
              <w:instrText xml:space="preserve"> PAGEREF _Toc241214385 \h </w:instrText>
            </w:r>
            <w:r>
              <w:rPr>
                <w:noProof/>
              </w:rPr>
            </w:r>
            <w:r>
              <w:rPr>
                <w:noProof/>
              </w:rPr>
              <w:fldChar w:fldCharType="separate"/>
            </w:r>
            <w:r>
              <w:rPr>
                <w:noProof/>
              </w:rPr>
              <w:t>26</w:t>
            </w:r>
            <w:r>
              <w:rPr>
                <w:noProof/>
              </w:rPr>
              <w:fldChar w:fldCharType="end"/>
            </w:r>
          </w:hyperlink>
        </w:p>
        <w:p w14:paraId="59434BF6" w14:textId="5D51A15F"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6" w:history="1">
            <w:r w:rsidRPr="00C8104E">
              <w:rPr>
                <w:rStyle w:val="Hyperlink"/>
                <w:noProof/>
              </w:rPr>
              <w:t>Regulatory Guidelines</w:t>
            </w:r>
            <w:r>
              <w:rPr>
                <w:noProof/>
              </w:rPr>
              <w:tab/>
            </w:r>
            <w:r>
              <w:rPr>
                <w:noProof/>
              </w:rPr>
              <w:fldChar w:fldCharType="begin"/>
            </w:r>
            <w:r>
              <w:rPr>
                <w:noProof/>
              </w:rPr>
              <w:instrText xml:space="preserve"> PAGEREF _Toc241214386 \h </w:instrText>
            </w:r>
            <w:r>
              <w:rPr>
                <w:noProof/>
              </w:rPr>
            </w:r>
            <w:r>
              <w:rPr>
                <w:noProof/>
              </w:rPr>
              <w:fldChar w:fldCharType="separate"/>
            </w:r>
            <w:r>
              <w:rPr>
                <w:noProof/>
              </w:rPr>
              <w:t>27</w:t>
            </w:r>
            <w:r>
              <w:rPr>
                <w:noProof/>
              </w:rPr>
              <w:fldChar w:fldCharType="end"/>
            </w:r>
          </w:hyperlink>
        </w:p>
        <w:p w14:paraId="05C60665" w14:textId="2251C80C" w:rsidR="000A26A0" w:rsidRDefault="000A26A0">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14387" w:history="1">
            <w:r w:rsidRPr="00C8104E">
              <w:rPr>
                <w:rStyle w:val="Hyperlink"/>
                <w:noProof/>
              </w:rPr>
              <w:t>Appendices</w:t>
            </w:r>
            <w:r>
              <w:rPr>
                <w:noProof/>
              </w:rPr>
              <w:tab/>
            </w:r>
            <w:r>
              <w:rPr>
                <w:noProof/>
              </w:rPr>
              <w:fldChar w:fldCharType="begin"/>
            </w:r>
            <w:r>
              <w:rPr>
                <w:noProof/>
              </w:rPr>
              <w:instrText xml:space="preserve"> PAGEREF _Toc241214387 \h </w:instrText>
            </w:r>
            <w:r>
              <w:rPr>
                <w:noProof/>
              </w:rPr>
            </w:r>
            <w:r>
              <w:rPr>
                <w:noProof/>
              </w:rPr>
              <w:fldChar w:fldCharType="separate"/>
            </w:r>
            <w:r>
              <w:rPr>
                <w:noProof/>
              </w:rPr>
              <w:t>28</w:t>
            </w:r>
            <w:r>
              <w:rPr>
                <w:noProof/>
              </w:rPr>
              <w:fldChar w:fldCharType="end"/>
            </w:r>
          </w:hyperlink>
        </w:p>
        <w:p w14:paraId="18F004FE" w14:textId="2678B13F"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8" w:history="1">
            <w:r w:rsidRPr="00C8104E">
              <w:rPr>
                <w:rStyle w:val="Hyperlink"/>
                <w:noProof/>
              </w:rPr>
              <w:t>Appendix A: Glossary</w:t>
            </w:r>
            <w:r>
              <w:rPr>
                <w:noProof/>
              </w:rPr>
              <w:tab/>
            </w:r>
            <w:r>
              <w:rPr>
                <w:noProof/>
              </w:rPr>
              <w:fldChar w:fldCharType="begin"/>
            </w:r>
            <w:r>
              <w:rPr>
                <w:noProof/>
              </w:rPr>
              <w:instrText xml:space="preserve"> PAGEREF _Toc241214388 \h </w:instrText>
            </w:r>
            <w:r>
              <w:rPr>
                <w:noProof/>
              </w:rPr>
            </w:r>
            <w:r>
              <w:rPr>
                <w:noProof/>
              </w:rPr>
              <w:fldChar w:fldCharType="separate"/>
            </w:r>
            <w:r>
              <w:rPr>
                <w:noProof/>
              </w:rPr>
              <w:t>28</w:t>
            </w:r>
            <w:r>
              <w:rPr>
                <w:noProof/>
              </w:rPr>
              <w:fldChar w:fldCharType="end"/>
            </w:r>
          </w:hyperlink>
        </w:p>
        <w:p w14:paraId="4AFC55DF" w14:textId="1AF362B1"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89" w:history="1">
            <w:r w:rsidRPr="00C8104E">
              <w:rPr>
                <w:rStyle w:val="Hyperlink"/>
                <w:noProof/>
              </w:rPr>
              <w:t>Appendix B: Recognised Column Names</w:t>
            </w:r>
            <w:r>
              <w:rPr>
                <w:noProof/>
              </w:rPr>
              <w:tab/>
            </w:r>
            <w:r>
              <w:rPr>
                <w:noProof/>
              </w:rPr>
              <w:fldChar w:fldCharType="begin"/>
            </w:r>
            <w:r>
              <w:rPr>
                <w:noProof/>
              </w:rPr>
              <w:instrText xml:space="preserve"> PAGEREF _Toc241214389 \h </w:instrText>
            </w:r>
            <w:r>
              <w:rPr>
                <w:noProof/>
              </w:rPr>
            </w:r>
            <w:r>
              <w:rPr>
                <w:noProof/>
              </w:rPr>
              <w:fldChar w:fldCharType="separate"/>
            </w:r>
            <w:r>
              <w:rPr>
                <w:noProof/>
              </w:rPr>
              <w:t>29</w:t>
            </w:r>
            <w:r>
              <w:rPr>
                <w:noProof/>
              </w:rPr>
              <w:fldChar w:fldCharType="end"/>
            </w:r>
          </w:hyperlink>
        </w:p>
        <w:p w14:paraId="4D771E6F" w14:textId="428E7CBD"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90" w:history="1">
            <w:r w:rsidRPr="00C8104E">
              <w:rPr>
                <w:rStyle w:val="Hyperlink"/>
                <w:noProof/>
              </w:rPr>
              <w:t>Appendix C: Troubleshooting</w:t>
            </w:r>
            <w:r>
              <w:rPr>
                <w:noProof/>
              </w:rPr>
              <w:tab/>
            </w:r>
            <w:r>
              <w:rPr>
                <w:noProof/>
              </w:rPr>
              <w:fldChar w:fldCharType="begin"/>
            </w:r>
            <w:r>
              <w:rPr>
                <w:noProof/>
              </w:rPr>
              <w:instrText xml:space="preserve"> PAGEREF _Toc241214390 \h </w:instrText>
            </w:r>
            <w:r>
              <w:rPr>
                <w:noProof/>
              </w:rPr>
            </w:r>
            <w:r>
              <w:rPr>
                <w:noProof/>
              </w:rPr>
              <w:fldChar w:fldCharType="separate"/>
            </w:r>
            <w:r>
              <w:rPr>
                <w:noProof/>
              </w:rPr>
              <w:t>29</w:t>
            </w:r>
            <w:r>
              <w:rPr>
                <w:noProof/>
              </w:rPr>
              <w:fldChar w:fldCharType="end"/>
            </w:r>
          </w:hyperlink>
        </w:p>
        <w:p w14:paraId="6DD75AAB" w14:textId="0E054CCB" w:rsidR="000A26A0" w:rsidRDefault="000A26A0">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14391" w:history="1">
            <w:r w:rsidRPr="00C8104E">
              <w:rPr>
                <w:rStyle w:val="Hyperlink"/>
                <w:noProof/>
              </w:rPr>
              <w:t>Appendix D: References</w:t>
            </w:r>
            <w:r>
              <w:rPr>
                <w:noProof/>
              </w:rPr>
              <w:tab/>
            </w:r>
            <w:r>
              <w:rPr>
                <w:noProof/>
              </w:rPr>
              <w:fldChar w:fldCharType="begin"/>
            </w:r>
            <w:r>
              <w:rPr>
                <w:noProof/>
              </w:rPr>
              <w:instrText xml:space="preserve"> PAGEREF _Toc241214391 \h </w:instrText>
            </w:r>
            <w:r>
              <w:rPr>
                <w:noProof/>
              </w:rPr>
            </w:r>
            <w:r>
              <w:rPr>
                <w:noProof/>
              </w:rPr>
              <w:fldChar w:fldCharType="separate"/>
            </w:r>
            <w:r>
              <w:rPr>
                <w:noProof/>
              </w:rPr>
              <w:t>30</w:t>
            </w:r>
            <w:r>
              <w:rPr>
                <w:noProof/>
              </w:rPr>
              <w:fldChar w:fldCharType="end"/>
            </w:r>
          </w:hyperlink>
        </w:p>
        <w:p w14:paraId="18E94D88" w14:textId="79BE43DC" w:rsidR="003D2EE2" w:rsidRDefault="003D2EE2">
          <w:pPr>
            <w:pStyle w:val="Inhopg2"/>
            <w:tabs>
              <w:tab w:val="right" w:leader="dot" w:pos="9016"/>
            </w:tabs>
            <w:rPr>
              <w:rFonts w:asciiTheme="minorHAnsi" w:eastAsiaTheme="minorEastAsia" w:hAnsiTheme="minorHAnsi" w:cstheme="minorBidi"/>
              <w:noProof/>
              <w:kern w:val="2"/>
              <w:sz w:val="24"/>
              <w:szCs w:val="24"/>
              <w14:ligatures w14:val="standardContextual"/>
            </w:rPr>
          </w:pPr>
          <w:r>
            <w:fldChar w:fldCharType="end"/>
          </w:r>
        </w:p>
      </w:sdtContent>
    </w:sdt>
    <w:p w14:paraId="7627C287" w14:textId="77777777" w:rsidR="00631871" w:rsidRDefault="0013387A">
      <w:pPr>
        <w:pStyle w:val="Kop1"/>
        <w:pageBreakBefore/>
      </w:pPr>
      <w:bookmarkStart w:id="2" w:name="_Toc241214335"/>
      <w:r>
        <w:lastRenderedPageBreak/>
        <w:t>Intended Use and Your Data</w:t>
      </w:r>
      <w:bookmarkEnd w:id="2"/>
    </w:p>
    <w:p w14:paraId="3C53869D" w14:textId="77777777" w:rsidR="00631871" w:rsidRDefault="0013387A">
      <w:pPr>
        <w:spacing w:after="120" w:line="276" w:lineRule="auto"/>
      </w:pPr>
      <w:r>
        <w:t>NCA Assistant is for pharmacokineticists doing non-compartmental analysis, average bioequivalence testing and study planning. It gives no reference-scaled bioequivalence verdict (ABEL, RSABE), and it has no audit trail, electronic signature or access control. The public instance on shinyapps.io is for evaluation and training, with synthetic or pseudonymised data. For regulated work, install a tagged release on your own system and qualify it there with the validation package. Responsibility for the analysis and its conclusions stays with the user. Not for dosing decisions for individual patients.</w:t>
      </w:r>
    </w:p>
    <w:p w14:paraId="14F72A6C" w14:textId="77777777" w:rsidR="00631871" w:rsidRDefault="0013387A">
      <w:pPr>
        <w:spacing w:after="120" w:line="276" w:lineRule="auto"/>
      </w:pPr>
      <w:r>
        <w:t>Your data. On the public instance, uploads are processed on shinyapps.io servers run by Posit PBC (USA). Do not upload data that identify people or that you may not share with a third party: use pseudonymised IDs, or run the app on your own computer for confidential studies.</w:t>
      </w:r>
    </w:p>
    <w:p w14:paraId="69231CD7" w14:textId="77777777" w:rsidR="00631871" w:rsidRDefault="0013387A">
      <w:pPr>
        <w:pStyle w:val="Kop1"/>
      </w:pPr>
      <w:bookmarkStart w:id="3" w:name="_Toc241214336"/>
      <w:r>
        <w:t>Quick Start Guide</w:t>
      </w:r>
      <w:bookmarkEnd w:id="3"/>
    </w:p>
    <w:p w14:paraId="6E5E9E3D" w14:textId="77777777" w:rsidR="00631871" w:rsidRDefault="0013387A">
      <w:pPr>
        <w:spacing w:after="120" w:line="276" w:lineRule="auto"/>
      </w:pPr>
      <w:r>
        <w:rPr>
          <w:b/>
          <w:bCs/>
        </w:rPr>
        <w:t xml:space="preserve">Before you begin: </w:t>
      </w:r>
      <w:r>
        <w:t>check that your data file has the right format. If this is your first time, read Part II (Preparing Your Data) first; most upload errors come from formatting.</w:t>
      </w:r>
    </w:p>
    <w:p w14:paraId="3EE98B43" w14:textId="77777777" w:rsidR="00631871" w:rsidRDefault="0013387A">
      <w:pPr>
        <w:spacing w:after="120" w:line="276" w:lineRule="auto"/>
      </w:pPr>
      <w:r>
        <w:rPr>
          <w:b/>
          <w:bCs/>
        </w:rPr>
        <w:t xml:space="preserve">Step 1. </w:t>
      </w:r>
      <w:r>
        <w:t xml:space="preserve">Open the app at </w:t>
      </w:r>
      <w:r>
        <w:rPr>
          <w:rFonts w:ascii="Courier New" w:eastAsia="Courier New" w:hAnsi="Courier New" w:cs="Courier New"/>
          <w:sz w:val="20"/>
          <w:szCs w:val="20"/>
        </w:rPr>
        <w:t>robterheine.shinyapps.io/NCAassistant</w:t>
      </w:r>
      <w:r>
        <w:t xml:space="preserve"> (for evaluation and training, with pseudonymised data) or run </w:t>
      </w:r>
      <w:r>
        <w:rPr>
          <w:rFonts w:ascii="Courier New" w:eastAsia="Courier New" w:hAnsi="Courier New" w:cs="Courier New"/>
          <w:sz w:val="20"/>
          <w:szCs w:val="20"/>
        </w:rPr>
        <w:t>source("install_and_run.R")</w:t>
      </w:r>
      <w:r>
        <w:t xml:space="preserve"> in RStudio.</w:t>
      </w:r>
    </w:p>
    <w:p w14:paraId="209061FB" w14:textId="77777777" w:rsidR="00631871" w:rsidRDefault="0013387A">
      <w:pPr>
        <w:spacing w:after="120" w:line="276" w:lineRule="auto"/>
      </w:pPr>
      <w:r>
        <w:rPr>
          <w:b/>
          <w:bCs/>
        </w:rPr>
        <w:t xml:space="preserve">Step 2. </w:t>
      </w:r>
      <w:r>
        <w:t>Click Upload &amp; Check Data. Choose what kind of file you have (a simple table, or a CDISC ADNCA dataset), upload the CSV or Excel file and check the column mapping the app suggests.</w:t>
      </w:r>
    </w:p>
    <w:p w14:paraId="5E0BAF73" w14:textId="77777777" w:rsidR="00631871" w:rsidRDefault="0013387A">
      <w:pPr>
        <w:spacing w:after="120" w:line="276" w:lineRule="auto"/>
      </w:pPr>
      <w:r>
        <w:rPr>
          <w:b/>
          <w:bCs/>
        </w:rPr>
        <w:t xml:space="preserve">Step 3. </w:t>
      </w:r>
      <w:r>
        <w:t>If the data contain BLQ values, set the LLOQ and choose a BLQ rule. When the app finds entries such as “&lt;0.5”, it offers a blue “Apply LLOQ = X and process” button. Otherwise enter the LLOQ yourself and click Process Data. Leave the LLOQ at 0 if there are no BLQ values.</w:t>
      </w:r>
    </w:p>
    <w:p w14:paraId="0156C3BF" w14:textId="77777777" w:rsidR="00631871" w:rsidRDefault="0013387A">
      <w:pPr>
        <w:spacing w:after="120" w:line="276" w:lineRule="auto"/>
      </w:pPr>
      <w:r>
        <w:rPr>
          <w:b/>
          <w:bCs/>
        </w:rPr>
        <w:t xml:space="preserve">Step 4. </w:t>
      </w:r>
      <w:r>
        <w:t>Optionally, open Visualize Data to look at the individual profiles and the geometric mean curve first. Then go to All Subjects (Batch), set dose, units and route, and click Run Analysis on All Subjects.</w:t>
      </w:r>
    </w:p>
    <w:p w14:paraId="78A01840" w14:textId="77777777" w:rsidR="00631871" w:rsidRDefault="0013387A">
      <w:pPr>
        <w:spacing w:after="120" w:line="276" w:lineRule="auto"/>
      </w:pPr>
      <w:r>
        <w:rPr>
          <w:b/>
          <w:bCs/>
        </w:rPr>
        <w:t xml:space="preserve">Step 5. </w:t>
      </w:r>
      <w:r>
        <w:t>Check the results. Download them (Excel or CSV) or generate a Complete Analysis Record.</w:t>
      </w:r>
    </w:p>
    <w:p w14:paraId="30CF535A" w14:textId="77777777" w:rsidR="00631871" w:rsidRDefault="0013387A">
      <w:pPr>
        <w:spacing w:after="80" w:line="276" w:lineRule="auto"/>
      </w:pPr>
      <w:r>
        <w:rPr>
          <w:color w:val="555555"/>
          <w:sz w:val="20"/>
          <w:szCs w:val="20"/>
        </w:rPr>
        <w:t>For bioequivalence or drug interaction studies, use Bioequivalence (Path 6). Plan a Study needs no data. The Data Preparation Guide, with example datasets, is on the home screen and in the top navigation bar.</w:t>
      </w:r>
    </w:p>
    <w:p w14:paraId="1CBD6B8E" w14:textId="77777777" w:rsidR="00631871" w:rsidRDefault="0013387A">
      <w:r>
        <w:br w:type="page"/>
      </w:r>
    </w:p>
    <w:p w14:paraId="29D3E17B" w14:textId="77777777" w:rsidR="00631871" w:rsidRDefault="0013387A">
      <w:pPr>
        <w:pStyle w:val="Kop1"/>
      </w:pPr>
      <w:bookmarkStart w:id="4" w:name="_Toc241214337"/>
      <w:r>
        <w:lastRenderedPageBreak/>
        <w:t>Part I: Introduction to Non-Compartmental Analysis</w:t>
      </w:r>
      <w:bookmarkEnd w:id="4"/>
    </w:p>
    <w:p w14:paraId="407DFCAE" w14:textId="77777777" w:rsidR="00631871" w:rsidRDefault="0013387A">
      <w:pPr>
        <w:pStyle w:val="Kop2"/>
      </w:pPr>
      <w:bookmarkStart w:id="5" w:name="_Toc241214338"/>
      <w:r>
        <w:t>What Is Non-Compartmental Analysis?</w:t>
      </w:r>
      <w:bookmarkEnd w:id="5"/>
    </w:p>
    <w:p w14:paraId="0316595F"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6B6001FC" w14:textId="77777777" w:rsidR="00631871" w:rsidRDefault="0013387A">
      <w:pPr>
        <w:spacing w:after="120" w:line="276" w:lineRule="auto"/>
      </w:pPr>
      <w:r>
        <w:t>NCA is the standard approach for pharmacokinetic data in drug development. EMA, FDA and PMDA use it for bioequivalence studies, and it is routine in Phase I trials, dose-finding studies and therapeutic drug monitoring research.</w:t>
      </w:r>
    </w:p>
    <w:p w14:paraId="5D390F4A" w14:textId="77777777" w:rsidR="00631871" w:rsidRDefault="0013387A">
      <w:pPr>
        <w:pStyle w:val="Kop2"/>
      </w:pPr>
      <w:bookmarkStart w:id="6" w:name="_Toc241214339"/>
      <w:r>
        <w:t>The Concentration–Time Curve</w:t>
      </w:r>
      <w:bookmarkEnd w:id="6"/>
    </w:p>
    <w:p w14:paraId="710C758D"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0606A31A" w14:textId="77777777" w:rsidR="00631871" w:rsidRDefault="0013387A">
      <w:pPr>
        <w:pStyle w:val="Kop2"/>
      </w:pPr>
      <w:bookmarkStart w:id="7" w:name="_Toc241214340"/>
      <w:r>
        <w:t>Key Pharmacokinetic Parameters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631871" w14:paraId="2EE05702" w14:textId="77777777">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7ABE01B" w14:textId="77777777" w:rsidR="00631871" w:rsidRDefault="0013387A">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7C14679" w14:textId="77777777" w:rsidR="00631871" w:rsidRDefault="0013387A">
            <w:r>
              <w:rPr>
                <w:b/>
                <w:bCs/>
                <w:color w:val="FFFFFF"/>
                <w:sz w:val="20"/>
                <w:szCs w:val="20"/>
              </w:rPr>
              <w:t>Symbol</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CB9618E" w14:textId="77777777" w:rsidR="00631871" w:rsidRDefault="0013387A">
            <w:r>
              <w:rPr>
                <w:b/>
                <w:bCs/>
                <w:color w:val="FFFFFF"/>
                <w:sz w:val="20"/>
                <w:szCs w:val="20"/>
              </w:rPr>
              <w:t>What it tells you</w:t>
            </w:r>
          </w:p>
        </w:tc>
      </w:tr>
      <w:tr w:rsidR="00631871" w14:paraId="576BF72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BA12" w14:textId="77777777" w:rsidR="00631871" w:rsidRDefault="0013387A">
            <w:r>
              <w:rPr>
                <w:sz w:val="20"/>
                <w:szCs w:val="20"/>
              </w:rPr>
              <w:t>Peak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D3648" w14:textId="77777777" w:rsidR="00631871" w:rsidRDefault="0013387A">
            <w:r>
              <w:rPr>
                <w:sz w:val="20"/>
                <w:szCs w:val="20"/>
              </w:rPr>
              <w:t>Cmax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837A8" w14:textId="77777777" w:rsidR="00631871" w:rsidRDefault="0013387A">
            <w:r>
              <w:rPr>
                <w:sz w:val="20"/>
                <w:szCs w:val="20"/>
              </w:rPr>
              <w:t>The highest concentration observed. Relevant for efficacy and safety.</w:t>
            </w:r>
          </w:p>
        </w:tc>
      </w:tr>
      <w:tr w:rsidR="00631871" w14:paraId="53CA40F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58C2D" w14:textId="77777777" w:rsidR="00631871" w:rsidRDefault="0013387A">
            <w:r>
              <w:rPr>
                <w:sz w:val="20"/>
                <w:szCs w:val="20"/>
              </w:rPr>
              <w:t>Time of peak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F8199" w14:textId="77777777" w:rsidR="00631871" w:rsidRDefault="0013387A">
            <w:r>
              <w:rPr>
                <w:sz w:val="20"/>
                <w:szCs w:val="20"/>
              </w:rPr>
              <w:t>Tmax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BAFF7" w14:textId="77777777" w:rsidR="00631871" w:rsidRDefault="0013387A">
            <w:r>
              <w:rPr>
                <w:sz w:val="20"/>
                <w:szCs w:val="20"/>
              </w:rPr>
              <w:t>When the peak occurs. Reflects the rate of absorption.</w:t>
            </w:r>
          </w:p>
        </w:tc>
      </w:tr>
      <w:tr w:rsidR="00631871" w14:paraId="162EBC9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C14D6" w14:textId="77777777" w:rsidR="00631871" w:rsidRDefault="0013387A">
            <w:r>
              <w:rPr>
                <w:sz w:val="20"/>
                <w:szCs w:val="20"/>
              </w:rPr>
              <w:t>Area under the curve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810EF" w14:textId="77777777" w:rsidR="00631871" w:rsidRDefault="0013387A">
            <w:r>
              <w:rPr>
                <w:sz w:val="20"/>
                <w:szCs w:val="20"/>
              </w:rPr>
              <w:t>AUC</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E8DB3" w14:textId="77777777" w:rsidR="00631871" w:rsidRDefault="0013387A">
            <w:r>
              <w:rPr>
                <w:sz w:val="20"/>
                <w:szCs w:val="20"/>
              </w:rPr>
              <w:t>Total drug exposure over time. The most important measure of overall exposure.</w:t>
            </w:r>
          </w:p>
        </w:tc>
      </w:tr>
      <w:tr w:rsidR="00631871" w14:paraId="51AABE9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56E95" w14:textId="77777777" w:rsidR="00631871" w:rsidRDefault="0013387A">
            <w:r>
              <w:rPr>
                <w:sz w:val="20"/>
                <w:szCs w:val="20"/>
              </w:rPr>
              <w:t>Terminal half-life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0046C" w14:textId="77777777" w:rsidR="00631871" w:rsidRDefault="0013387A">
            <w:r>
              <w:rPr>
                <w:sz w:val="20"/>
                <w:szCs w:val="20"/>
              </w:rPr>
              <w:t>t½</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68937" w14:textId="77777777" w:rsidR="00631871" w:rsidRDefault="0013387A">
            <w:r>
              <w:rPr>
                <w:sz w:val="20"/>
                <w:szCs w:val="20"/>
              </w:rPr>
              <w:t>Time for the concentration to halve during the terminal phase.</w:t>
            </w:r>
          </w:p>
        </w:tc>
      </w:tr>
      <w:tr w:rsidR="00631871" w14:paraId="4FB80A7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FCA15" w14:textId="77777777" w:rsidR="00631871" w:rsidRDefault="0013387A">
            <w:r>
              <w:rPr>
                <w:sz w:val="20"/>
                <w:szCs w:val="20"/>
              </w:rPr>
              <w:t>Apparent clearance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45D1" w14:textId="77777777" w:rsidR="00631871" w:rsidRDefault="0013387A">
            <w:r>
              <w:rPr>
                <w:sz w:val="20"/>
                <w:szCs w:val="20"/>
              </w:rPr>
              <w:t>CL/F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B59FD" w14:textId="77777777" w:rsidR="00631871" w:rsidRDefault="0013387A">
            <w:r>
              <w:rPr>
                <w:sz w:val="20"/>
                <w:szCs w:val="20"/>
              </w:rPr>
              <w:t>Volume of plasma cleared of drug per unit time, divided by the bioavailability F.</w:t>
            </w:r>
          </w:p>
        </w:tc>
      </w:tr>
      <w:tr w:rsidR="00631871" w14:paraId="4D9513F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5481F" w14:textId="77777777" w:rsidR="00631871" w:rsidRDefault="0013387A">
            <w:r>
              <w:rPr>
                <w:sz w:val="20"/>
                <w:szCs w:val="20"/>
              </w:rPr>
              <w:t>Volume of distribution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CBA82" w14:textId="77777777" w:rsidR="00631871" w:rsidRDefault="0013387A">
            <w:r>
              <w:rPr>
                <w:sz w:val="20"/>
                <w:szCs w:val="20"/>
              </w:rPr>
              <w:t>Vz/F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BE0A0" w14:textId="77777777" w:rsidR="00631871" w:rsidRDefault="0013387A">
            <w:r>
              <w:rPr>
                <w:sz w:val="20"/>
                <w:szCs w:val="20"/>
              </w:rPr>
              <w:t>Apparent volume the drug distributes into during the terminal phase.</w:t>
            </w:r>
          </w:p>
        </w:tc>
      </w:tr>
      <w:tr w:rsidR="00631871" w14:paraId="1324E1C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BF39F" w14:textId="77777777" w:rsidR="00631871" w:rsidRDefault="0013387A">
            <w:r>
              <w:rPr>
                <w:sz w:val="20"/>
                <w:szCs w:val="20"/>
              </w:rPr>
              <w:t>Mean residence 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E157F" w14:textId="77777777" w:rsidR="00631871" w:rsidRDefault="0013387A">
            <w:r>
              <w:rPr>
                <w:sz w:val="20"/>
                <w:szCs w:val="20"/>
              </w:rPr>
              <w:t>MRT</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B70D8" w14:textId="77777777" w:rsidR="00631871" w:rsidRDefault="0013387A">
            <w:r>
              <w:rPr>
                <w:sz w:val="20"/>
                <w:szCs w:val="20"/>
              </w:rPr>
              <w:t>Average time a drug molecule stays in the body.</w:t>
            </w:r>
          </w:p>
        </w:tc>
      </w:tr>
      <w:tr w:rsidR="00631871" w14:paraId="24B0065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B702E" w14:textId="77777777" w:rsidR="00631871" w:rsidRDefault="0013387A">
            <w:r>
              <w:rPr>
                <w:sz w:val="20"/>
                <w:szCs w:val="20"/>
              </w:rPr>
              <w:t>Partial AUC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834D" w14:textId="77777777" w:rsidR="00631871" w:rsidRDefault="0013387A">
            <w:r>
              <w:rPr>
                <w:sz w:val="20"/>
                <w:szCs w:val="20"/>
              </w:rPr>
              <w:t>AUC t1–t2</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2513" w14:textId="77777777" w:rsidR="00631871" w:rsidRDefault="0013387A">
            <w:r>
              <w:rPr>
                <w:sz w:val="20"/>
                <w:szCs w:val="20"/>
              </w:rPr>
              <w:t>Exposure over part of the profile, for example the first 30 minutes. It catches a difference in the shape of the curve that Cmax and total AUC can miss.</w:t>
            </w:r>
          </w:p>
        </w:tc>
      </w:tr>
    </w:tbl>
    <w:p w14:paraId="08F6DBA0" w14:textId="77777777" w:rsidR="00631871" w:rsidRDefault="0013387A">
      <w:pPr>
        <w:pStyle w:val="Kop2"/>
      </w:pPr>
      <w:bookmarkStart w:id="8" w:name="_Toc241214341"/>
      <w:r>
        <w:t>Why NCA Is Used So Widely</w:t>
      </w:r>
      <w:bookmarkEnd w:id="8"/>
    </w:p>
    <w:p w14:paraId="0154496B" w14:textId="77777777" w:rsidR="00631871" w:rsidRDefault="0013387A">
      <w:pPr>
        <w:spacing w:after="120" w:line="276" w:lineRule="auto"/>
      </w:pPr>
      <w:r>
        <w:t>NCA does not assume a compartmental structure, so the same calculations apply whether a drug follows one-compartment kinetics or multi-phasic elimination. Results depend on the observed data and the numerical method, not on model selection, which makes them reproducible across software and analysts.</w:t>
      </w:r>
    </w:p>
    <w:p w14:paraId="19913B81" w14:textId="77777777" w:rsidR="00631871" w:rsidRDefault="0013387A">
      <w:pPr>
        <w:spacing w:after="120" w:line="276" w:lineRule="auto"/>
      </w:pPr>
      <w:r>
        <w:t>Regulatory agencies accept NCA because the methods are well-defined and transparent. NCA is the required approach for bioequivalence studies, where C</w:t>
      </w:r>
      <w:r>
        <w:rPr>
          <w:vertAlign w:val="subscript"/>
        </w:rPr>
        <w:t>max</w:t>
      </w:r>
      <w:r>
        <w:t xml:space="preserve"> (rate) and AUC (extent) are the primary endpoints.</w:t>
      </w:r>
    </w:p>
    <w:p w14:paraId="73A48F17" w14:textId="77777777" w:rsidR="00631871" w:rsidRDefault="0013387A">
      <w:pPr>
        <w:pStyle w:val="Kop2"/>
      </w:pPr>
      <w:bookmarkStart w:id="9" w:name="_Toc241214342"/>
      <w:r>
        <w:lastRenderedPageBreak/>
        <w:t>When to Use NCA vs. Compartmental Modelling</w:t>
      </w:r>
      <w:bookmarkEnd w:id="9"/>
    </w:p>
    <w:p w14:paraId="0B1258C9" w14:textId="77777777" w:rsidR="00631871" w:rsidRDefault="0013387A">
      <w:pPr>
        <w:spacing w:after="120" w:line="276" w:lineRule="auto"/>
      </w:pPr>
      <w:r>
        <w:t>Use NCA when you need standard PK parameters from observed data: first-in-human studies, bioequivalence, drug interaction studies, dose proportionality, food effect studies. Use compartmental modelling when you need to simulate unobserved scenarios, when you have sparse sampling, or when you need to understand mechanisms. The two approaches are complementary.</w:t>
      </w:r>
    </w:p>
    <w:p w14:paraId="59E4D6A2" w14:textId="77777777" w:rsidR="00631871" w:rsidRDefault="0013387A">
      <w:r>
        <w:br w:type="page"/>
      </w:r>
    </w:p>
    <w:p w14:paraId="3B0AE6DC" w14:textId="77777777" w:rsidR="00631871" w:rsidRDefault="0013387A">
      <w:pPr>
        <w:pStyle w:val="Kop1"/>
      </w:pPr>
      <w:bookmarkStart w:id="10" w:name="_Toc241214343"/>
      <w:r>
        <w:lastRenderedPageBreak/>
        <w:t>Part II: Preparing Your Data</w:t>
      </w:r>
      <w:bookmarkEnd w:id="10"/>
    </w:p>
    <w:p w14:paraId="2C474FE1" w14:textId="77777777" w:rsidR="00631871" w:rsidRDefault="0013387A">
      <w:pPr>
        <w:pStyle w:val="Kop2"/>
      </w:pPr>
      <w:bookmarkStart w:id="11" w:name="_Toc241214344"/>
      <w:r>
        <w:t>General Format Rules</w:t>
      </w:r>
      <w:bookmarkEnd w:id="11"/>
    </w:p>
    <w:p w14:paraId="46D028EE" w14:textId="77777777" w:rsidR="00631871" w:rsidRDefault="0013387A">
      <w:pPr>
        <w:spacing w:after="120" w:line="276" w:lineRule="auto"/>
      </w:pPr>
      <w:r>
        <w:t xml:space="preserve">The app expects data in </w:t>
      </w:r>
      <w:r>
        <w:rPr>
          <w:b/>
          <w:bCs/>
        </w:rPr>
        <w:t>long format</w:t>
      </w:r>
      <w:r>
        <w:t>: one row per sample, with a subject identifier, the sampling time and the measured concentration. Accepted files are CSV (.csv), text (.txt, .tsv) and Excel (.xlsx, .xls). The app suggests a column mapping from the column names (Appendix B); check it before you process the data. CDISC ADNCA datasets are uploaded differently, see Scenario 9.</w:t>
      </w:r>
    </w:p>
    <w:p w14:paraId="3ABF0329" w14:textId="77777777" w:rsidR="00631871" w:rsidRDefault="0013387A">
      <w:pPr>
        <w:pStyle w:val="Kop3"/>
      </w:pPr>
      <w:r>
        <w:t>Decimal Separators and Regional Formats</w:t>
      </w:r>
    </w:p>
    <w:p w14:paraId="4CE9076C" w14:textId="77777777" w:rsidR="00631871" w:rsidRDefault="0013387A">
      <w:pPr>
        <w:spacing w:after="120" w:line="276" w:lineRule="auto"/>
      </w:pPr>
      <w:r>
        <w:t>Choose the delimiter (comma, semicolon or tab) and the decimal point (period or comma) in the upload settings. With a decimal comma, values such as 12,5 are read correctly, also in a concentration column that contains BLQ text such as “&lt;0,5”. Excel files need no settings, because Excel stores numbers as numbers. In a decimal-comma file a point can only separate thousands, so 12.500 is read as 12500. Any other point in a number is refused, and the message names the column.</w:t>
      </w:r>
    </w:p>
    <w:p w14:paraId="22CE97AC" w14:textId="77777777" w:rsidR="00631871" w:rsidRDefault="0013387A">
      <w:pPr>
        <w:spacing w:after="120" w:line="276" w:lineRule="auto"/>
      </w:pPr>
      <w:r>
        <w:t>Use one concentration unit, one time unit and one dose unit for the whole file, and select them in the app. They set the conversion factor for clearance and volume, so a wrong unit gives wrong CL/F and Vz/F while Cmax and AUC look normal. A unit column with more than one unit (even ng/mL and µg/L) is refused; convert the values first. Molar concentrations (for example nmol/L) with a mass dose (mg) need the molecular weight, which you enter in the analysis settings. When the file states its units in a unit column (such as ConcUnit or Time_Unit, or the CDISC variables AVALU and RRLTU), the app pre-selects them and refuses a selection that contradicts them.</w:t>
      </w:r>
    </w:p>
    <w:p w14:paraId="6A9D685D" w14:textId="77777777" w:rsidR="00631871" w:rsidRDefault="0013387A">
      <w:pPr>
        <w:pStyle w:val="Kop2"/>
      </w:pPr>
      <w:bookmarkStart w:id="12" w:name="_Toc241214345"/>
      <w:r>
        <w:t>Scenario 1: Single Subject</w:t>
      </w:r>
      <w:bookmarkEnd w:id="12"/>
    </w:p>
    <w:p w14:paraId="33B9B18B" w14:textId="77777777" w:rsidR="00631871" w:rsidRDefault="0013387A">
      <w:pPr>
        <w:spacing w:after="120" w:line="276" w:lineRule="auto"/>
      </w:pPr>
      <w:r>
        <w:t>To upload a file, include a Subject column; it may hold the same value on every row. Without it the upload cannot tell which rows belong together, and the app picks another column as Subject. Manual entry in One Subject at a Time needs only Time and Concentration.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2843"/>
        <w:gridCol w:w="3229"/>
      </w:tblGrid>
      <w:tr w:rsidR="00631871" w14:paraId="1014D564"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DD01B3" w14:textId="77777777" w:rsidR="00631871" w:rsidRDefault="0013387A">
            <w:r>
              <w:rPr>
                <w:b/>
                <w:bCs/>
                <w:color w:val="FFFFFF"/>
                <w:sz w:val="20"/>
                <w:szCs w:val="20"/>
              </w:rPr>
              <w:t>Subject</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A9738EC" w14:textId="77777777" w:rsidR="00631871" w:rsidRDefault="0013387A">
            <w:r>
              <w:rPr>
                <w:b/>
                <w:bCs/>
                <w:color w:val="FFFFFF"/>
                <w:sz w:val="20"/>
                <w:szCs w:val="20"/>
              </w:rPr>
              <w:t>Time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66F8A2D" w14:textId="77777777" w:rsidR="00631871" w:rsidRDefault="0013387A">
            <w:r>
              <w:rPr>
                <w:b/>
                <w:bCs/>
                <w:color w:val="FFFFFF"/>
                <w:sz w:val="20"/>
                <w:szCs w:val="20"/>
              </w:rPr>
              <w:t>Concentration</w:t>
            </w:r>
          </w:p>
        </w:tc>
      </w:tr>
      <w:tr w:rsidR="00631871" w14:paraId="5C3B02E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B062B"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52DE" w14:textId="77777777" w:rsidR="00631871" w:rsidRDefault="0013387A">
            <w:r>
              <w:rPr>
                <w:sz w:val="20"/>
                <w:szCs w:val="20"/>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01824" w14:textId="77777777" w:rsidR="00631871" w:rsidRDefault="0013387A">
            <w:r>
              <w:rPr>
                <w:sz w:val="20"/>
                <w:szCs w:val="20"/>
              </w:rPr>
              <w:t>0</w:t>
            </w:r>
          </w:p>
        </w:tc>
      </w:tr>
      <w:tr w:rsidR="00631871" w14:paraId="25370C9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B5259"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18E5" w14:textId="77777777" w:rsidR="00631871" w:rsidRDefault="0013387A">
            <w:r>
              <w:rPr>
                <w:sz w:val="20"/>
                <w:szCs w:val="20"/>
              </w:rPr>
              <w:t>0.5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EC6A2" w14:textId="77777777" w:rsidR="00631871" w:rsidRDefault="0013387A">
            <w:r>
              <w:rPr>
                <w:sz w:val="20"/>
                <w:szCs w:val="20"/>
              </w:rPr>
              <w:t>4.2</w:t>
            </w:r>
          </w:p>
        </w:tc>
      </w:tr>
      <w:tr w:rsidR="00631871" w14:paraId="3638F5D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F198"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32DE9" w14:textId="77777777" w:rsidR="00631871" w:rsidRDefault="0013387A">
            <w:r>
              <w:rPr>
                <w:sz w:val="20"/>
                <w:szCs w:val="20"/>
              </w:rPr>
              <w:t>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50762" w14:textId="77777777" w:rsidR="00631871" w:rsidRDefault="0013387A">
            <w:r>
              <w:rPr>
                <w:sz w:val="20"/>
                <w:szCs w:val="20"/>
              </w:rPr>
              <w:t>18.5</w:t>
            </w:r>
          </w:p>
        </w:tc>
      </w:tr>
      <w:tr w:rsidR="00631871" w14:paraId="2A70376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D397D"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34335" w14:textId="77777777" w:rsidR="00631871" w:rsidRDefault="0013387A">
            <w:r>
              <w:rPr>
                <w:sz w:val="20"/>
                <w:szCs w:val="20"/>
              </w:rPr>
              <w:t>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61714" w14:textId="77777777" w:rsidR="00631871" w:rsidRDefault="0013387A">
            <w:r>
              <w:rPr>
                <w:sz w:val="20"/>
                <w:szCs w:val="20"/>
              </w:rPr>
              <w:t>12.1</w:t>
            </w:r>
          </w:p>
        </w:tc>
      </w:tr>
      <w:tr w:rsidR="00631871" w14:paraId="276AB9F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A3BCB"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49843" w14:textId="77777777" w:rsidR="00631871" w:rsidRDefault="0013387A">
            <w:r>
              <w:rPr>
                <w:sz w:val="20"/>
                <w:szCs w:val="20"/>
              </w:rPr>
              <w:t>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2210D" w14:textId="77777777" w:rsidR="00631871" w:rsidRDefault="0013387A">
            <w:r>
              <w:rPr>
                <w:sz w:val="20"/>
                <w:szCs w:val="20"/>
              </w:rPr>
              <w:t>6.3</w:t>
            </w:r>
          </w:p>
        </w:tc>
      </w:tr>
      <w:tr w:rsidR="00631871" w14:paraId="5CECD08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D85E2"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615AE" w14:textId="77777777" w:rsidR="00631871" w:rsidRDefault="0013387A">
            <w:r>
              <w:rPr>
                <w:sz w:val="20"/>
                <w:szCs w:val="20"/>
              </w:rPr>
              <w:t>8</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A813D" w14:textId="77777777" w:rsidR="00631871" w:rsidRDefault="0013387A">
            <w:r>
              <w:rPr>
                <w:sz w:val="20"/>
                <w:szCs w:val="20"/>
              </w:rPr>
              <w:t>2.8</w:t>
            </w:r>
          </w:p>
        </w:tc>
      </w:tr>
      <w:tr w:rsidR="00631871" w14:paraId="09DA520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7F2C8"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9972E" w14:textId="77777777" w:rsidR="00631871" w:rsidRDefault="0013387A">
            <w:r>
              <w:rPr>
                <w:sz w:val="20"/>
                <w:szCs w:val="20"/>
              </w:rPr>
              <w:t>24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9A636" w14:textId="77777777" w:rsidR="00631871" w:rsidRDefault="0013387A">
            <w:r>
              <w:rPr>
                <w:sz w:val="20"/>
                <w:szCs w:val="20"/>
              </w:rPr>
              <w:t>0.4</w:t>
            </w:r>
          </w:p>
        </w:tc>
      </w:tr>
    </w:tbl>
    <w:p w14:paraId="178A1D1B" w14:textId="77777777" w:rsidR="00631871" w:rsidRDefault="0013387A">
      <w:pPr>
        <w:pStyle w:val="Kop2"/>
      </w:pPr>
      <w:bookmarkStart w:id="13" w:name="_Toc241214346"/>
      <w:r>
        <w:t>Scenario 2: Multiple Subjects, Same Dose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31871" w14:paraId="3C99711E" w14:textId="77777777">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88B55A0" w14:textId="77777777" w:rsidR="00631871" w:rsidRDefault="0013387A">
            <w:r>
              <w:rPr>
                <w:b/>
                <w:bCs/>
                <w:color w:val="FFFFFF"/>
                <w:sz w:val="20"/>
                <w:szCs w:val="20"/>
              </w:rPr>
              <w:t>Subject</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460932D" w14:textId="77777777" w:rsidR="00631871" w:rsidRDefault="0013387A">
            <w:r>
              <w:rPr>
                <w:b/>
                <w:bCs/>
                <w:color w:val="FFFFFF"/>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FAD3BB" w14:textId="77777777" w:rsidR="00631871" w:rsidRDefault="0013387A">
            <w:r>
              <w:rPr>
                <w:b/>
                <w:bCs/>
                <w:color w:val="FFFFFF"/>
                <w:sz w:val="20"/>
                <w:szCs w:val="20"/>
              </w:rPr>
              <w:t>Concentration</w:t>
            </w:r>
          </w:p>
        </w:tc>
      </w:tr>
      <w:tr w:rsidR="00631871" w14:paraId="2F11DEB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570FA"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C01EF"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302DF" w14:textId="77777777" w:rsidR="00631871" w:rsidRDefault="0013387A">
            <w:r>
              <w:rPr>
                <w:sz w:val="20"/>
                <w:szCs w:val="20"/>
              </w:rPr>
              <w:t>0</w:t>
            </w:r>
          </w:p>
        </w:tc>
      </w:tr>
      <w:tr w:rsidR="00631871" w14:paraId="68462B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99A59"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324F2"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D1EE0" w14:textId="77777777" w:rsidR="00631871" w:rsidRDefault="0013387A">
            <w:r>
              <w:rPr>
                <w:sz w:val="20"/>
                <w:szCs w:val="20"/>
              </w:rPr>
              <w:t>22.5</w:t>
            </w:r>
          </w:p>
        </w:tc>
      </w:tr>
      <w:tr w:rsidR="00631871" w14:paraId="6380E44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ADDF6" w14:textId="77777777" w:rsidR="00631871" w:rsidRDefault="0013387A">
            <w:r>
              <w:rPr>
                <w:sz w:val="20"/>
                <w:szCs w:val="20"/>
              </w:rPr>
              <w:lastRenderedPageBreak/>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20946"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A9347" w14:textId="77777777" w:rsidR="00631871" w:rsidRDefault="0013387A">
            <w:r>
              <w:rPr>
                <w:sz w:val="20"/>
                <w:szCs w:val="20"/>
              </w:rPr>
              <w:t>0.4</w:t>
            </w:r>
          </w:p>
        </w:tc>
      </w:tr>
      <w:tr w:rsidR="00631871" w14:paraId="2CA7F0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18D2B"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1989E"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8B1BF" w14:textId="77777777" w:rsidR="00631871" w:rsidRDefault="0013387A">
            <w:r>
              <w:rPr>
                <w:sz w:val="20"/>
                <w:szCs w:val="20"/>
              </w:rPr>
              <w:t>0</w:t>
            </w:r>
          </w:p>
        </w:tc>
      </w:tr>
      <w:tr w:rsidR="00631871" w14:paraId="6384C15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34873"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F3B4C"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28C15" w14:textId="77777777" w:rsidR="00631871" w:rsidRDefault="0013387A">
            <w:r>
              <w:rPr>
                <w:sz w:val="20"/>
                <w:szCs w:val="20"/>
              </w:rPr>
              <w:t>28.1</w:t>
            </w:r>
          </w:p>
        </w:tc>
      </w:tr>
      <w:tr w:rsidR="00631871" w14:paraId="35D327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966"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61A40"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9EE2E" w14:textId="77777777" w:rsidR="00631871" w:rsidRDefault="0013387A">
            <w:r>
              <w:rPr>
                <w:sz w:val="20"/>
                <w:szCs w:val="20"/>
              </w:rPr>
              <w:t>0.6</w:t>
            </w:r>
          </w:p>
        </w:tc>
      </w:tr>
    </w:tbl>
    <w:p w14:paraId="00AE0CC1" w14:textId="77777777" w:rsidR="00631871" w:rsidRDefault="0013387A">
      <w:pPr>
        <w:pStyle w:val="Kop2"/>
      </w:pPr>
      <w:bookmarkStart w:id="14" w:name="_Toc241214347"/>
      <w:r>
        <w:t>Scenario 3: Multiple Subjects, Different Doses</w:t>
      </w:r>
      <w:bookmarkEnd w:id="14"/>
    </w:p>
    <w:p w14:paraId="302C010F" w14:textId="77777777" w:rsidR="00631871" w:rsidRDefault="0013387A">
      <w:pPr>
        <w:spacing w:after="120" w:line="276" w:lineRule="auto"/>
      </w:pPr>
      <w:r>
        <w:t>Add a Dose column if subjects received different doses (dose escalation, weight-based dosing), or if a subject received different doses in different periods. The app takes the dose of each profile (subject, treatment and period) from this column, so every period is analysed with its own dose.</w:t>
      </w:r>
    </w:p>
    <w:p w14:paraId="23317817" w14:textId="77777777" w:rsidR="00631871" w:rsidRDefault="0013387A">
      <w:pPr>
        <w:pStyle w:val="Kop2"/>
      </w:pPr>
      <w:bookmarkStart w:id="15" w:name="_Toc241214348"/>
      <w:r>
        <w:t>Scenario 4: Standard 2-Period Crossover (BE)</w:t>
      </w:r>
      <w:bookmarkEnd w:id="15"/>
    </w:p>
    <w:p w14:paraId="3BD8CEF4" w14:textId="77777777" w:rsidR="00631871" w:rsidRDefault="0013387A">
      <w:pPr>
        <w:spacing w:after="120" w:line="276" w:lineRule="auto"/>
      </w:pPr>
      <w:r>
        <w:t>Six columns: Subject, Treatment, Period, Sequence, Time, Concentration. Time restarts at 0 in each period: it is the time since the dose of that period, not since the first dose of the study (the app refuses profiles that do not start near time zero). The ratio is Test ÷ Reference. In Bioequivalence you choose which treatment is the Reference; the app pre-selects it only when the name is unambiguous (R, Ref, Reference, Comparator, Innovator, Originator or RLD). Map the Period column. Without it a crossover is still analysed but gets no verdict, because the period effect cannot be separated from the treatment effect. Columns named APERIOD, Occasion or OCC are recognised as Period. A Visit column is not, so map it yourself if it holds the period. Subject IDs must be unique in the whole study: if each sequence numbers its subjects from 1, different people would be merged into one subject, so the app refuses the file.</w:t>
      </w:r>
    </w:p>
    <w:p w14:paraId="0FF13465" w14:textId="77777777" w:rsidR="00631871" w:rsidRDefault="0013387A">
      <w:pPr>
        <w:spacing w:after="120" w:line="276" w:lineRule="auto"/>
      </w:pPr>
      <w:r>
        <w:t>If the protocol asks for a partial AUC, take a sample at every cutoff time. A cutoff between two samples is interpolated, so its value then depends on the trapezoidal method. The interval itself comes from the protocol or the product-specific guidance, never from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126"/>
        <w:gridCol w:w="1800"/>
        <w:gridCol w:w="2400"/>
      </w:tblGrid>
      <w:tr w:rsidR="00631871" w14:paraId="10805536"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883881" w14:textId="77777777" w:rsidR="00631871" w:rsidRDefault="0013387A">
            <w:r>
              <w:rPr>
                <w:b/>
                <w:bCs/>
                <w:color w:val="FFFFFF"/>
                <w:sz w:val="20"/>
                <w:szCs w:val="20"/>
              </w:rPr>
              <w:t>Subject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FEC5E2B" w14:textId="77777777" w:rsidR="00631871" w:rsidRDefault="0013387A">
            <w:r>
              <w:rPr>
                <w:b/>
                <w:bCs/>
                <w:color w:val="FFFFFF"/>
                <w:sz w:val="20"/>
                <w:szCs w:val="20"/>
              </w:rPr>
              <w:t>Treatment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9E55F06" w14:textId="77777777" w:rsidR="00631871" w:rsidRDefault="0013387A">
            <w:r>
              <w:rPr>
                <w:b/>
                <w:bCs/>
                <w:color w:val="FFFFFF"/>
                <w:sz w:val="20"/>
                <w:szCs w:val="20"/>
              </w:rPr>
              <w:t>Period</w:t>
            </w:r>
          </w:p>
        </w:tc>
        <w:tc>
          <w:tcPr>
            <w:tcW w:w="11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F7B6D5A" w14:textId="77777777" w:rsidR="00631871" w:rsidRDefault="0013387A">
            <w:r>
              <w:rPr>
                <w:b/>
                <w:bCs/>
                <w:color w:val="FFFFFF"/>
                <w:sz w:val="20"/>
                <w:szCs w:val="20"/>
              </w:rPr>
              <w:t>Seq</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D1EFF6B" w14:textId="77777777" w:rsidR="00631871" w:rsidRDefault="0013387A">
            <w:r>
              <w:rPr>
                <w:b/>
                <w:bCs/>
                <w:color w:val="FFFFFF"/>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9399119" w14:textId="77777777" w:rsidR="00631871" w:rsidRDefault="0013387A">
            <w:r>
              <w:rPr>
                <w:b/>
                <w:bCs/>
                <w:color w:val="FFFFFF"/>
                <w:sz w:val="20"/>
                <w:szCs w:val="20"/>
              </w:rPr>
              <w:t>Conc</w:t>
            </w:r>
          </w:p>
        </w:tc>
      </w:tr>
      <w:tr w:rsidR="00631871" w14:paraId="5C878A2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1A607"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B10DE"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293"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AF7A5"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B5166"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EBBCC" w14:textId="77777777" w:rsidR="00631871" w:rsidRDefault="0013387A">
            <w:r>
              <w:rPr>
                <w:sz w:val="20"/>
                <w:szCs w:val="20"/>
              </w:rPr>
              <w:t>0</w:t>
            </w:r>
          </w:p>
        </w:tc>
      </w:tr>
      <w:tr w:rsidR="00631871" w14:paraId="4E43EE0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BDC8C"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8D3A7"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CA3FB"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BA6C2"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91A66"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67E31" w14:textId="77777777" w:rsidR="00631871" w:rsidRDefault="0013387A">
            <w:r>
              <w:rPr>
                <w:sz w:val="20"/>
                <w:szCs w:val="20"/>
              </w:rPr>
              <w:t>24.5</w:t>
            </w:r>
          </w:p>
        </w:tc>
      </w:tr>
      <w:tr w:rsidR="00631871" w14:paraId="4D18A3C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030CE"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D1EA2"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D17DA"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8C85C"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B33CE"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F637D" w14:textId="77777777" w:rsidR="00631871" w:rsidRDefault="0013387A">
            <w:r>
              <w:rPr>
                <w:sz w:val="20"/>
                <w:szCs w:val="20"/>
              </w:rPr>
              <w:t>0</w:t>
            </w:r>
          </w:p>
        </w:tc>
      </w:tr>
      <w:tr w:rsidR="00631871" w14:paraId="3175888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FDC50"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3CCCB"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45885"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4B8D0"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2DCE1"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06AFE" w14:textId="77777777" w:rsidR="00631871" w:rsidRDefault="0013387A">
            <w:r>
              <w:rPr>
                <w:sz w:val="20"/>
                <w:szCs w:val="20"/>
              </w:rPr>
              <w:t>22.8</w:t>
            </w:r>
          </w:p>
        </w:tc>
      </w:tr>
    </w:tbl>
    <w:p w14:paraId="0502D532" w14:textId="77777777" w:rsidR="00631871" w:rsidRDefault="0013387A">
      <w:pPr>
        <w:pStyle w:val="Kop2"/>
      </w:pPr>
      <w:bookmarkStart w:id="16" w:name="_Toc241214349"/>
      <w:r>
        <w:t>Scenario 5: Replicate Designs and Paired Comparison</w:t>
      </w:r>
      <w:bookmarkEnd w:id="16"/>
    </w:p>
    <w:p w14:paraId="58B99D34" w14:textId="77777777" w:rsidR="00631871" w:rsidRDefault="0013387A">
      <w:pPr>
        <w:spacing w:after="120" w:line="276" w:lineRule="auto"/>
      </w:pPr>
      <w:r>
        <w:t>Same six-column format. Replicate designs: 2×2×3 full replicate (sequences TRT and RTR), 2×3×3 partial replicate (TRR, RTR, RRT) and 2×2×4 full replicate (TRTR, RTRT). Period goes to 3 or 4 and a treatment appears more than once per subject; each administration is analysed as its own profile. Paired comparison: all subjects received the treatments in the same order, so Sequence has one value (or can be left out).</w:t>
      </w:r>
    </w:p>
    <w:p w14:paraId="63D0BD03" w14:textId="77777777" w:rsidR="00631871" w:rsidRDefault="0013387A">
      <w:pPr>
        <w:pStyle w:val="Kop2"/>
      </w:pPr>
      <w:bookmarkStart w:id="17" w:name="_Toc241214350"/>
      <w:r>
        <w:t>Scenario 6: Parallel-Group BE</w:t>
      </w:r>
      <w:bookmarkEnd w:id="17"/>
    </w:p>
    <w:p w14:paraId="59F01639" w14:textId="77777777" w:rsidR="00631871" w:rsidRDefault="0013387A">
      <w:pPr>
        <w:spacing w:after="120" w:line="276" w:lineRule="auto"/>
      </w:pPr>
      <w:r>
        <w:t>Four columns: Subject, Treatment, Time, Concentration. No Period or Sequence needed.</w:t>
      </w:r>
    </w:p>
    <w:p w14:paraId="6A916564" w14:textId="77777777" w:rsidR="00631871" w:rsidRDefault="0013387A">
      <w:pPr>
        <w:pStyle w:val="Kop2"/>
      </w:pPr>
      <w:bookmarkStart w:id="18" w:name="_Toc241214351"/>
      <w:r>
        <w:t>Scenario 7: Steady-State PK</w:t>
      </w:r>
      <w:bookmarkEnd w:id="18"/>
    </w:p>
    <w:p w14:paraId="66EBA19D" w14:textId="77777777" w:rsidR="00631871" w:rsidRDefault="0013387A">
      <w:pPr>
        <w:spacing w:after="120" w:line="276" w:lineRule="auto"/>
      </w:pPr>
      <w:r>
        <w:lastRenderedPageBreak/>
        <w:t>Same layout as Scenario 2, with one dosing interval per subject. Time 0 is just before the dose of that interval, and the pre-dose concentration is above zero. Include the pre-dose sample and sample up to the end of the dosing interval (τ). Tick “Steady-state (drug given repeatedly)” and enter τ in the app. If a profile has no pre-dose sample at time 0, the app assumes 0 there and says so, because AUCτ is then too low. The trough at steady state can be compared in Bioequivalence.</w:t>
      </w:r>
    </w:p>
    <w:p w14:paraId="3373BDEA" w14:textId="77777777" w:rsidR="00631871" w:rsidRDefault="0013387A">
      <w:pPr>
        <w:spacing w:after="120" w:line="276" w:lineRule="auto"/>
      </w:pPr>
      <w:r>
        <w:t>A partial AUC at steady state has to lie within 0 and τ. AUCτ is completed to τ with λz when the last sample comes earlier; a partial AUC you enter yourself is not, so it stays empty for such a profile.</w:t>
      </w:r>
    </w:p>
    <w:p w14:paraId="78A400A3" w14:textId="77777777" w:rsidR="00631871" w:rsidRDefault="0013387A">
      <w:pPr>
        <w:pStyle w:val="Kop2"/>
      </w:pPr>
      <w:bookmarkStart w:id="19" w:name="_Toc241214352"/>
      <w:r>
        <w:t>Scenario 8: Drug–Drug Interaction Study</w:t>
      </w:r>
      <w:bookmarkEnd w:id="19"/>
    </w:p>
    <w:p w14:paraId="46B9700A" w14:textId="77777777" w:rsidR="00631871" w:rsidRDefault="0013387A">
      <w:pPr>
        <w:spacing w:after="120" w:line="276" w:lineRule="auto"/>
      </w:pPr>
      <w:r>
        <w:t>A drug interaction (DDI) study measures the effect of a co-administered drug (the perpetrator) on the pharmacokinetics of the victim drug. Most are crossovers in which each subject receives the victim drug alone and with the perpetrator, or fixed-order studies in which the victim is given alone first and with the perpetrator after a washout.</w:t>
      </w:r>
    </w:p>
    <w:p w14:paraId="530C0F04" w14:textId="77777777" w:rsidR="00631871" w:rsidRDefault="0013387A">
      <w:pPr>
        <w:spacing w:after="120" w:line="276" w:lineRule="auto"/>
      </w:pPr>
      <w:r>
        <w:t>Use the same six columns as a crossover BE study (Scenario 4). Label the victim drug alone as “Reference” and the victim drug with the perpetrator as “Test”, or choose the Reference treatment in the app. The ratio is then (with perpetrator) ÷ (alone), the fold-change in exposure. Part III explains how to interpret the result.</w:t>
      </w:r>
    </w:p>
    <w:p w14:paraId="10A8EF10" w14:textId="77777777" w:rsidR="00631871" w:rsidRDefault="0013387A">
      <w:pPr>
        <w:pStyle w:val="Kop2"/>
      </w:pPr>
      <w:bookmarkStart w:id="20" w:name="_Toc241214353"/>
      <w:r>
        <w:t>Scenario 9: CDISC ADNCA Dataset</w:t>
      </w:r>
      <w:bookmarkEnd w:id="20"/>
    </w:p>
    <w:p w14:paraId="3BE7EDCA" w14:textId="77777777" w:rsidR="00631871" w:rsidRDefault="0013387A">
      <w:pPr>
        <w:spacing w:after="120" w:line="276" w:lineRule="auto"/>
      </w:pPr>
      <w:r>
        <w:t>If your data come as a CDISC ADNCA dataset (columns such as USUBJID, AVAL, PARAMCD, NRRLT, ARRLT and ANL01FL), do not convert them by hand. On the Upload page, set “What kind of file?” to “CDISC ADNCA dataset” and upload the .csv or .xlsx file. The app shows a summary and asks which time to use (NRRLT nominal, ARRLT or MRRLT actual; AFRLT, time since the first dose, is refused) and, if there are several, which analyte. It applies ANL01FL, drops records with PCSTAT “NOT DONE”, and refuses datasets it cannot convert safely, such as derived records (DTYPE), several units, or AVAL missing without a BLQ result. The choices are stored in the Analysis Record. SAS transport (.xpt) files are not read: converters/ADNCA_TO_FLAT.md in the repository gives a two-line R recipe to convert them to CSV. The same conversion is available outside the app as converters/adnca_to_flat.R.</w:t>
      </w:r>
    </w:p>
    <w:p w14:paraId="4B9A21F8" w14:textId="77777777" w:rsidR="00631871" w:rsidRDefault="0013387A">
      <w:pPr>
        <w:pStyle w:val="Kop2"/>
      </w:pPr>
      <w:bookmarkStart w:id="21" w:name="_Toc241214354"/>
      <w:r>
        <w:t>BLQ Handling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31871" w14:paraId="7B8ED07D"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315FAC9" w14:textId="77777777" w:rsidR="00631871" w:rsidRDefault="0013387A">
            <w:r>
              <w:rPr>
                <w:b/>
                <w:bCs/>
                <w:color w:val="FFFFFF"/>
                <w:sz w:val="20"/>
                <w:szCs w:val="20"/>
              </w:rPr>
              <w:t>Rule</w:t>
            </w:r>
          </w:p>
        </w:tc>
        <w:tc>
          <w:tcPr>
            <w:tcW w:w="7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D42ED1A" w14:textId="77777777" w:rsidR="00631871" w:rsidRDefault="0013387A">
            <w:r>
              <w:rPr>
                <w:b/>
                <w:bCs/>
                <w:color w:val="FFFFFF"/>
                <w:sz w:val="20"/>
                <w:szCs w:val="20"/>
              </w:rPr>
              <w:t>Description</w:t>
            </w:r>
          </w:p>
        </w:tc>
      </w:tr>
      <w:tr w:rsidR="00631871" w14:paraId="321AE7F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147A4" w14:textId="77777777" w:rsidR="00631871" w:rsidRDefault="0013387A">
            <w:r>
              <w:rPr>
                <w:sz w:val="20"/>
                <w:szCs w:val="20"/>
              </w:rPr>
              <w:t>Rule 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63E90" w14:textId="77777777" w:rsidR="00631871" w:rsidRDefault="0013387A">
            <w:r>
              <w:rPr>
                <w:sz w:val="20"/>
                <w:szCs w:val="20"/>
              </w:rPr>
              <w:t>Pre-first-quantifiable = 0, post-last-quantifiable = missing, between = 0 (default)</w:t>
            </w:r>
          </w:p>
        </w:tc>
      </w:tr>
      <w:tr w:rsidR="00631871" w14:paraId="5600674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0C2EB" w14:textId="77777777" w:rsidR="00631871" w:rsidRDefault="0013387A">
            <w:r>
              <w:rPr>
                <w:sz w:val="20"/>
                <w:szCs w:val="20"/>
              </w:rPr>
              <w:t>Rule 2</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29E51" w14:textId="77777777" w:rsidR="00631871" w:rsidRDefault="0013387A">
            <w:r>
              <w:rPr>
                <w:sz w:val="20"/>
                <w:szCs w:val="20"/>
              </w:rPr>
              <w:t>All BLQ = 0</w:t>
            </w:r>
          </w:p>
        </w:tc>
      </w:tr>
      <w:tr w:rsidR="00631871" w14:paraId="04E136E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3264" w14:textId="77777777" w:rsidR="00631871" w:rsidRDefault="0013387A">
            <w:r>
              <w:rPr>
                <w:sz w:val="20"/>
                <w:szCs w:val="20"/>
              </w:rPr>
              <w:t>Rule 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2075C" w14:textId="77777777" w:rsidR="00631871" w:rsidRDefault="0013387A">
            <w:r>
              <w:rPr>
                <w:sz w:val="20"/>
                <w:szCs w:val="20"/>
              </w:rPr>
              <w:t>All BLQ = excluded</w:t>
            </w:r>
          </w:p>
        </w:tc>
      </w:tr>
      <w:tr w:rsidR="00631871" w14:paraId="1B38823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2323" w14:textId="77777777" w:rsidR="00631871" w:rsidRDefault="0013387A">
            <w:r>
              <w:rPr>
                <w:sz w:val="20"/>
                <w:szCs w:val="20"/>
              </w:rPr>
              <w:t>Rule 4</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7E7E8" w14:textId="77777777" w:rsidR="00631871" w:rsidRDefault="0013387A">
            <w:r>
              <w:rPr>
                <w:sz w:val="20"/>
                <w:szCs w:val="20"/>
              </w:rPr>
              <w:t>Before and between measurable values = LLOQ/2, after the last measurable value = missing, pre-dose = 0</w:t>
            </w:r>
          </w:p>
        </w:tc>
      </w:tr>
      <w:tr w:rsidR="00631871" w14:paraId="52884E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8C7D4" w14:textId="77777777" w:rsidR="00631871" w:rsidRDefault="0013387A">
            <w:r>
              <w:rPr>
                <w:sz w:val="20"/>
                <w:szCs w:val="20"/>
              </w:rPr>
              <w:t>Rule 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0B46" w14:textId="77777777" w:rsidR="00631871" w:rsidRDefault="0013387A">
            <w:r>
              <w:rPr>
                <w:sz w:val="20"/>
                <w:szCs w:val="20"/>
              </w:rPr>
              <w:t>Before Cmax = 0, after Cmax = missing</w:t>
            </w:r>
          </w:p>
        </w:tc>
      </w:tr>
      <w:tr w:rsidR="00631871" w14:paraId="79678E0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540F" w14:textId="77777777" w:rsidR="00631871" w:rsidRDefault="0013387A">
            <w:r>
              <w:rPr>
                <w:sz w:val="20"/>
                <w:szCs w:val="20"/>
              </w:rPr>
              <w:t>Rule 6</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79F50" w14:textId="77777777" w:rsidR="00631871" w:rsidRDefault="0013387A">
            <w:r>
              <w:rPr>
                <w:sz w:val="20"/>
                <w:szCs w:val="20"/>
              </w:rPr>
              <w:t>After dosing and before the first quantifiable value = LLOQ/2, pre-dose and all later BLQ = 0 (for drugs with absorption lag)</w:t>
            </w:r>
          </w:p>
        </w:tc>
      </w:tr>
    </w:tbl>
    <w:p w14:paraId="14C1D907" w14:textId="77777777" w:rsidR="00631871" w:rsidRDefault="0013387A">
      <w:pPr>
        <w:spacing w:after="80" w:line="276" w:lineRule="auto"/>
      </w:pPr>
      <w:r>
        <w:rPr>
          <w:color w:val="555555"/>
          <w:sz w:val="20"/>
          <w:szCs w:val="20"/>
        </w:rPr>
        <w:lastRenderedPageBreak/>
        <w:t>Every assay has a lower limit of quantification (LLOQ): the lowest concentration it can measure reliably. Samples below it are reported as BLQ (below the limit of quantification). The app recognises “&lt;0.5” (also “&lt;0,5”), BLQ, BQL, BLOQ, ND (not detected) and NQ (not quantifiable), in any capitals. Set the LLOQ above 0 so the chosen rule is applied to these entries; each rule works per profile, in time order. NS (no sample), N/A and “missing” are treated as missing values, not as BLQ. When the app finds “&lt;X” entries, it offers an “Apply LLOQ = X and process” button. Values set by a rule are never used to estimate the half-life (ICH M13A). The guideline also sets BLQ values to zero in bioequivalence analyses, as Rules 1 and 2 do; with Rules 3 to 6 the Bioequivalence page reminds you that the protocol has to justify the rule.</w:t>
      </w:r>
    </w:p>
    <w:p w14:paraId="76D5478D" w14:textId="77777777" w:rsidR="00631871" w:rsidRDefault="0013387A">
      <w:pPr>
        <w:spacing w:after="120" w:line="276" w:lineRule="auto"/>
      </w:pPr>
      <w:r>
        <w:t>In the processed data the app adds a BLQ_flag column marking every value the rule set. It appears in the data preview, and the partial AUC notes and the bioequivalence table use it to report how much of a result rests on such values. A column of that name in your file is replaced.</w:t>
      </w:r>
    </w:p>
    <w:p w14:paraId="7A498ED3" w14:textId="77777777" w:rsidR="00631871" w:rsidRDefault="0013387A">
      <w:pPr>
        <w:spacing w:after="120" w:line="276" w:lineRule="auto"/>
      </w:pPr>
      <w:r>
        <w:t>The rule matters most for partial AUCs. An early window often holds BLQ samples, which Rule 1 sets to 0 and Rule 6 to LLOQ/2, and a late window over a plateau near the LLOQ can rest mainly on values the rule produced. The app says so when more than half of the samples in a window come from the BLQ rule, or when fewer than three measurable concentrations are left in it.</w:t>
      </w:r>
    </w:p>
    <w:p w14:paraId="6BAF9385" w14:textId="77777777" w:rsidR="00631871" w:rsidRDefault="0013387A">
      <w:pPr>
        <w:pStyle w:val="Kop2"/>
      </w:pPr>
      <w:bookmarkStart w:id="22" w:name="_Toc241214355"/>
      <w:r>
        <w:t>Common Mistakes</w:t>
      </w:r>
      <w:bookmarkEnd w:id="22"/>
    </w:p>
    <w:p w14:paraId="49BB3513" w14:textId="77777777" w:rsidR="00631871" w:rsidRDefault="0013387A">
      <w:pPr>
        <w:spacing w:after="120" w:line="276" w:lineRule="auto"/>
      </w:pPr>
      <w:r>
        <w:rPr>
          <w:b/>
          <w:bCs/>
        </w:rPr>
        <w:t>Wide format</w:t>
      </w:r>
      <w:r>
        <w:rPr>
          <w:bCs/>
        </w:rPr>
        <w:t xml:space="preserve">: subjects as columns instead of rows. </w:t>
      </w:r>
      <w:r>
        <w:rPr>
          <w:b/>
          <w:bCs/>
        </w:rPr>
        <w:t>Time not reset</w:t>
      </w:r>
      <w:r>
        <w:rPr>
          <w:bCs/>
        </w:rPr>
        <w:t xml:space="preserve">: in a crossover, time restarts at 0 in every period. </w:t>
      </w:r>
      <w:r>
        <w:rPr>
          <w:b/>
          <w:bCs/>
        </w:rPr>
        <w:t>0 for a missing sample</w:t>
      </w:r>
      <w:r>
        <w:rPr>
          <w:bCs/>
        </w:rPr>
        <w:t xml:space="preserve">: leave the cell empty, or write NS. </w:t>
      </w:r>
      <w:r>
        <w:rPr>
          <w:b/>
          <w:bCs/>
        </w:rPr>
        <w:t>Duplicate time points</w:t>
      </w:r>
      <w:r>
        <w:rPr>
          <w:bCs/>
        </w:rPr>
        <w:t xml:space="preserve">: usually several analytes, matrices or periods in one column; filter the file, or map the Treatment and Period columns. </w:t>
      </w:r>
      <w:r>
        <w:rPr>
          <w:b/>
          <w:bCs/>
        </w:rPr>
        <w:t>LLOQ left at 0</w:t>
      </w:r>
      <w:r>
        <w:rPr>
          <w:bCs/>
        </w:rPr>
        <w:t xml:space="preserve">: processing is blocked when BLQ text is present. </w:t>
      </w:r>
      <w:r>
        <w:rPr>
          <w:b/>
          <w:bCs/>
        </w:rPr>
        <w:t>Dates or clock times as time</w:t>
      </w:r>
      <w:r>
        <w:rPr>
          <w:bCs/>
        </w:rPr>
        <w:t xml:space="preserve">: the Time column must be elapsed time since the dose. </w:t>
      </w:r>
      <w:r>
        <w:rPr>
          <w:b/>
          <w:bCs/>
        </w:rPr>
        <w:t>Mixed or wrong units</w:t>
      </w:r>
      <w:r>
        <w:rPr>
          <w:bCs/>
        </w:rPr>
        <w:t>: select the units that match the file; they drive the clearance and volume conversion. Subject IDs that restart in each sequence: give every subject its own ID.</w:t>
      </w:r>
    </w:p>
    <w:p w14:paraId="72F9262A" w14:textId="77777777" w:rsidR="00631871" w:rsidRDefault="0013387A">
      <w:pPr>
        <w:spacing w:after="120" w:line="276" w:lineRule="auto"/>
      </w:pPr>
      <w:r>
        <w:t>A cutoff with no sample near it: the protocol asks for AUC 0–30 min, but the samples are at 15 and 60 min. The app interpolates the concentration at 30 min, so the value depends on the trapezoidal method.</w:t>
      </w:r>
    </w:p>
    <w:p w14:paraId="0B6F4F42" w14:textId="77777777" w:rsidR="00631871" w:rsidRDefault="0013387A">
      <w:pPr>
        <w:spacing w:after="120" w:line="276" w:lineRule="auto"/>
      </w:pPr>
      <w:r>
        <w:t>Excluding a subject by editing the file. The app has no control to exclude a subject or period, so an exclusion means editing the file, and the Analysis Record then holds only the edited file. Archive the unedited source file with the reason for each exclusion, as ICH M13A asks.</w:t>
      </w:r>
    </w:p>
    <w:p w14:paraId="2DEFF8FD" w14:textId="77777777" w:rsidR="00631871" w:rsidRDefault="0013387A">
      <w:r>
        <w:br w:type="page"/>
      </w:r>
    </w:p>
    <w:p w14:paraId="6A2FC8A4" w14:textId="77777777" w:rsidR="00631871" w:rsidRDefault="0013387A">
      <w:pPr>
        <w:pStyle w:val="Kop1"/>
      </w:pPr>
      <w:bookmarkStart w:id="23" w:name="_Toc241214356"/>
      <w:r>
        <w:lastRenderedPageBreak/>
        <w:t>Part III: Using the App</w:t>
      </w:r>
      <w:bookmarkEnd w:id="23"/>
    </w:p>
    <w:p w14:paraId="46312766" w14:textId="77777777" w:rsidR="00631871" w:rsidRDefault="0013387A">
      <w:pPr>
        <w:pStyle w:val="Kop2"/>
      </w:pPr>
      <w:bookmarkStart w:id="24" w:name="_Toc241214357"/>
      <w:r>
        <w:t>The Hub Screen</w:t>
      </w:r>
      <w:bookmarkEnd w:id="24"/>
    </w:p>
    <w:p w14:paraId="66C15C81" w14:textId="77777777" w:rsidR="00631871" w:rsidRDefault="0013387A">
      <w:pPr>
        <w:spacing w:after="120" w:line="276" w:lineRule="auto"/>
      </w:pPr>
      <w:r>
        <w:t>Six cards for the six workflow paths, in two rows of three: Plan a Study, Upload &amp; Check Data and Visualize Data on top; One Subject at a Time, All Subjects (Batch) and Bioequivalence below. The top navigation bar links to Statistical Methods, the Data Guide, About (with the version history) and this User Manual.</w:t>
      </w:r>
    </w:p>
    <w:p w14:paraId="2306A2A6" w14:textId="77777777" w:rsidR="00631871" w:rsidRDefault="0013387A">
      <w:pPr>
        <w:pStyle w:val="Kop2"/>
      </w:pPr>
      <w:bookmarkStart w:id="25" w:name="_Toc241214358"/>
      <w:r>
        <w:t>Path 1: Plan a Study</w:t>
      </w:r>
      <w:bookmarkEnd w:id="25"/>
    </w:p>
    <w:p w14:paraId="509A6F5A" w14:textId="77777777" w:rsidR="00631871" w:rsidRDefault="0013387A">
      <w:pPr>
        <w:spacing w:after="120" w:line="276" w:lineRule="auto"/>
      </w:pPr>
      <w:r>
        <w:t>Calculates the sample size, or the power for a given number of subjects, with the PowerTOST package. Choose the method: standard average bioequivalence (ABE), highly variable drugs (EMA ABEL or FDA RSABE), or narrow therapeutic index drugs (FDA NTID). The designs are those of Bioequivalence except the paired comparison: 2×2, 2×2×3, 2×3×3, 2×2×4 and parallel groups for ABE; the replicate designs for ABEL and RSABE; only 2×2×4 for NTID.</w:t>
      </w:r>
    </w:p>
    <w:p w14:paraId="4FAEC09D" w14:textId="77777777" w:rsidR="00631871" w:rsidRDefault="0013387A">
      <w:pPr>
        <w:spacing w:after="120" w:line="276" w:lineRule="auto"/>
      </w:pPr>
      <w:r>
        <w:t>Enter the expected Test/Reference ratio (the default follows the method, as in PowerTOST: 95% for standard bioequivalence, 90% for highly variable drugs, 97.5% for narrow therapeutic index drugs), the CV and, for sample size, the target power. For a parallel design the CV is the total CV (between plus within subjects); for crossover designs it is the within-subject CV. For the scaled methods enter two CVs, of the Test and of the Reference product; both change the sample size. The significance level (0.05) and, for ABE, the acceptance limits can be changed under the advanced settings. After a log-transformed bioequivalence analysis of your own data, a button offers its CV for Cmax: the within-subject CV of a crossover for a crossover design, the total CV of a parallel analysis for a parallel design, and CVwT and CVwR of a replicate analysis for the scaled methods. A result is cleared when you change an input after calculating. The spread of Cmax between subjects in batch results is not a within-subject CV, so the app does not offer it. The results show a power curve and a plot of sample size against CV.</w:t>
      </w:r>
    </w:p>
    <w:p w14:paraId="5B3A20A7" w14:textId="77777777" w:rsidR="00631871" w:rsidRDefault="0013387A">
      <w:pPr>
        <w:spacing w:after="120" w:line="276" w:lineRule="auto"/>
      </w:pPr>
      <w:r>
        <w:t>For a pivotal partial AUC, plan with the within-subject CV of that partial AUC. An early window is often more variable than total AUC, so a CV taken from AUC gives too few subjects.</w:t>
      </w:r>
    </w:p>
    <w:p w14:paraId="7E20169B" w14:textId="77777777" w:rsidR="00631871" w:rsidRDefault="0013387A">
      <w:pPr>
        <w:pStyle w:val="Kop2"/>
      </w:pPr>
      <w:bookmarkStart w:id="26" w:name="_Toc241214359"/>
      <w:r>
        <w:t>Path 2: Upload &amp; Check Data</w:t>
      </w:r>
      <w:bookmarkEnd w:id="26"/>
    </w:p>
    <w:p w14:paraId="301034C4" w14:textId="77777777" w:rsidR="00631871" w:rsidRDefault="0013387A">
      <w:pPr>
        <w:spacing w:after="120" w:line="276" w:lineRule="auto"/>
      </w:pPr>
      <w:r>
        <w:t>Choose what kind of file you have, upload it, check the column mapping, set the LLOQ and BLQ rule, and click Process Data. The app runs more than 30 quality checks: errors block processing, warnings do not. Some checks stop data the app cannot analyse safely: a CDISC-style file uploaded as a simple table, mixed units, dates or clock times in the Time column, profiles that do not start near time zero (time since the first dose), several profiles stacked in one column (duplicate times), subject IDs that restart in each sequence, and a decimal point in a decimal-comma file. A second dose inside one profile, or a multi-period file without a mapped Period, gives a warning. When another column could also be the time or the concentration, a note names it. Processing a new file clears all previous results. Afterwards a panel links to the next steps: Visualize Data, Single Subject, Batch Analysis and Bioequivalence.</w:t>
      </w:r>
    </w:p>
    <w:p w14:paraId="78C511CD" w14:textId="77777777" w:rsidR="00631871" w:rsidRDefault="0013387A">
      <w:pPr>
        <w:pStyle w:val="Kop2"/>
      </w:pPr>
      <w:bookmarkStart w:id="27" w:name="_Toc241214360"/>
      <w:r>
        <w:lastRenderedPageBreak/>
        <w:t>Path 3: Visualize Data</w:t>
      </w:r>
      <w:bookmarkEnd w:id="27"/>
    </w:p>
    <w:p w14:paraId="3B48D411" w14:textId="77777777" w:rsidR="00631871" w:rsidRDefault="0013387A">
      <w:pPr>
        <w:spacing w:after="120" w:line="276" w:lineRule="auto"/>
      </w:pPr>
      <w:r>
        <w:t>Creates publication-ready concentration–time plots from uploaded data. Accessible directly from the hub or via the “Visualize Data” button on the Upload page. Requires data to be uploaded and processed first; a prompt is shown otherwise.</w:t>
      </w:r>
    </w:p>
    <w:p w14:paraId="73FC6DE9" w14:textId="77777777" w:rsidR="00631871" w:rsidRDefault="0013387A">
      <w:pPr>
        <w:spacing w:after="120" w:line="276" w:lineRule="auto"/>
      </w:pPr>
      <w:r>
        <w:t>Layout: settings sidebar on the left, stacked plot area on the right. There are no tabs: the Plot Type control decides which plots appear.</w:t>
      </w:r>
    </w:p>
    <w:p w14:paraId="36116667" w14:textId="77777777" w:rsidR="00631871" w:rsidRDefault="0013387A">
      <w:pPr>
        <w:pStyle w:val="Kop3"/>
      </w:pPr>
      <w:r>
        <w:t>Plot Types</w:t>
      </w:r>
    </w:p>
    <w:p w14:paraId="54924054" w14:textId="77777777" w:rsidR="00631871" w:rsidRDefault="0013387A">
      <w:pPr>
        <w:spacing w:after="120" w:line="276" w:lineRule="auto"/>
      </w:pPr>
      <w:r>
        <w:t>The Plot Type radio button has three options. “Individual Profiles (spaghetti plot)” draws one concentration–time line per profile (subject, treatment and period), coloured by a grouping of your choice; use it to look at individual variability, outliers and carry-over. “Summary Plot (geometric mean ×/÷ geometric SD)” shows the geometric mean at each time point, with error bars from the geometric mean divided and multiplied by the geometric SD. Treatment groups are overlaid automatically. “Both plots” shows the spaghetti plot above the summary plot.</w:t>
      </w:r>
    </w:p>
    <w:p w14:paraId="09BAB83A" w14:textId="77777777" w:rsidR="00631871" w:rsidRDefault="0013387A">
      <w:pPr>
        <w:spacing w:after="120" w:line="276" w:lineRule="auto"/>
      </w:pPr>
      <w:r>
        <w:t>Concentrations at a time point are usually skewed to the right, so the geometric mean describes the typical profile better than the arithmetic mean. Arithmetic mean ± SD is available, labelled as arithmetic and with a warning.</w:t>
      </w:r>
    </w:p>
    <w:p w14:paraId="5B3A3726" w14:textId="77777777" w:rsidR="00631871" w:rsidRDefault="0013387A">
      <w:pPr>
        <w:pStyle w:val="Kop3"/>
      </w:pPr>
      <w:r>
        <w:t>Sidebar Controls</w:t>
      </w:r>
    </w:p>
    <w:p w14:paraId="6362A1D7" w14:textId="77777777" w:rsidR="00631871" w:rsidRDefault="0013387A">
      <w:pPr>
        <w:spacing w:after="120" w:line="276" w:lineRule="auto"/>
      </w:pPr>
      <w:r>
        <w:t>Y-axis scale (Linear or Log₁₀): the semi-log view makes the terminal elimination phase linear, which is useful for identifying biphasic profiles or half-life estimation issues. When log scale is active and zero concentrations are present they are omitted from the plot and a note is shown.</w:t>
      </w:r>
    </w:p>
    <w:p w14:paraId="59E7AAAB" w14:textId="77777777" w:rsidR="00631871" w:rsidRDefault="0013387A">
      <w:pPr>
        <w:spacing w:after="120" w:line="276" w:lineRule="auto"/>
      </w:pPr>
      <w:r>
        <w:t>Colour lines by (spaghetti plot, dropdown): the options come from the columns mapped during upload: Subject ID (always available), Treatment, Period, Sequence (each available only when that column was mapped), and None. In a crossover, colour by Period to look for period effects, or by Treatment to compare formulations.</w:t>
      </w:r>
    </w:p>
    <w:p w14:paraId="278B3BBD" w14:textId="77777777" w:rsidR="00631871" w:rsidRDefault="0013387A">
      <w:pPr>
        <w:spacing w:after="120" w:line="276" w:lineRule="auto"/>
      </w:pPr>
      <w:r>
        <w:t>Normalize to dose (show C/Dose), a checkbox that appears only when a Dose column was mapped: concentrations are divided by the dose, so the Y axis shows C/Dose (for example ng/mL per mg). Useful for dose-escalation studies. A missing or zero dose gives a missing value. Change the Y-axis label to match, for example “C/Dose (ng·mL⁻¹·mg⁻¹)”.</w:t>
      </w:r>
    </w:p>
    <w:p w14:paraId="237F7E6E" w14:textId="77777777" w:rsidR="00631871" w:rsidRDefault="0013387A">
      <w:pPr>
        <w:spacing w:after="120" w:line="276" w:lineRule="auto"/>
      </w:pPr>
      <w:r>
        <w:t>Colour palette: “Default (app palette)”, “Colorblind-safe (Okabe-Ito)”, or “Grayscale”. For manuscripts destined for print or journals that do not support colour, select Grayscale and export at 600 DPI.</w:t>
      </w:r>
    </w:p>
    <w:p w14:paraId="6D220159" w14:textId="77777777" w:rsidR="00631871" w:rsidRDefault="0013387A">
      <w:pPr>
        <w:spacing w:after="120" w:line="276" w:lineRule="auto"/>
      </w:pPr>
      <w:r>
        <w:t>Theme: “Clean (white background)” (recommended for reports), “Minimal”, or “Classic”. Axis labels, plot title, and base font size (8–18 pt) are editable text fields. The default Y-axis label is “Concentration”; edit it to add units, e.g. “Cyclosporin (ng/mL)”. The default X-axis label is “Time (h)”.</w:t>
      </w:r>
    </w:p>
    <w:p w14:paraId="4C9AA6CC" w14:textId="77777777" w:rsidR="00631871" w:rsidRDefault="0013387A">
      <w:pPr>
        <w:pStyle w:val="Kop3"/>
      </w:pPr>
      <w:r>
        <w:t>Suggested Figure Legend</w:t>
      </w:r>
    </w:p>
    <w:p w14:paraId="63FDB680" w14:textId="77777777" w:rsidR="00631871" w:rsidRDefault="0013387A">
      <w:pPr>
        <w:spacing w:after="120" w:line="276" w:lineRule="auto"/>
      </w:pPr>
      <w:r>
        <w:t xml:space="preserve">Above the plot area, a card titled “Suggested figure legend” holds a ready-to-copy description of the current figure, generated from your data and settings: number of subjects and observations, plot type, summary statistic, error bars, treatment names, the number of concentrations ≤ 0 left out of the geometric mean, Y-axis scale and colour grouping. It </w:t>
      </w:r>
      <w:r>
        <w:lastRenderedPageBreak/>
        <w:t>updates when you change settings. Paste it into your report and add the drug name and units.</w:t>
      </w:r>
    </w:p>
    <w:p w14:paraId="174F36E7" w14:textId="77777777" w:rsidR="00631871" w:rsidRDefault="0013387A">
      <w:pPr>
        <w:pStyle w:val="Kop3"/>
      </w:pPr>
      <w:r>
        <w:t>Exporting a Figure</w:t>
      </w:r>
    </w:p>
    <w:p w14:paraId="54F9ECB2" w14:textId="77777777" w:rsidR="00631871" w:rsidRDefault="0013387A">
      <w:pPr>
        <w:spacing w:after="120" w:line="276" w:lineRule="auto"/>
      </w:pPr>
      <w:r>
        <w:t>Export controls are at the bottom of the settings sidebar under the heading “Export Figure”, always visible. A small “Will export” label above the Download button shows exactly which plot will be downloaded. When “Both plots” is selected, a radio button appears asking which plot to export; only one file is produced per download.</w:t>
      </w:r>
    </w:p>
    <w:p w14:paraId="12FA4C06" w14:textId="77777777" w:rsidR="00631871" w:rsidRDefault="0013387A">
      <w:pPr>
        <w:spacing w:after="120" w:line="276" w:lineRule="auto"/>
      </w:pPr>
      <w:r>
        <w:t>Format: PNG (good for Word documents, presentations, and emails), PDF (vector; text and lines remain sharp at any zoom level; recommended for journal submission when the journal accepts PDF figures), or SVG (scalable vector graphics; open and edit in Inkscape, Adobe Illustrator, or similar). Width and height are set in inches (2–20 in each); typical journal requirements are 3.0–3.5 in for a single column and 6.5–7.0 in for double column. Resolution: 150 DPI (screen/drafts), 300 DPI (print, default, minimum for most journals), or 600 DPI (high-resolution journal submission). The Download button is grey until the first plot has rendered in the main panel; it turns green once a plot is visible. The exported filename includes the plot type (spaghetti_plot.png or summary_plot.png) so you can download both without overwriting either.</w:t>
      </w:r>
    </w:p>
    <w:p w14:paraId="2743301D" w14:textId="77777777" w:rsidR="00631871" w:rsidRDefault="0013387A">
      <w:pPr>
        <w:pStyle w:val="Kop3"/>
      </w:pPr>
      <w:r>
        <w:t>Interactive Preview vs. Static Export</w:t>
      </w:r>
    </w:p>
    <w:p w14:paraId="57998946" w14:textId="77777777" w:rsidR="00631871" w:rsidRDefault="0013387A">
      <w:pPr>
        <w:spacing w:after="120" w:line="276" w:lineRule="auto"/>
      </w:pPr>
      <w:r>
        <w:t>The plots shown in the main panel are interactive (built with plotly): hover over any point or line to see subject ID, time, and concentration; zoom by clicking and dragging; pan with the pan icon; reset with the home icon. These interactive features are not available in the exported static file. The static file (PNG/PDF/SVG) is built from a separate ggplot2 render using your sidebar settings (font size, theme and colour palette); use it for reports and manuscripts.</w:t>
      </w:r>
    </w:p>
    <w:p w14:paraId="383419DF" w14:textId="77777777" w:rsidR="00631871" w:rsidRDefault="0013387A">
      <w:pPr>
        <w:pStyle w:val="Kop3"/>
      </w:pPr>
      <w:r>
        <w:t>Worked Examples</w:t>
      </w:r>
    </w:p>
    <w:p w14:paraId="41D158E0" w14:textId="77777777" w:rsidR="00631871" w:rsidRDefault="0013387A">
      <w:pPr>
        <w:spacing w:after="120" w:line="276" w:lineRule="auto"/>
      </w:pPr>
      <w:r>
        <w:rPr>
          <w:b/>
          <w:bCs/>
        </w:rPr>
        <w:t xml:space="preserve">Example 1: Quick data check after upload. </w:t>
      </w:r>
      <w:r>
        <w:t>Upload example_theoph.csv from the Data Preparation Guide. Navigate to “3. Visualize Data”. The individual profiles plot is shown by default: 12 coloured lines, one per subject, on a linear Y scale. Switch the Y axis to Log₁₀; a straight tail points to mono-exponential elimination. This is a visual check only; no analysis settings are required.</w:t>
      </w:r>
    </w:p>
    <w:p w14:paraId="174B738D" w14:textId="77777777" w:rsidR="00631871" w:rsidRDefault="0013387A">
      <w:pPr>
        <w:spacing w:after="120" w:line="276" w:lineRule="auto"/>
      </w:pPr>
      <w:r>
        <w:rPr>
          <w:b/>
          <w:bCs/>
        </w:rPr>
        <w:t xml:space="preserve">Example 2: Summary plot for a crossover BE study. </w:t>
      </w:r>
      <w:r>
        <w:t>Upload a crossover dataset with a Treatment column mapped, open Visualize Data and select “Summary Plot”. The plot overlays one curve per treatment. This is a visual check, not a test: only the confidence interval in Bioequivalence tells whether the formulations are bioequivalent. For the report, go to Export Figure in the sidebar, select PDF, 7 × 5 in, 300 DPI, and click Download.</w:t>
      </w:r>
    </w:p>
    <w:p w14:paraId="449CAA76" w14:textId="77777777" w:rsidR="00631871" w:rsidRDefault="0013387A">
      <w:pPr>
        <w:spacing w:after="120" w:line="276" w:lineRule="auto"/>
      </w:pPr>
      <w:r>
        <w:rPr>
          <w:b/>
          <w:bCs/>
        </w:rPr>
        <w:t xml:space="preserve">Example 3: Dose-escalation spaghetti plot. </w:t>
      </w:r>
      <w:r>
        <w:t>Upload data with a Dose column and different doses per subject. Tick “Normalize to dose (show C/Dose)”, colour the lines by Subject, and change the Y-axis label to “C/Dose (ng·mL⁻¹·mg⁻¹)”. With dose-proportional pharmacokinetics the normalised profiles overlap; profiles that diverge suggest non-linear pharmacokinetics.</w:t>
      </w:r>
    </w:p>
    <w:p w14:paraId="49443A39" w14:textId="77777777" w:rsidR="00631871" w:rsidRDefault="0013387A">
      <w:pPr>
        <w:pStyle w:val="Kop3"/>
      </w:pPr>
      <w:r>
        <w:t>Common Questions</w:t>
      </w:r>
    </w:p>
    <w:p w14:paraId="597A6FE0" w14:textId="77777777" w:rsidR="00631871" w:rsidRDefault="0013387A">
      <w:pPr>
        <w:spacing w:after="120" w:line="276" w:lineRule="auto"/>
      </w:pPr>
      <w:r>
        <w:rPr>
          <w:b/>
          <w:bCs/>
        </w:rPr>
        <w:lastRenderedPageBreak/>
        <w:t xml:space="preserve">The Download button is grey. </w:t>
      </w:r>
      <w:r>
        <w:t>The button is in the Export Figure section of the sidebar and activates once the first plot has rendered in the main panel. There is no separate tab to visit first; wait for the plot to appear.</w:t>
      </w:r>
    </w:p>
    <w:p w14:paraId="4922D60A" w14:textId="77777777" w:rsidR="00631871" w:rsidRDefault="0013387A">
      <w:pPr>
        <w:spacing w:after="120" w:line="276" w:lineRule="auto"/>
      </w:pPr>
      <w:r>
        <w:rPr>
          <w:b/>
          <w:bCs/>
        </w:rPr>
        <w:t xml:space="preserve">Some time points are missing from my summary plot. </w:t>
      </w:r>
      <w:r>
        <w:t>The summary plot uses the nominal time values present in your data. If subjects have observations at slightly different actual times (e.g., 0.95 h vs 1.05 h for a nominal 1 h sample), round to nominal times before uploading. The app does not perform nominal-time imputation.</w:t>
      </w:r>
    </w:p>
    <w:p w14:paraId="587A2C87" w14:textId="77777777" w:rsidR="00631871" w:rsidRDefault="0013387A">
      <w:pPr>
        <w:spacing w:after="120" w:line="276" w:lineRule="auto"/>
      </w:pPr>
      <w:r>
        <w:rPr>
          <w:b/>
          <w:bCs/>
        </w:rPr>
        <w:t xml:space="preserve">I see “N observations with concentration ≤ 0 excluded.” </w:t>
      </w:r>
      <w:r>
        <w:t>Zeros, for example BLQ values set to 0 by rules 1, 2 or 5, cannot be log-transformed, so they are left out of the geometric mean at that time point. They stay in your data.</w:t>
      </w:r>
    </w:p>
    <w:p w14:paraId="620B0A49" w14:textId="77777777" w:rsidR="00631871" w:rsidRDefault="0013387A">
      <w:pPr>
        <w:spacing w:after="120" w:line="276" w:lineRule="auto"/>
      </w:pPr>
      <w:r>
        <w:rPr>
          <w:b/>
          <w:bCs/>
        </w:rPr>
        <w:t xml:space="preserve">My spaghetti plot has too many colours to distinguish. </w:t>
      </w:r>
      <w:r>
        <w:t>Try the Okabe-Ito (“Colorblind-safe”) palette. With more than eight groups, consider switching to Grayscale and annotating the exported figure in a graphics application.</w:t>
      </w:r>
    </w:p>
    <w:p w14:paraId="5C968B27" w14:textId="77777777" w:rsidR="00631871" w:rsidRDefault="0013387A">
      <w:pPr>
        <w:pStyle w:val="Kop2"/>
      </w:pPr>
      <w:bookmarkStart w:id="28" w:name="_Toc241214361"/>
      <w:r>
        <w:t>Path 4: One Subject at a Time</w:t>
      </w:r>
      <w:bookmarkEnd w:id="28"/>
    </w:p>
    <w:p w14:paraId="166541F2" w14:textId="77777777" w:rsidR="00631871" w:rsidRDefault="0013387A">
      <w:pPr>
        <w:spacing w:after="120" w:line="276" w:lineRule="auto"/>
      </w:pPr>
      <w:r>
        <w:t>Step through the profiles with Previous/Next, or enter data by hand. Set dose (filled in from the Dose column when there is one), units, route and minimum R², and click Run PK Analysis. The half-life inspector lets you choose the terminal-phase points yourself. The result belongs to the profile it was computed for: selecting another profile, or changing a setting, clears it. Settings stay when you leave the page and come back. Downloads: CSV and a Complete Analysis Record.</w:t>
      </w:r>
    </w:p>
    <w:p w14:paraId="60038932" w14:textId="77777777" w:rsidR="00631871" w:rsidRDefault="0013387A">
      <w:pPr>
        <w:spacing w:after="120" w:line="276" w:lineRule="auto"/>
      </w:pPr>
      <w:r>
        <w:t>Partial AUCs (optional): set how many intervals you need and enter the start and end of each, in the time unit of your data. Tick “End at the last measurable concentration (t)” for an interval that runs to the end of the profile, and “Also report Cmax and Tmax in this interval” when the protocol asks for the peak inside a window. An interval that reaches past the last measurable concentration stays empty, with a note saying so: partial AUCs are never extrapolated.</w:t>
      </w:r>
    </w:p>
    <w:p w14:paraId="459F8E2C" w14:textId="77777777" w:rsidR="00631871" w:rsidRDefault="0013387A">
      <w:pPr>
        <w:pStyle w:val="Kop2"/>
      </w:pPr>
      <w:bookmarkStart w:id="29" w:name="_Toc241214362"/>
      <w:r>
        <w:t>Path 5: All Subjects (Batch)</w:t>
      </w:r>
      <w:bookmarkEnd w:id="29"/>
    </w:p>
    <w:p w14:paraId="151DFCBD" w14:textId="77777777" w:rsidR="00631871" w:rsidRDefault="0013387A">
      <w:pPr>
        <w:spacing w:after="120" w:line="276" w:lineRule="auto"/>
      </w:pPr>
      <w:r>
        <w:t>Settings: route, dose (one dose for all, or from the Dose column per subject and period), units, steady state (with the dosing interval τ), trapezoidal method and minimum R². Result tabs: concentration–time profiles, parameter table (all parameters when expanded; AUC % Extrapolated above 20% is flagged in amber), summary statistics per treatment, an individual grid, and Half-Life Review. When the automatic terminal fit of a profile has an adjusted R² below the minimum (default 0.70), its half-life, AUC∞, CL/F, Vz/F and MRT are left empty and a note names the profile; select the points in Half-Life Review if you want a value. Profiles with fewer than 2 positive concentrations are left out, with an amber note listing them. A CDISC parameter codes panel lists the official code of each parameter. Downloads: CSV, Excel (with summary statistics per treatment and a sheet of CDISC codes) and a Complete Analysis Record. A selection of half-life points stays with its profile; “Remove override (automatic fit)” returns the profile to the automatic fit. Changing a setting clears the results, so run the analysis again. At steady state Vss and MRT from the single-dose formulas are not reported.</w:t>
      </w:r>
    </w:p>
    <w:p w14:paraId="02B33DE7" w14:textId="77777777" w:rsidR="00631871" w:rsidRDefault="0013387A">
      <w:pPr>
        <w:spacing w:after="120" w:line="276" w:lineRule="auto"/>
      </w:pPr>
      <w:r>
        <w:lastRenderedPageBreak/>
        <w:t>Partial AUCs (optional): set how many intervals you need and enter the start and end of each, in the time unit of your data. Tick “End at the last measurable concentration (t)” for an interval that runs to the end of each profile, and “Also report Cmax and Tmax in this interval” when the protocol asks for the peak inside a window. The columns join the results table, the summary statistics and the downloads. An interval that reaches past the last measurable concentration of a profile stays empty for that profile, and a note names the profile and its last measurable time.</w:t>
      </w:r>
    </w:p>
    <w:p w14:paraId="48403DDE" w14:textId="77777777" w:rsidR="00631871" w:rsidRDefault="0013387A">
      <w:pPr>
        <w:spacing w:after="120" w:line="276" w:lineRule="auto"/>
      </w:pPr>
      <w:r>
        <w:t>With dose normalisation switched on, the partial AUCs and the Cmax within an interval are divided by the dose as well; the time of that maximum is not.</w:t>
      </w:r>
    </w:p>
    <w:p w14:paraId="3A758E77" w14:textId="77777777" w:rsidR="00631871" w:rsidRDefault="0013387A">
      <w:pPr>
        <w:pStyle w:val="Kop2"/>
      </w:pPr>
      <w:bookmarkStart w:id="30" w:name="_Toc241214363"/>
      <w:r>
        <w:t>Path 6: Bioequivalence</w:t>
      </w:r>
      <w:bookmarkEnd w:id="30"/>
    </w:p>
    <w:p w14:paraId="4AE740B9" w14:textId="77777777" w:rsidR="00631871" w:rsidRDefault="0013387A">
      <w:pPr>
        <w:spacing w:after="120" w:line="276" w:lineRule="auto"/>
      </w:pPr>
      <w:r>
        <w:t>Runs the NCA, then the ANOVA, then the confidence interval (90% by default) and a forest plot. Choose the design: 2×2 standard crossover, 2×2×3 or 2×2×4 full replicate, 2×3×3 partial replicate, parallel groups, or paired comparison. The design found at upload is pre-selected, and a crossover chosen for one-period data is flagged. Choose the Reference treatment (the ratio is Test ÷ Reference); the run is blocked until one is chosen, and the results table shows the comparison, for example “New / Old”. The model has Sequence, Subject, Period and Treatment as factors. With fixed effects this is EMA Method A; the mixed model (random subject intercept) is EMA Method B, not the FDA model for replicate designs. The Model column says which was fitted. The verdict uses confidence limits rounded to two decimals. With limits wider than 80–125% the point estimate must also lie within 80.00–125.00%, unless you untick that (only for comparisons without such a rule, such as drug-interaction no-effect boundaries). With limits wider than 80–125%, a setting chooses where they apply: to Cmax only, as for reference-scaled bioequivalence, or to all compared metrics, for example no-effect boundaries in a drug interaction study. The default is Cmax only. Half-life gets a ratio with its confidence interval but no verdict, because it is not a bioequivalence endpoint; Tmax, untransformed parameters and paired comparisons also get no verdict. If all subjects received the treatments in the same order, the data are analysed as a paired comparison. For replicate designs a table shows the within-subject variability of the Reference (and of the Test when replicated) and the EMA widened limits it would imply, for information only: the app does not issue a scaled (ABEL or RSABE) verdict. A design summary and an amber warning for subjects missing a treatment appear after the NCA. For steady-state data tick “Steady-state (drug given repeatedly)” and enter τ; AUCτ is then compared instead of AUC to last point and AUC∞, and the trough at steady state can be added.</w:t>
      </w:r>
    </w:p>
    <w:p w14:paraId="24AADCB7" w14:textId="77777777" w:rsidR="00631871" w:rsidRDefault="0013387A">
      <w:pPr>
        <w:spacing w:after="120" w:line="276" w:lineRule="auto"/>
      </w:pPr>
      <w:r>
        <w:t>Settings: route (oral/IM/SC or IV bolus; IV infusion is not supported here), dose, units, trapezoidal method, minimum R², the parameters to compare (Cmax and AUC to last point by default, the primary parameters of ICH M13A; AUC to infinity, Tmax and half-life can be added), log transformation, confidence level (80 to 99%; a verdict is given only at 90%) and acceptance limits. Tabs: the comparison with forest plot, the PK parameter table, the ANOVA tables, concentration-time profiles, individual profiles and Half-Life Review. Downloads: Excel, CSV and a Complete Analysis Record. Changing a setting clears the results; the parameters you chose are kept.</w:t>
      </w:r>
    </w:p>
    <w:p w14:paraId="63924288" w14:textId="77777777" w:rsidR="00631871" w:rsidRDefault="0013387A">
      <w:pPr>
        <w:spacing w:after="120" w:line="276" w:lineRule="auto"/>
      </w:pPr>
      <w:r>
        <w:t xml:space="preserve">With the results the app lists points that ICH M13A asks you to check: a pre-dose concentration above 5% of Cmax, fewer than 12 evaluable subjects, and AUC to last point covering less than 80% of AUC∞. For parallel groups it also calculates the Welch interval, </w:t>
      </w:r>
      <w:r>
        <w:lastRenderedPageBreak/>
        <w:t>which does not assume equal variances, and reports it when it would change the conclusion. There is no verdict for a crossover without a mapped Period, or for a confidence level other than 90%. Nor is there one when the mixed model was chosen and cannot be fitted: the fixed-effects result is then shown for information only, because switching models after seeing the data is a post-hoc change.</w:t>
      </w:r>
    </w:p>
    <w:p w14:paraId="315A6843" w14:textId="77777777" w:rsidR="00631871" w:rsidRDefault="0013387A">
      <w:pPr>
        <w:spacing w:after="120" w:line="276" w:lineRule="auto"/>
      </w:pPr>
      <w:r>
        <w:t>Partial AUC intervals here also carry a role. A pivotal interval receives a bioequivalence verdict, a supportive interval only its ratio and confidence interval. The metrics appear under “Parameters to compare” as soon as the intervals are valid, and Cmax within an interval can be compared as well. A metric whose value is zero in any profile receives no estimate and no verdict, because zero cannot be log-transformed and the profiles that would drop out are the low-exposure ones. That metric keeps its row in the table and in the forest plot, with the reason, the zero counts per treatment and the number of profiles that have no value.</w:t>
      </w:r>
    </w:p>
    <w:p w14:paraId="49E21459" w14:textId="77777777" w:rsidR="00631871" w:rsidRDefault="0013387A">
      <w:pPr>
        <w:pStyle w:val="Kop2"/>
      </w:pPr>
      <w:bookmarkStart w:id="31" w:name="_Toc241214364"/>
      <w:r>
        <w:t>Analysing Drug–Drug Interaction Studies</w:t>
      </w:r>
      <w:bookmarkEnd w:id="31"/>
    </w:p>
    <w:p w14:paraId="01337932" w14:textId="77777777" w:rsidR="00631871" w:rsidRDefault="0013387A">
      <w:pPr>
        <w:spacing w:after="120" w:line="276" w:lineRule="auto"/>
      </w:pPr>
      <w:r>
        <w:t>Bioequivalence (Path 6) can also analyse drug–drug interaction (DDI) studies: the design compares two conditions within subjects, with an ANOVA model and a confidence interval for the geometric mean ratio.</w:t>
      </w:r>
    </w:p>
    <w:p w14:paraId="2EBD24FE" w14:textId="77777777" w:rsidR="00631871" w:rsidRDefault="0013387A">
      <w:pPr>
        <w:pStyle w:val="Kop3"/>
      </w:pPr>
      <w:r>
        <w:t>How to Set Up a DDI Analysis</w:t>
      </w:r>
    </w:p>
    <w:p w14:paraId="2940F619" w14:textId="77777777" w:rsidR="00631871" w:rsidRDefault="0013387A">
      <w:pPr>
        <w:spacing w:after="120" w:line="276" w:lineRule="auto"/>
      </w:pPr>
      <w:r>
        <w:t>Prepare the data as a crossover dataset (Scenario 4 or 5 in Part II). Choose the victim drug given alone as the Reference treatment, so the ratio is (with perpetrator) ÷ (alone): the fold-change in exposure. Upload, map the columns and select the design.</w:t>
      </w:r>
    </w:p>
    <w:p w14:paraId="3C2DE98C" w14:textId="77777777" w:rsidR="00631871" w:rsidRDefault="0013387A">
      <w:pPr>
        <w:spacing w:after="120" w:line="276" w:lineRule="auto"/>
      </w:pPr>
      <w:r>
        <w:t>Run the analysis. The app reports the geometric mean ratio and confidence interval for Cmax and AUC. A ratio of 200% means the perpetrator doubled the victim's exposure; 50% means it halved it. Check the Comparison column to confirm which treatment is in the denominator.</w:t>
      </w:r>
    </w:p>
    <w:p w14:paraId="4865747E" w14:textId="77777777" w:rsidR="00631871" w:rsidRDefault="0013387A">
      <w:pPr>
        <w:pStyle w:val="Kop3"/>
      </w:pPr>
      <w:r>
        <w:t>Interpreting DDI Results</w:t>
      </w:r>
    </w:p>
    <w:p w14:paraId="7732D2B9" w14:textId="77777777" w:rsidR="00631871" w:rsidRDefault="0013387A">
      <w:pPr>
        <w:spacing w:after="120" w:line="276" w:lineRule="auto"/>
      </w:pPr>
      <w:r>
        <w:t>A DDI study quantifies how large the interaction is; it is not a test of equivalence. ICH M12 (section 5.2) asks for the geometric mean ratio with and without the precipitant and its 90% confidence interval for AUC and Cmax (and Cmin when relevant). Interpret the result against no-effect boundaries for the victim drug, preferably based on its exposure-response relationship (section 5.3.1).</w:t>
      </w:r>
    </w:p>
    <w:p w14:paraId="73CAF1F3" w14:textId="77777777" w:rsidR="00631871" w:rsidRDefault="0013387A">
      <w:pPr>
        <w:spacing w:after="120" w:line="276" w:lineRule="auto"/>
      </w:pPr>
      <w:r>
        <w:t xml:space="preserve">• </w:t>
      </w:r>
      <w:r>
        <w:rPr>
          <w:b/>
          <w:bCs/>
        </w:rPr>
        <w:t>Default no-effect boundaries</w:t>
      </w:r>
      <w:r>
        <w:t>: a 90% CI within 80–125%. M12 calls this generally acceptable but overly conservative for most drugs.</w:t>
      </w:r>
    </w:p>
    <w:p w14:paraId="4BB0E2F3" w14:textId="77777777" w:rsidR="00631871" w:rsidRDefault="0013387A">
      <w:pPr>
        <w:spacing w:after="120" w:line="276" w:lineRule="auto"/>
      </w:pPr>
      <w:r>
        <w:t>If the study used a sensitive index substrate, the point estimate also classifies the precipitant (M12 section 5.3.2): a strong, moderate or weak inhibitor raises the substrate's AUC at least 5-fold, 2- to 5-fold, or 1.25- to 2-fold; a strong, moderate or weak inducer lowers it by at least 80%, by 50 to 80%, or by 20 to 50%. These classes describe the precipitant, not the size of the interaction for other victim drugs.</w:t>
      </w:r>
    </w:p>
    <w:p w14:paraId="5BFF5EDD" w14:textId="77777777" w:rsidR="00631871" w:rsidRDefault="0013387A">
      <w:pPr>
        <w:pStyle w:val="Kop3"/>
      </w:pPr>
      <w:r>
        <w:t>Practical Considerations</w:t>
      </w:r>
    </w:p>
    <w:p w14:paraId="6EE73546" w14:textId="77777777" w:rsidR="00631871" w:rsidRDefault="0013387A">
      <w:pPr>
        <w:spacing w:after="120" w:line="276" w:lineRule="auto"/>
      </w:pPr>
      <w:r>
        <w:t>The app reports the ratio as Test ÷ Reference, in percent, with the Reference you chose. A ratio of 350% means the perpetrator increased the victim's AUC 3.5-fold.</w:t>
      </w:r>
    </w:p>
    <w:p w14:paraId="36F3BB56" w14:textId="77777777" w:rsidR="00631871" w:rsidRDefault="0013387A">
      <w:pPr>
        <w:spacing w:after="120" w:line="276" w:lineRule="auto"/>
      </w:pPr>
      <w:r>
        <w:lastRenderedPageBreak/>
        <w:t>For fixed-order DDI studies (all subjects receive the victim alone first, then with the perpetrator), select “Paired comparison”. The app reports the ratio and its confidence interval without a verdict, because period and interaction effects cannot be separated.</w:t>
      </w:r>
    </w:p>
    <w:p w14:paraId="3F66A44A" w14:textId="77777777" w:rsidR="00631871" w:rsidRDefault="0013387A">
      <w:pPr>
        <w:spacing w:after="120" w:line="276" w:lineRule="auto"/>
      </w:pPr>
      <w:r>
        <w:t>The forest plot and confidence interval table can be used in the DDI section of a clinical study report. To compare with no-effect boundaries, enter them as acceptance limits, choose “All compared metrics” under “Widened limits apply to”, and untick the point-estimate requirement if it does not apply.</w:t>
      </w:r>
    </w:p>
    <w:p w14:paraId="5FB980C0" w14:textId="77777777" w:rsidR="00631871" w:rsidRDefault="0013387A">
      <w:pPr>
        <w:pStyle w:val="Kop2"/>
      </w:pPr>
      <w:bookmarkStart w:id="32" w:name="_Toc241214365"/>
      <w:r>
        <w:t>Complete Analysis Record</w:t>
      </w:r>
      <w:bookmarkEnd w:id="32"/>
    </w:p>
    <w:p w14:paraId="6A8D25BB" w14:textId="77777777" w:rsidR="00631871" w:rsidRDefault="0013387A">
      <w:pPr>
        <w:spacing w:after="120" w:line="276" w:lineRule="auto"/>
      </w:pPr>
      <w:r>
        <w:t>Available from One Subject at a Time, All Subjects and Bioequivalence; Visualize Data produces a similar Figure Record. The zip contains results.xlsx, app_results_reference.csv, analysis_settings.json, nca_pipeline.R (the app's own data-processing code), reproduce_analysis.R, reproduction_check.txt, data_integrity.txt, analysis_summary.html and a copy of the data file. When it creates the record, the app runs the reproduction script and reports whether the result matches (MATCH). data_integrity.txt holds SHA-256 hashes of the data, the settings and the results. A SHA-256 hash is a 64-character fingerprint that changes if a single character in the file changes, so anyone can check later that the files are the ones analysed. The check also reports DIFFERENT when the data file, the pipeline code or the reference results were changed, or when a parameter appears on one side only. The record is not signed and is not an audit trail in the sense of 21 CFR Part 11 or EU GMP Annex 11. It documents one analysis.</w:t>
      </w:r>
    </w:p>
    <w:p w14:paraId="745EA5A9" w14:textId="77777777" w:rsidR="00631871" w:rsidRDefault="0013387A">
      <w:pPr>
        <w:spacing w:after="120" w:line="276" w:lineRule="auto"/>
      </w:pPr>
      <w:r>
        <w:t>Partial AUC intervals, their roles and the BLQ share used for the notes are recorded, and the reproduction script recalculates the partial AUCs. Change an interval in the settings file afterwards and the check reports DIFFERENT instead of MATCH.</w:t>
      </w:r>
    </w:p>
    <w:p w14:paraId="43ED6AEC" w14:textId="77777777" w:rsidR="00631871" w:rsidRDefault="0013387A">
      <w:r>
        <w:br w:type="page"/>
      </w:r>
    </w:p>
    <w:p w14:paraId="062BC078" w14:textId="77777777" w:rsidR="00631871" w:rsidRDefault="0013387A">
      <w:pPr>
        <w:pStyle w:val="Kop1"/>
      </w:pPr>
      <w:bookmarkStart w:id="33" w:name="_Toc241214366"/>
      <w:r>
        <w:lastRenderedPageBreak/>
        <w:t>Part IV: Worked Examples</w:t>
      </w:r>
      <w:bookmarkEnd w:id="33"/>
    </w:p>
    <w:p w14:paraId="5783822D" w14:textId="77777777" w:rsidR="00631871" w:rsidRDefault="0013387A">
      <w:pPr>
        <w:pStyle w:val="Kop2"/>
      </w:pPr>
      <w:bookmarkStart w:id="34" w:name="_Toc241214367"/>
      <w:r>
        <w:t>Exercise 1: Theoph Dataset (Batch NCA)</w:t>
      </w:r>
      <w:bookmarkEnd w:id="34"/>
    </w:p>
    <w:p w14:paraId="6B25D63B" w14:textId="77777777" w:rsidR="00631871" w:rsidRDefault="0013387A">
      <w:pPr>
        <w:spacing w:after="120" w:line="276" w:lineRule="auto"/>
      </w:pPr>
      <w:r>
        <w:t xml:space="preserve">Download the theophylline dataset: open the </w:t>
      </w:r>
      <w:r>
        <w:rPr>
          <w:b/>
          <w:bCs/>
        </w:rPr>
        <w:t>Data Preparation Guide</w:t>
      </w:r>
      <w:r>
        <w:t xml:space="preserve"> (home screen or top navigation bar) and click </w:t>
      </w:r>
      <w:r>
        <w:rPr>
          <w:b/>
          <w:bCs/>
        </w:rPr>
        <w:t>example_theoph.csv</w:t>
      </w:r>
      <w:r>
        <w:t xml:space="preserve"> under Example Datasets.</w:t>
      </w:r>
    </w:p>
    <w:p w14:paraId="25988621" w14:textId="77777777" w:rsidR="00631871" w:rsidRDefault="0013387A">
      <w:pPr>
        <w:spacing w:after="80" w:line="276" w:lineRule="auto"/>
      </w:pPr>
      <w:r>
        <w:rPr>
          <w:color w:val="555555"/>
          <w:sz w:val="20"/>
          <w:szCs w:val="20"/>
        </w:rPr>
        <w:t xml:space="preserve">Alternatively, if you have R installed: </w:t>
      </w:r>
      <w:r>
        <w:rPr>
          <w:rFonts w:ascii="Courier New" w:eastAsia="Courier New" w:hAnsi="Courier New" w:cs="Courier New"/>
          <w:sz w:val="20"/>
          <w:szCs w:val="20"/>
        </w:rPr>
        <w:t>write.csv(Theoph, "theoph.csv", row.names = FALSE)</w:t>
      </w:r>
    </w:p>
    <w:p w14:paraId="675E5AA8" w14:textId="77777777" w:rsidR="00631871" w:rsidRDefault="0013387A">
      <w:pPr>
        <w:spacing w:after="120" w:line="276" w:lineRule="auto"/>
      </w:pPr>
      <w:r>
        <w:t>Upload it. The file has a Dose column in mg/kg; for this exercise do not use it. In All Subjects (Batch) set “Same dose for all subjects”, dose = 320 mg, concentration unit mg/L, route = Oral / IM / SC (extravascular), method = Linear-up / Log-down, and run. “Extravascular” means the drug was not injected into a vein and had to be absorbed first (oral, intramuscular or subcutaneous). Because the fraction absorbed (F) is unknown, clearance and volume are reported as apparent values, CL/F and Vz/F.</w:t>
      </w:r>
    </w:p>
    <w:p w14:paraId="29C8C17D" w14:textId="77777777" w:rsidR="00631871" w:rsidRDefault="0013387A">
      <w:pPr>
        <w:spacing w:after="120" w:line="276" w:lineRule="auto"/>
      </w:pPr>
      <w:r>
        <w:rPr>
          <w:b/>
          <w:bCs/>
        </w:rPr>
        <w:t xml:space="preserve">Questions: </w:t>
      </w:r>
      <w:r>
        <w:t>1) Mean Cmax? 2) Geometric mean AUC to last? 3) Median Tmax? 4) Longest half-life (which subject)? 5) Geometric CV% for AUC∞?</w:t>
      </w:r>
    </w:p>
    <w:p w14:paraId="15B3A5D0" w14:textId="77777777" w:rsidR="00631871" w:rsidRDefault="0013387A">
      <w:pPr>
        <w:spacing w:after="80" w:line="276" w:lineRule="auto"/>
      </w:pPr>
      <w:r>
        <w:rPr>
          <w:color w:val="555555"/>
          <w:sz w:val="20"/>
          <w:szCs w:val="20"/>
        </w:rPr>
        <w:t>Answers: 1) 8.76 mg/L. 2) 98.7 h·mg/L. 3) 1.14 h. 4) Subject 1 (14.3 h). 5) 28%.</w:t>
      </w:r>
    </w:p>
    <w:p w14:paraId="27ECE864" w14:textId="77777777" w:rsidR="00631871" w:rsidRDefault="0013387A">
      <w:pPr>
        <w:pStyle w:val="Kop2"/>
      </w:pPr>
      <w:bookmarkStart w:id="35" w:name="_Toc241214368"/>
      <w:r>
        <w:t>Exercise 2: Bioequivalence</w:t>
      </w:r>
      <w:bookmarkEnd w:id="35"/>
    </w:p>
    <w:p w14:paraId="469C1746" w14:textId="77777777" w:rsidR="00631871" w:rsidRDefault="0013387A">
      <w:pPr>
        <w:spacing w:after="120" w:line="276" w:lineRule="auto"/>
      </w:pPr>
      <w:r>
        <w:t xml:space="preserve">Download the crossover dataset from the </w:t>
      </w:r>
      <w:r>
        <w:rPr>
          <w:b/>
          <w:bCs/>
        </w:rPr>
        <w:t>Data Preparation Guide</w:t>
      </w:r>
      <w:r>
        <w:t xml:space="preserve"> and click </w:t>
      </w:r>
      <w:r>
        <w:rPr>
          <w:b/>
          <w:bCs/>
        </w:rPr>
        <w:t>example_be_crossover.csv</w:t>
      </w:r>
      <w:r>
        <w:t>. Upload it and check the mapping. In Bioequivalence set dose = 100 mg, design = 2×2 standard crossover, and check that “Reference” is selected as the Reference treatment. Run.</w:t>
      </w:r>
    </w:p>
    <w:p w14:paraId="6D35B530" w14:textId="77777777" w:rsidR="00631871" w:rsidRDefault="0013387A">
      <w:pPr>
        <w:spacing w:after="120" w:line="276" w:lineRule="auto"/>
      </w:pPr>
      <w:r>
        <w:rPr>
          <w:b/>
          <w:bCs/>
        </w:rPr>
        <w:t xml:space="preserve">Questions: </w:t>
      </w:r>
      <w:r>
        <w:t>1) Ratio and 90% CI for Cmax? 2) For AUC to last point? 3) Bioequivalent for both? 4) Within-subject CV for Cmax (from the residual variance)?</w:t>
      </w:r>
    </w:p>
    <w:p w14:paraId="4074EDB2" w14:textId="77777777" w:rsidR="00631871" w:rsidRDefault="0013387A">
      <w:pPr>
        <w:spacing w:after="80" w:line="276" w:lineRule="auto"/>
      </w:pPr>
      <w:r>
        <w:rPr>
          <w:color w:val="555555"/>
          <w:sz w:val="20"/>
          <w:szCs w:val="20"/>
        </w:rPr>
        <w:t>Answers: 1) 108.62% (106.27–111.02%). 2) 111.25% (108.95–113.60%). 3) Yes, both intervals lie within 80.00–125.00%. 4) About 1.8% (CV = √(exp(MSE) − 1)); the example data are simulated with very little noise.</w:t>
      </w:r>
    </w:p>
    <w:p w14:paraId="60CF97DC" w14:textId="77777777" w:rsidR="00631871" w:rsidRDefault="0013387A">
      <w:pPr>
        <w:pStyle w:val="Kop2"/>
      </w:pPr>
      <w:bookmarkStart w:id="36" w:name="_Toc241214369"/>
      <w:r>
        <w:t>Exercise 3: Power Calculation</w:t>
      </w:r>
      <w:bookmarkEnd w:id="36"/>
    </w:p>
    <w:p w14:paraId="1701B6BB" w14:textId="77777777" w:rsidR="00631871" w:rsidRDefault="0013387A">
      <w:pPr>
        <w:spacing w:after="120" w:line="276" w:lineRule="auto"/>
      </w:pPr>
      <w:r>
        <w:t>Plan a Study. Find the sample size for standard bioequivalence, 2×2 standard crossover, CV = 25 (percent), expected ratio = 95 (percent), target power = 80 (percent).</w:t>
      </w:r>
    </w:p>
    <w:p w14:paraId="37CBD550" w14:textId="77777777" w:rsidR="00631871" w:rsidRDefault="0013387A">
      <w:pPr>
        <w:spacing w:after="120" w:line="276" w:lineRule="auto"/>
      </w:pPr>
      <w:r>
        <w:rPr>
          <w:b/>
          <w:bCs/>
        </w:rPr>
        <w:t xml:space="preserve">Questions: </w:t>
      </w:r>
      <w:r>
        <w:t>1) Subjects needed? 2) Power with 30 subjects? 3) Subjects needed at CV = 35%?</w:t>
      </w:r>
    </w:p>
    <w:p w14:paraId="21C32C71" w14:textId="77777777" w:rsidR="00631871" w:rsidRDefault="0013387A">
      <w:pPr>
        <w:spacing w:after="80" w:line="276" w:lineRule="auto"/>
      </w:pPr>
      <w:r>
        <w:rPr>
          <w:color w:val="555555"/>
          <w:sz w:val="20"/>
          <w:szCs w:val="20"/>
        </w:rPr>
        <w:t>Answers: 1) 28 subjects. 2) 83%. 3) 52 subjects.</w:t>
      </w:r>
    </w:p>
    <w:p w14:paraId="2D28BFED" w14:textId="77777777" w:rsidR="00631871" w:rsidRDefault="0013387A">
      <w:pPr>
        <w:pStyle w:val="Kop2"/>
      </w:pPr>
      <w:bookmarkStart w:id="37" w:name="_Toc241214370"/>
      <w:r>
        <w:t>Exercise 4: Partial AUC</w:t>
      </w:r>
      <w:bookmarkEnd w:id="37"/>
    </w:p>
    <w:p w14:paraId="6E0634A2" w14:textId="77777777" w:rsidR="00631871" w:rsidRDefault="0013387A">
      <w:pPr>
        <w:spacing w:after="120" w:line="276" w:lineRule="auto"/>
      </w:pPr>
      <w:r>
        <w:t>Use the crossover dataset from Exercise 2 (example_be_crossover.csv, sampled at 0, 0.25, 0.5, 1, 1.5, 2, 3, 4, 6, 8, 12 and 24 h). In All Subjects (Batch) add two intervals: 0 to 1 h, with Cmax and Tmax, and 4 h to the last measurable concentration. Then run Bioequivalence with the same intervals, 0–1 h pivotal and 4 h–t supportive, with the log-down method.</w:t>
      </w:r>
    </w:p>
    <w:p w14:paraId="7F1E2ECC" w14:textId="77777777" w:rsidR="00631871" w:rsidRDefault="0013387A">
      <w:pPr>
        <w:spacing w:after="120" w:line="276" w:lineRule="auto"/>
      </w:pPr>
      <w:r>
        <w:rPr>
          <w:b/>
        </w:rPr>
        <w:t xml:space="preserve">Questions: </w:t>
      </w:r>
      <w:r>
        <w:t xml:space="preserve">1) Work out AUC 0–1 h for subject 1 under Test by hand, from the first four samples (0, 12.3, 45.6 and 89.2 ng/mL), and compare it with the table. 2) Ratio and 90% CI </w:t>
      </w:r>
      <w:r>
        <w:lastRenderedPageBreak/>
        <w:t>for AUC 0–1 h? 3) What does the table show for AUC 4 h–t, and why? 4) Ratio for Cmax within 0–1 h?</w:t>
      </w:r>
    </w:p>
    <w:p w14:paraId="43F6435E" w14:textId="77777777" w:rsidR="00631871" w:rsidRDefault="0013387A">
      <w:pPr>
        <w:spacing w:after="120" w:line="276" w:lineRule="auto"/>
      </w:pPr>
      <w:r>
        <w:rPr>
          <w:color w:val="555555"/>
          <w:sz w:val="20"/>
        </w:rPr>
        <w:t>Answers: 1) 42.475 ng/mL·h (1.5375 + 7.2375 + 33.7); the concentrations rise throughout, so both trapezoidal methods give the same value. 2) 113.55% (110.90–116.25%), so bioequivalent. 3) 112.54% (110.10–115.05%) without a verdict, because that interval is supportive. 4) 110.69% (108.31–113.11%).</w:t>
      </w:r>
    </w:p>
    <w:p w14:paraId="578C9E60" w14:textId="77777777" w:rsidR="00631871" w:rsidRDefault="0013387A">
      <w:r>
        <w:br w:type="page"/>
      </w:r>
    </w:p>
    <w:p w14:paraId="48A4B2F9" w14:textId="77777777" w:rsidR="00631871" w:rsidRDefault="0013387A">
      <w:pPr>
        <w:pStyle w:val="Kop1"/>
      </w:pPr>
      <w:bookmarkStart w:id="38" w:name="_Toc241214371"/>
      <w:r>
        <w:lastRenderedPageBreak/>
        <w:t>Part V: Theoretical Background</w:t>
      </w:r>
      <w:bookmarkEnd w:id="38"/>
    </w:p>
    <w:p w14:paraId="7172DC16" w14:textId="77777777" w:rsidR="00631871" w:rsidRDefault="0013387A">
      <w:pPr>
        <w:pStyle w:val="Kop2"/>
      </w:pPr>
      <w:bookmarkStart w:id="39" w:name="_Toc241214372"/>
      <w:r>
        <w:t>Trapezoidal Methods for AUC Calculation</w:t>
      </w:r>
      <w:bookmarkEnd w:id="39"/>
    </w:p>
    <w:p w14:paraId="5E722BD4" w14:textId="77777777" w:rsidR="00631871" w:rsidRDefault="0013387A">
      <w:pPr>
        <w:pStyle w:val="Kop3"/>
      </w:pPr>
      <w:r>
        <w:t>The Linear Trapezoidal Rule</w:t>
      </w:r>
    </w:p>
    <w:p w14:paraId="5D085D2C"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24EB562D" w14:textId="77777777" w:rsidR="00631871" w:rsidRDefault="0013387A">
      <w:pPr>
        <w:spacing w:before="80" w:after="80"/>
        <w:ind w:left="720"/>
      </w:pPr>
      <w:r>
        <w:rPr>
          <w:rFonts w:ascii="Courier New" w:eastAsia="Courier New" w:hAnsi="Courier New" w:cs="Courier New"/>
          <w:color w:val="2C3E50"/>
          <w:sz w:val="21"/>
          <w:szCs w:val="21"/>
        </w:rPr>
        <w:t>AUC(i) = (t(i+1) − t(i)) × (C(i) + C(i+1)) / 2</w:t>
      </w:r>
    </w:p>
    <w:p w14:paraId="7355B31E"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39C57DA2" w14:textId="77777777" w:rsidR="00631871" w:rsidRDefault="0013387A">
      <w:pPr>
        <w:pStyle w:val="Kop3"/>
      </w:pPr>
      <w:r>
        <w:t>The Logarithmic Trapezoidal Rule</w:t>
      </w:r>
    </w:p>
    <w:p w14:paraId="687193BB" w14:textId="77777777" w:rsidR="00631871" w:rsidRDefault="0013387A">
      <w:pPr>
        <w:spacing w:after="120" w:line="276" w:lineRule="auto"/>
      </w:pPr>
      <w:r>
        <w:t>If the concentration declines mono-exponentially between two points, the exact integral yields:</w:t>
      </w:r>
    </w:p>
    <w:p w14:paraId="683D4BA4" w14:textId="77777777" w:rsidR="00631871" w:rsidRDefault="0013387A">
      <w:pPr>
        <w:spacing w:before="80" w:after="80"/>
        <w:ind w:left="720"/>
      </w:pPr>
      <w:r>
        <w:rPr>
          <w:rFonts w:ascii="Courier New" w:eastAsia="Courier New" w:hAnsi="Courier New" w:cs="Courier New"/>
          <w:color w:val="2C3E50"/>
          <w:sz w:val="21"/>
          <w:szCs w:val="21"/>
        </w:rPr>
        <w:t>AUC(i) = (t(i+1) − t(i)) × (C(i) − C(i+1)) / (ln C(i) − ln C(i+1))</w:t>
      </w:r>
    </w:p>
    <w:p w14:paraId="128BC333" w14:textId="77777777" w:rsidR="00631871" w:rsidRDefault="0013387A">
      <w:pPr>
        <w:spacing w:after="120" w:line="276" w:lineRule="auto"/>
      </w:pPr>
      <w:r>
        <w:t>This gives a more accurate estimate during the terminal phase. It requires both concentrations to be positive.</w:t>
      </w:r>
    </w:p>
    <w:p w14:paraId="16CC2F3B" w14:textId="77777777" w:rsidR="00631871" w:rsidRDefault="0013387A">
      <w:pPr>
        <w:pStyle w:val="Kop3"/>
      </w:pPr>
      <w:r>
        <w:t>The Linear-Up / Log-Down Hybrid</w:t>
      </w:r>
    </w:p>
    <w:p w14:paraId="323CAAA6" w14:textId="77777777" w:rsidR="00631871" w:rsidRDefault="0013387A">
      <w:pPr>
        <w:spacing w:after="120" w:line="276" w:lineRule="auto"/>
      </w:pPr>
      <w:r>
        <w:t>Proposed by Yeh and Kwan (1978): the linear formula while concentrations rise and the logarithmic formula while they fall. It is the default in NCA Assistant.</w:t>
      </w:r>
    </w:p>
    <w:p w14:paraId="7D0F449A" w14:textId="77777777" w:rsidR="00631871" w:rsidRDefault="0013387A">
      <w:pPr>
        <w:pStyle w:val="Kop3"/>
      </w:pPr>
      <w:r>
        <w:t>Two Special Cases</w:t>
      </w:r>
    </w:p>
    <w:p w14:paraId="4DC7C90C" w14:textId="77777777" w:rsidR="00631871" w:rsidRDefault="0013387A">
      <w:pPr>
        <w:spacing w:after="120" w:line="276" w:lineRule="auto"/>
      </w:pPr>
      <w:r>
        <w:t>A fall to zero. The logarithmic formula needs two positive concentrations, so it cannot be used when a BLQ sample set to 0 follows a measurable one. NonCompart then adds no area for that segment. The app uses the linear formula there instead, so the fall to zero is counted in AUC to last point, AUC∞ and everything derived from them.</w:t>
      </w:r>
    </w:p>
    <w:p w14:paraId="0478AA01" w14:textId="77777777" w:rsidR="00631871" w:rsidRDefault="0013387A">
      <w:pPr>
        <w:spacing w:after="120" w:line="276" w:lineRule="auto"/>
      </w:pPr>
      <w:r>
        <w:t>An IV bolus with a sample at time 0. After an IV bolus the concentration at time 0 is C0, the value just after the injection, not a pre-dose value. The app sets aside samples at or before time 0 and back-extrapolates C0 log-linearly from the first two concentrations when they decline; otherwise C0 is the first measured concentration.</w:t>
      </w:r>
    </w:p>
    <w:p w14:paraId="5C6B6F54" w14:textId="77777777" w:rsidR="00631871" w:rsidRDefault="0013387A">
      <w:pPr>
        <w:pStyle w:val="Kop2"/>
      </w:pPr>
      <w:bookmarkStart w:id="40" w:name="_Toc241214373"/>
      <w:r>
        <w:t>Terminal Phase Characterisation and Half-Life Estimation</w:t>
      </w:r>
      <w:bookmarkEnd w:id="40"/>
    </w:p>
    <w:p w14:paraId="209ADF3B" w14:textId="77777777" w:rsidR="00631871" w:rsidRDefault="0013387A">
      <w:pPr>
        <w:pStyle w:val="Kop3"/>
      </w:pPr>
      <w:r>
        <w:t>What Is the Terminal Phase?</w:t>
      </w:r>
    </w:p>
    <w:p w14:paraId="70729B9E" w14:textId="77777777" w:rsidR="00631871" w:rsidRDefault="0013387A">
      <w:pPr>
        <w:spacing w:after="120" w:line="276" w:lineRule="auto"/>
      </w:pPr>
      <w:r>
        <w:t>After distribution is complete, drug elimination follows C(t) = C</w:t>
      </w:r>
      <w:r>
        <w:rPr>
          <w:vertAlign w:val="subscript"/>
        </w:rPr>
        <w:t>0</w:t>
      </w:r>
      <w:r>
        <w:t xml:space="preserve"> · e</w:t>
      </w:r>
      <w:r>
        <w:rPr>
          <w:vertAlign w:val="superscript"/>
        </w:rPr>
        <w:t>−λz·t</w:t>
      </w:r>
      <w:r>
        <w:t>.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77C8FDA6" w14:textId="77777777" w:rsidR="00631871" w:rsidRDefault="0013387A">
      <w:pPr>
        <w:pStyle w:val="Kop3"/>
      </w:pPr>
      <w:r>
        <w:t>Automated Point Selection</w:t>
      </w:r>
    </w:p>
    <w:p w14:paraId="74B7AFE1" w14:textId="77777777" w:rsidR="00631871" w:rsidRDefault="0013387A">
      <w:pPr>
        <w:spacing w:after="120" w:line="276" w:lineRule="auto"/>
      </w:pPr>
      <w:r>
        <w:t xml:space="preserve">NCA Assistant uses NonCompart's slope selection, the same for the results table and the Half-Life Review. It fits log-linear regressions to the last 3, 4, 5, … points (after extravascular dosing only points after Cmax are used, and never values set by a BLQ rule) and takes the fit with the highest adjusted R²; fits within 0.0001 of the best prefer more points. If that fit has an adjusted R² below the minimum (slider, default 0.70), the profile gets no half-life, and </w:t>
      </w:r>
      <w:r>
        <w:lastRenderedPageBreak/>
        <w:t>AUC∞, CL/F, Vz/F and MRT are left empty too; a note names the profile. This happens when the terminal phase is poorly sampled, when late samples are near the LLOQ, or when elimination is multi-phasic. A lower minimum accepts noisier fits.</w:t>
      </w:r>
    </w:p>
    <w:p w14:paraId="45E33E34" w14:textId="77777777" w:rsidR="00631871" w:rsidRDefault="0013387A">
      <w:pPr>
        <w:pStyle w:val="Kop3"/>
      </w:pPr>
      <w:r>
        <w:t>Manual Point Selection</w:t>
      </w:r>
    </w:p>
    <w:p w14:paraId="39D62749" w14:textId="77777777" w:rsidR="00631871" w:rsidRDefault="0013387A">
      <w:pPr>
        <w:spacing w:after="120" w:line="276" w:lineRule="auto"/>
      </w:pPr>
      <w:r>
        <w:t>Adjust the points yourself for multi-phasic elimination, flip-flop kinetics, enterohepatic recirculation or late samples near the LLOQ. In Half-Life Review, select a profile, tick the terminal-phase points and click “Recalculate”. At least 2 points are needed, and the slope must be negative. NonCompart then recomputes half-life, AUC∞, CL/F, Vz/F and MRT from those points, with its unit conversions. A hand-picked selection is used whatever its adjusted R², so judge the fit on the plot. Selections are kept when you run the analysis again and are listed in the Analysis Record. AUC % Extrapolated is the share of AUC∞ that lies beyond the last measured concentration. Values above 20% are flagged in amber: the extrapolation then carries much of the total, so check the terminal phase and consider reporting AUClast as the primary endpoint.</w:t>
      </w:r>
    </w:p>
    <w:p w14:paraId="67ADDF8D" w14:textId="77777777" w:rsidR="00631871" w:rsidRDefault="0013387A">
      <w:pPr>
        <w:pStyle w:val="Kop2"/>
      </w:pPr>
      <w:bookmarkStart w:id="41" w:name="_Toc241214374"/>
      <w:r>
        <w:t>BLQ Handling: Pharmacological Rationale</w:t>
      </w:r>
      <w:bookmarkEnd w:id="41"/>
    </w:p>
    <w:p w14:paraId="146621BB" w14:textId="77777777" w:rsidR="00631871" w:rsidRDefault="0013387A">
      <w:pPr>
        <w:spacing w:after="120" w:line="276" w:lineRule="auto"/>
      </w:pPr>
      <w:r>
        <w:t>Every assay has a lower limit of quantification (LLOQ). How BLQ samples are handled changes AUC. Setting early BLQ samples to 0 is usual before absorption; treating late BLQ samples as missing avoids adding area that was never measured. LLOQ/2 is a compromise that adds a little area wherever it is used. Rule 1, the default, is the most common choice in NCA. Rule 6 (LLOQ/2 between dosing and the first measurable sample, zero otherwise) suits drugs with an absorption lag. Running two rules and comparing the results shows how much the choice matters. Beal (2001) compares methods for BLQ data in model-based (population) analysis, not in NCA.</w:t>
      </w:r>
    </w:p>
    <w:p w14:paraId="59833F58" w14:textId="77777777" w:rsidR="00631871" w:rsidRDefault="0013387A">
      <w:pPr>
        <w:pStyle w:val="Kop2"/>
      </w:pPr>
      <w:bookmarkStart w:id="42" w:name="_Toc241214375"/>
      <w:r>
        <w:t>Steady-State Considerations</w:t>
      </w:r>
      <w:bookmarkEnd w:id="42"/>
    </w:p>
    <w:p w14:paraId="0F57BB65" w14:textId="77777777" w:rsidR="00631871" w:rsidRDefault="0013387A">
      <w:pPr>
        <w:spacing w:after="120" w:line="276" w:lineRule="auto"/>
      </w:pPr>
      <w:r>
        <w:t>At steady state AUCτ replaces AUC∞. You enter the dosing interval τ; AUCτ is the AUC from 0 to τ, interpolated between samples and extrapolated with λz when the last sample is missing or earlier than τ (not reported if that fit was rejected). Cavg = AUCτ/τ, Cmin is the lowest concentration between 0 and τ, fluctuation = (Cmax − Cmin)/Cavg × 100 and swing = (Cmax − Cmin)/Cmin. CL/F and Vz/F are calculated from AUCτ. AUC∞ is not meaningful during repeated dosing, and a half-life from one interval is unreliable when the interval does not cover the terminal phase. Vss and MRT from the single-dose formulas are not reported at steady state.</w:t>
      </w:r>
    </w:p>
    <w:p w14:paraId="1B21F6C7" w14:textId="77777777" w:rsidR="00631871" w:rsidRDefault="0013387A">
      <w:pPr>
        <w:pStyle w:val="Kop2"/>
      </w:pPr>
      <w:bookmarkStart w:id="43" w:name="_Toc241214376"/>
      <w:r>
        <w:t>Partial AUCs: Interpolation and the End of the Interval</w:t>
      </w:r>
      <w:bookmarkEnd w:id="43"/>
    </w:p>
    <w:p w14:paraId="0104E1AD" w14:textId="77777777" w:rsidR="00631871" w:rsidRDefault="0013387A">
      <w:pPr>
        <w:spacing w:after="120" w:line="276" w:lineRule="auto"/>
      </w:pPr>
      <w:r>
        <w:t>A partial AUC is the area over part of the profile. With both cutoffs on sampling times it is simply the sum of the trapezoids between them.</w:t>
      </w:r>
    </w:p>
    <w:p w14:paraId="335251DC" w14:textId="77777777" w:rsidR="00631871" w:rsidRDefault="0013387A">
      <w:pPr>
        <w:spacing w:after="120" w:line="276" w:lineRule="auto"/>
      </w:pPr>
      <w:r>
        <w:t>A cutoff between two samples has to be interpolated: linearly, or log-linearly on a falling segment when you chose linear-up/log-down. The two methods differ most where the curve bends, which is why a protocol that asks for a partial AUC should schedule a sample at the cutoff.</w:t>
      </w:r>
    </w:p>
    <w:p w14:paraId="781B3E9C" w14:textId="77777777" w:rsidR="00631871" w:rsidRDefault="0013387A">
      <w:pPr>
        <w:spacing w:after="120" w:line="276" w:lineRule="auto"/>
      </w:pPr>
      <w:r>
        <w:t xml:space="preserve">An interval can end at t, the time of the last measurable concentration. That time belongs to the profile, not to the sampling schedule: a later sample that came back below the limit of </w:t>
      </w:r>
      <w:r>
        <w:lastRenderedPageBreak/>
        <w:t>quantification does not extend it. The app calculates such an interval as AUC0–t minus the AUC from 0 to the start, so an interval ending exactly at the last measurable time gives the same number.</w:t>
      </w:r>
    </w:p>
    <w:p w14:paraId="483DDC46" w14:textId="77777777" w:rsidR="00631871" w:rsidRDefault="0013387A">
      <w:pPr>
        <w:spacing w:after="120" w:line="276" w:lineRule="auto"/>
      </w:pPr>
      <w:r>
        <w:t>Past that point nothing is reported. Extrapolating with λz would turn an observed exposure metric into a model-based one, and it would do so for the profiles that carry the least information.</w:t>
      </w:r>
    </w:p>
    <w:p w14:paraId="33BCD26E" w14:textId="77777777" w:rsidR="00631871" w:rsidRDefault="0013387A">
      <w:r>
        <w:br w:type="page"/>
      </w:r>
    </w:p>
    <w:p w14:paraId="6DE19D66" w14:textId="77777777" w:rsidR="00631871" w:rsidRDefault="0013387A">
      <w:pPr>
        <w:pStyle w:val="Kop1"/>
      </w:pPr>
      <w:bookmarkStart w:id="44" w:name="_Toc241214377"/>
      <w:r>
        <w:lastRenderedPageBreak/>
        <w:t>Part VI: Statistical Methods</w:t>
      </w:r>
      <w:bookmarkEnd w:id="44"/>
    </w:p>
    <w:p w14:paraId="03605149" w14:textId="77777777" w:rsidR="00631871" w:rsidRDefault="0013387A">
      <w:pPr>
        <w:pStyle w:val="Kop2"/>
      </w:pPr>
      <w:bookmarkStart w:id="45" w:name="_Toc241214378"/>
      <w:r>
        <w:t>The Two One-Sided Tests (TOST) Procedure</w:t>
      </w:r>
      <w:bookmarkEnd w:id="45"/>
    </w:p>
    <w:p w14:paraId="211B2155"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28DA7C1E" w14:textId="77777777" w:rsidR="00631871" w:rsidRDefault="0013387A">
      <w:pPr>
        <w:spacing w:before="80" w:after="80"/>
        <w:ind w:left="720"/>
      </w:pPr>
      <w:r>
        <w:rPr>
          <w:rFonts w:ascii="Courier New" w:eastAsia="Courier New" w:hAnsi="Courier New" w:cs="Courier New"/>
          <w:color w:val="2C3E50"/>
          <w:sz w:val="21"/>
          <w:szCs w:val="21"/>
        </w:rPr>
        <w:t>H₀₁: μ(T)/μ(R) ≤ 0.80   (ratio too low)</w:t>
      </w:r>
    </w:p>
    <w:p w14:paraId="60D85440" w14:textId="77777777" w:rsidR="00631871" w:rsidRDefault="0013387A">
      <w:pPr>
        <w:spacing w:before="80" w:after="80"/>
        <w:ind w:left="720"/>
      </w:pPr>
      <w:r>
        <w:rPr>
          <w:rFonts w:ascii="Courier New" w:eastAsia="Courier New" w:hAnsi="Courier New" w:cs="Courier New"/>
          <w:color w:val="2C3E50"/>
          <w:sz w:val="21"/>
          <w:szCs w:val="21"/>
        </w:rPr>
        <w:t>H₀₂: μ(T)/μ(R) ≥ 1.25   (ratio too high)</w:t>
      </w:r>
    </w:p>
    <w:p w14:paraId="662514C8"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379B2E53" w14:textId="77777777" w:rsidR="00631871" w:rsidRDefault="0013387A">
      <w:pPr>
        <w:pStyle w:val="Kop2"/>
      </w:pPr>
      <w:bookmarkStart w:id="46" w:name="_Toc241214379"/>
      <w:r>
        <w:t>The ANOVA Model for Crossover Designs</w:t>
      </w:r>
      <w:bookmarkEnd w:id="46"/>
    </w:p>
    <w:p w14:paraId="574CEEAF" w14:textId="77777777" w:rsidR="00631871" w:rsidRDefault="0013387A">
      <w:pPr>
        <w:spacing w:after="120" w:line="276" w:lineRule="auto"/>
      </w:pPr>
      <w:r>
        <w:t>The standard model for a 2×2×2 crossover:</w:t>
      </w:r>
    </w:p>
    <w:p w14:paraId="3D6D82D2" w14:textId="77777777" w:rsidR="00631871" w:rsidRDefault="0013387A">
      <w:pPr>
        <w:spacing w:before="80" w:after="80"/>
        <w:ind w:left="720"/>
      </w:pPr>
      <w:r>
        <w:rPr>
          <w:rFonts w:ascii="Courier New" w:eastAsia="Courier New" w:hAnsi="Courier New" w:cs="Courier New"/>
          <w:color w:val="2C3E50"/>
          <w:sz w:val="21"/>
          <w:szCs w:val="21"/>
        </w:rPr>
        <w:t>ln(Y) = μ + SEQ + SUBJ(SEQ) + PER + TRT + ε</w:t>
      </w:r>
    </w:p>
    <w:p w14:paraId="2D408490" w14:textId="77777777" w:rsidR="00631871" w:rsidRDefault="0013387A">
      <w:pPr>
        <w:spacing w:after="120" w:line="276" w:lineRule="auto"/>
      </w:pPr>
      <w:r>
        <w:t>SEQ accounts for differences between sequence groups, SUBJ removes between-subject variability from the residual, PER accounts for changes between periods, and TRT is the effect of interest: its coefficient estimates the log-ratio of geometric means. NCA Assistant fits this model for all crossover designs, with Sequence, Subject, Period and Treatment as factors; with fixed effects this is EMA Method A.</w:t>
      </w:r>
    </w:p>
    <w:p w14:paraId="1F2A4CB9" w14:textId="77777777" w:rsidR="00631871" w:rsidRDefault="0013387A">
      <w:pPr>
        <w:pStyle w:val="Kop2"/>
      </w:pPr>
      <w:bookmarkStart w:id="47" w:name="_Toc241214380"/>
      <w:r>
        <w:t>Fixed-Effects vs. Mixed-Effects Models</w:t>
      </w:r>
      <w:bookmarkEnd w:id="47"/>
    </w:p>
    <w:p w14:paraId="34CE28D4" w14:textId="77777777" w:rsidR="00631871" w:rsidRDefault="0013387A">
      <w:pPr>
        <w:spacing w:after="120" w:line="276" w:lineRule="auto"/>
      </w:pPr>
      <w:r>
        <w:t>Fixed effects (lm): all terms, including Subject, are fixed (EMA Method A). The EMA guideline asks for fixed effects. Subjects without both treatments do not contribute to the comparison (complete-case analysis). Residual df = N − 2 for a balanced 2×2×2.</w:t>
      </w:r>
    </w:p>
    <w:p w14:paraId="64011BC3" w14:textId="77777777" w:rsidR="00631871" w:rsidRDefault="0013387A">
      <w:pPr>
        <w:spacing w:after="120" w:line="276" w:lineRule="auto"/>
      </w:pPr>
      <w:r>
        <w:t>Mixed effects (nlme::lme): Subject is a random intercept. Subjects with only one treatment still contribute, which can help with dropouts. Denominator df use the containment method. Use the model your protocol or statistical analysis plan specifies. If the mixed model was chosen and cannot be fitted, the app shows the fixed-effects result for information, says so in the Model column, and gives no verdict: ICH M13A does not allow the model to be changed after the data are seen. This is EMA Method B (one within-subject variance; results agree with replicateBE). It is not the FDA model for replicate designs, which has separate Test and Reference variances, a subject-by-formulation interaction and Satterthwaite degrees of freedom.</w:t>
      </w:r>
    </w:p>
    <w:p w14:paraId="19930460" w14:textId="77777777" w:rsidR="00631871" w:rsidRDefault="0013387A">
      <w:pPr>
        <w:pStyle w:val="Kop2"/>
      </w:pPr>
      <w:bookmarkStart w:id="48" w:name="_Toc241214381"/>
      <w:r>
        <w:t>Confidence Interval Construction</w:t>
      </w:r>
      <w:bookmarkEnd w:id="48"/>
    </w:p>
    <w:p w14:paraId="381B8601" w14:textId="77777777" w:rsidR="00631871" w:rsidRDefault="0013387A">
      <w:pPr>
        <w:spacing w:before="80" w:after="80"/>
        <w:ind w:left="720"/>
      </w:pPr>
      <w:r>
        <w:rPr>
          <w:rFonts w:ascii="Courier New" w:eastAsia="Courier New" w:hAnsi="Courier New" w:cs="Courier New"/>
          <w:color w:val="2C3E50"/>
          <w:sz w:val="21"/>
          <w:szCs w:val="21"/>
        </w:rPr>
        <w:t>90% CI = exp(δ ± t(0.95, df) × SE(δ)) × 100%</w:t>
      </w:r>
    </w:p>
    <w:p w14:paraId="12F0B7DF" w14:textId="77777777" w:rsidR="00631871" w:rsidRDefault="0013387A">
      <w:pPr>
        <w:spacing w:after="120" w:line="276" w:lineRule="auto"/>
      </w:pPr>
      <w:r>
        <w:t xml:space="preserve">where δ is the treatment coefficient on the log scale, SE its standard error from the model, and df the denominator degrees of freedom. The limits are rounded to two decimals before comparison with the acceptance limits (FDA, 2026). Bioequivalence is concluded when the rounded interval lies within the limits (80.00–125.00% by default) and, for wider limits, the point estimate lies within 80.00–125.00%. A verdict is given only for the 90% interval, which corresponds to the two one-sided tests at α = 0.05; at another level the app shows the </w:t>
      </w:r>
      <w:r>
        <w:lastRenderedPageBreak/>
        <w:t>interval without a verdict. Widened limits apply to Cmax only, unless you choose all compared metrics.</w:t>
      </w:r>
    </w:p>
    <w:p w14:paraId="37CAA1E1" w14:textId="77777777" w:rsidR="00631871" w:rsidRDefault="0013387A">
      <w:pPr>
        <w:pStyle w:val="Kop2"/>
      </w:pPr>
      <w:bookmarkStart w:id="49" w:name="_Toc241214382"/>
      <w:r>
        <w:t>Design-Specific Models</w:t>
      </w:r>
      <w:bookmarkEnd w:id="49"/>
    </w:p>
    <w:p w14:paraId="73B11398" w14:textId="77777777" w:rsidR="00631871" w:rsidRDefault="0013387A">
      <w:pPr>
        <w:spacing w:after="120" w:line="276" w:lineRule="auto"/>
      </w:pPr>
      <w:r>
        <w:rPr>
          <w:b/>
          <w:bCs/>
        </w:rPr>
        <w:t xml:space="preserve">Paired comparison: </w:t>
      </w:r>
      <w:r>
        <w:t>ln(Y) = μ + SUBJ + TRT + ε, equivalent to a paired t-test; df = N − 1. Ratio and interval only, no verdict.</w:t>
      </w:r>
    </w:p>
    <w:p w14:paraId="6B49ACC5" w14:textId="77777777" w:rsidR="00631871" w:rsidRDefault="0013387A">
      <w:pPr>
        <w:spacing w:after="120" w:line="276" w:lineRule="auto"/>
      </w:pPr>
      <w:r>
        <w:rPr>
          <w:b/>
          <w:bCs/>
        </w:rPr>
        <w:t xml:space="preserve">Parallel design: </w:t>
      </w:r>
      <w:r>
        <w:t>ln(Y) = μ + TRT + ε. df = N</w:t>
      </w:r>
      <w:r>
        <w:rPr>
          <w:vertAlign w:val="subscript"/>
        </w:rPr>
        <w:t>T</w:t>
      </w:r>
      <w:r>
        <w:t xml:space="preserve"> + N</w:t>
      </w:r>
      <w:r>
        <w:rPr>
          <w:vertAlign w:val="subscript"/>
        </w:rPr>
        <w:t>R</w:t>
      </w:r>
      <w:r>
        <w:t xml:space="preserve"> − 2. Differences between subjects enter the comparison, so more subjects are needed than in a crossover. The interval assumes equal variances in both groups (pooled variance). The app also calculates the Welch interval, which allows unequal variances, and reports it as a sensitivity result when it leads to a different conclusion.</w:t>
      </w:r>
    </w:p>
    <w:p w14:paraId="0475F9D5" w14:textId="77777777" w:rsidR="00631871" w:rsidRDefault="0013387A">
      <w:pPr>
        <w:spacing w:after="120" w:line="276" w:lineRule="auto"/>
      </w:pPr>
      <w:r>
        <w:rPr>
          <w:b/>
          <w:bCs/>
        </w:rPr>
        <w:t xml:space="preserve">Replicate designs: </w:t>
      </w:r>
      <w:r>
        <w:t>the same model, with Period at 3 or 4 levels; each administration enters once. The confidence interval uses average bioequivalence limits. The within-subject variability table uses a separate model per treatment (Sequence, Subject and Period, fitted to subjects with that treatment at least twice), as in the replicateBE package; the app's results agree with replicateBE on its 30 reference data sets.</w:t>
      </w:r>
    </w:p>
    <w:p w14:paraId="3CFE0206" w14:textId="77777777" w:rsidR="00631871" w:rsidRDefault="0013387A">
      <w:pPr>
        <w:pStyle w:val="Kop2"/>
      </w:pPr>
      <w:bookmarkStart w:id="50" w:name="_Toc241214383"/>
      <w:r>
        <w:t>Drug–Drug Interaction Analysis</w:t>
      </w:r>
      <w:bookmarkEnd w:id="50"/>
    </w:p>
    <w:p w14:paraId="77A06902" w14:textId="77777777" w:rsidR="00631871" w:rsidRDefault="0013387A">
      <w:pPr>
        <w:spacing w:after="120" w:line="276" w:lineRule="auto"/>
      </w:pPr>
      <w:r>
        <w:t>DDI studies use the same statistics as BE: the ANOVA model, the geometric mean ratio and its 90% confidence interval. The difference is the interpretation: the ratio is the fold-change in exposure caused by the interacting drug, judged against no-effect boundaries for the victim drug (see Part III) rather than BE acceptance limits.</w:t>
      </w:r>
    </w:p>
    <w:p w14:paraId="5FE960D8" w14:textId="77777777" w:rsidR="00631871" w:rsidRDefault="0013387A">
      <w:pPr>
        <w:spacing w:after="120" w:line="276" w:lineRule="auto"/>
      </w:pPr>
      <w:r>
        <w:t>ICH M12 on drug interaction studies (2024), published as guidance by EMA and FDA, asks for the geometric mean ratio of AUC and Cmax (and Cmin when relevant) with and without the precipitant, with its 90% confidence interval (section 5.2). Crossover studies, including one-sequence studies, are preferred over parallel designs (section 3.2.1).</w:t>
      </w:r>
    </w:p>
    <w:p w14:paraId="173526B2" w14:textId="77777777" w:rsidR="00631871" w:rsidRDefault="0013387A">
      <w:pPr>
        <w:pStyle w:val="Kop2"/>
      </w:pPr>
      <w:bookmarkStart w:id="51" w:name="_Toc241214384"/>
      <w:r>
        <w:t>Power and Sample Size for Bioequivalence</w:t>
      </w:r>
      <w:bookmarkEnd w:id="51"/>
    </w:p>
    <w:p w14:paraId="6D1A478A" w14:textId="77777777" w:rsidR="00631871" w:rsidRDefault="0013387A">
      <w:pPr>
        <w:spacing w:after="120" w:line="276" w:lineRule="auto"/>
      </w:pPr>
      <w:r>
        <w:t>Exact power via Owen’s Q function for standard ABE. For ABEL, RSABE and NTID, power is simulated in PowerTOST: 100,000 simulated studies for the sample size, 10,000 for power and the power curve. Inputs: within-subject CV (for scaled methods, of Test and Reference), expected ratio, target power and design. A higher CV or a ratio further from 100% needs more subjects; a crossover needs fewer subjects than a parallel design.</w:t>
      </w:r>
    </w:p>
    <w:p w14:paraId="243760E9" w14:textId="77777777" w:rsidR="00631871" w:rsidRDefault="0013387A">
      <w:pPr>
        <w:spacing w:after="80" w:line="276" w:lineRule="auto"/>
      </w:pPr>
      <w:r>
        <w:rPr>
          <w:color w:val="555555"/>
          <w:sz w:val="20"/>
          <w:szCs w:val="20"/>
        </w:rPr>
        <w:t>Practical guidance: without data, a CV of 30% is a cautious assumption. The expected ratio defaults to 95% for standard bioequivalence, 90% for highly variable drugs and 97.5% for narrow therapeutic index drugs; target power 80%, or 90% for studies where failure is costly. Check the sensitivity plot to see how N changes with the CV.</w:t>
      </w:r>
    </w:p>
    <w:p w14:paraId="08383363" w14:textId="77777777" w:rsidR="00631871" w:rsidRDefault="0013387A">
      <w:pPr>
        <w:pStyle w:val="Kop2"/>
      </w:pPr>
      <w:bookmarkStart w:id="52" w:name="_Toc241214385"/>
      <w:r>
        <w:t>Partial AUCs in Bioequivalence</w:t>
      </w:r>
      <w:bookmarkEnd w:id="52"/>
    </w:p>
    <w:p w14:paraId="6F181B27" w14:textId="77777777" w:rsidR="00631871" w:rsidRDefault="0013387A">
      <w:pPr>
        <w:spacing w:after="120" w:line="276" w:lineRule="auto"/>
      </w:pPr>
      <w:r>
        <w:t>Regulators ask for a partial AUC when two products can share Cmax and total AUC while the shape of the curve differs. FDA product-specific guidances name the metric and the interval per product; Hopefl et al. (2025) list the guidances published between 2020 and 2024.</w:t>
      </w:r>
    </w:p>
    <w:p w14:paraId="0AD69E3C" w14:textId="77777777" w:rsidR="00631871" w:rsidRDefault="0013387A">
      <w:pPr>
        <w:spacing w:after="120" w:line="276" w:lineRule="auto"/>
      </w:pPr>
      <w:r>
        <w:lastRenderedPageBreak/>
        <w:t>The statistics do not change. A partial AUC is log-transformed and analysed with the same model and confidence interval as Cmax and AUC. The interval comes from the protocol; choosing it after seeing the data inflates the chance of a false conclusion of equivalence.</w:t>
      </w:r>
    </w:p>
    <w:p w14:paraId="66810909" w14:textId="77777777" w:rsidR="00631871" w:rsidRDefault="0013387A">
      <w:pPr>
        <w:spacing w:after="120" w:line="276" w:lineRule="auto"/>
      </w:pPr>
      <w:r>
        <w:t>A pivotal metric has to meet the acceptance limits, a supportive one is reported without a verdict. With several pivotal metrics each has to pass on its own. That is an intersection-union test, so no correction for multiple testing applies.</w:t>
      </w:r>
    </w:p>
    <w:p w14:paraId="7F4482AB" w14:textId="77777777" w:rsidR="00631871" w:rsidRDefault="0013387A">
      <w:pPr>
        <w:spacing w:after="120" w:line="276" w:lineRule="auto"/>
      </w:pPr>
      <w:r>
        <w:t>Zeros need care. An early interval with only BLQ samples can be exactly 0, which has no logarithm. Leaving those profiles out would remove the lowest exposures and push the ratio up, so the app reports no estimate and no verdict for that metric and shows how many zero values each treatment had.</w:t>
      </w:r>
    </w:p>
    <w:p w14:paraId="6F26D306" w14:textId="77777777" w:rsidR="00631871" w:rsidRDefault="0013387A">
      <w:pPr>
        <w:spacing w:after="120" w:line="276" w:lineRule="auto"/>
      </w:pPr>
      <w:r>
        <w:t>For every metric the table also counts, per treatment, the profiles that had no value, the profiles with a value of zero, and the profiles resting mainly on concentrations set by the BLQ rule. The last count matters because such a profile can pull a ratio on the log scale without ever being zero: under Rule 1 an early window may be exactly zero and get no verdict, while under Rule 6 the same sample becomes LLOQ/2 and the metric keeps a verdict that one imputed value helped to decide.</w:t>
      </w:r>
    </w:p>
    <w:p w14:paraId="3F7A6F1D" w14:textId="77777777" w:rsidR="00631871" w:rsidRDefault="0013387A">
      <w:pPr>
        <w:spacing w:after="120" w:line="276" w:lineRule="auto"/>
      </w:pPr>
      <w:r>
        <w:t>The EMA allows the acceptance criteria for a partial AUC to be widened in the same way as for Cmax of a highly variable product (EMA/CHMP/EWP/280/96 Rev1, section 6.8.2.2). The app does not scale limits: for a replicate design it shows CVwR and the limits it would imply, and it applies the limits you enter, to partial AUCs only when you choose “All compared metrics”. The same guideline recommends an early and a terminal partial AUC, split at a pre-specified cut-off such as half the dosing interval, when a single-dose study replaces a multiple-dose study.</w:t>
      </w:r>
    </w:p>
    <w:p w14:paraId="0255E99D" w14:textId="77777777" w:rsidR="00631871" w:rsidRDefault="0013387A">
      <w:pPr>
        <w:spacing w:after="120" w:line="276" w:lineRule="auto"/>
      </w:pPr>
      <w:r>
        <w:t>Plan such a study with the CV of the partial AUC itself. For loxapine inhalation powder the within-subject CV was above 30% for AUC 0–10 min but below 30% for AUC 0–30 min, which is why the 30-minute window became the pivotal metric (Hopefl et al., 2025).</w:t>
      </w:r>
    </w:p>
    <w:p w14:paraId="7B8D9425" w14:textId="77777777" w:rsidR="00631871" w:rsidRDefault="0013387A">
      <w:pPr>
        <w:pStyle w:val="Kop2"/>
      </w:pPr>
      <w:bookmarkStart w:id="53" w:name="_Toc241214386"/>
      <w:r>
        <w:t>Regulatory Guidelines</w:t>
      </w:r>
      <w:bookmarkEnd w:id="53"/>
    </w:p>
    <w:p w14:paraId="017956EA" w14:textId="77777777" w:rsidR="00631871" w:rsidRDefault="0013387A">
      <w:pPr>
        <w:spacing w:after="120" w:line="276" w:lineRule="auto"/>
      </w:pPr>
      <w:r>
        <w:rPr>
          <w:b/>
          <w:bCs/>
        </w:rPr>
        <w:t>EMA Guideline on Bioequivalence</w:t>
      </w:r>
      <w:r>
        <w:t xml:space="preserve"> (CPMP/EWP/QWP/1401/98 Rev. 1, 2010): https://www.ema.europa.eu/en/investigation-bioequivalence-scientific-guideline</w:t>
      </w:r>
    </w:p>
    <w:p w14:paraId="27081212" w14:textId="77777777" w:rsidR="00631871" w:rsidRDefault="0013387A">
      <w:pPr>
        <w:spacing w:after="120" w:line="276" w:lineRule="auto"/>
      </w:pPr>
      <w:r>
        <w:rPr>
          <w:b/>
          <w:bCs/>
        </w:rPr>
        <w:t>FDA Statistical Approaches to Establishing Bioequivalence</w:t>
      </w:r>
      <w:r>
        <w:t xml:space="preserve"> (May 2026; replaces the 2001 guidance): https://www.fda.gov/regulatory-information/search-fda-guidance-documents/statistical-approaches-establishing-bioequivalence</w:t>
      </w:r>
    </w:p>
    <w:p w14:paraId="7BAA05D1" w14:textId="77777777" w:rsidR="00631871" w:rsidRDefault="0013387A">
      <w:pPr>
        <w:spacing w:after="120" w:line="276" w:lineRule="auto"/>
      </w:pPr>
      <w:r>
        <w:rPr>
          <w:b/>
          <w:bCs/>
        </w:rPr>
        <w:t>FDA Bioavailability Studies Submitted in NDAs or INDs: General Considerations</w:t>
      </w:r>
      <w:r>
        <w:t xml:space="preserve"> (2022; replaces the 2003 guidance): https://www.fda.gov/regulatory-information/search-fda-guidance-documents/bioavailability-studies-submitted-ndas-or-inds-general-considerations</w:t>
      </w:r>
    </w:p>
    <w:p w14:paraId="44AE20FE" w14:textId="77777777" w:rsidR="00631871" w:rsidRDefault="0013387A">
      <w:pPr>
        <w:spacing w:after="120" w:line="276" w:lineRule="auto"/>
      </w:pPr>
      <w:r>
        <w:rPr>
          <w:b/>
          <w:bCs/>
        </w:rPr>
        <w:t>ICH M13A Bioequivalence for Immediate-Release Solid Oral Dosage Forms (Step 4, 23 July 2024; in effect in the EU from 25 January 2025; published by ICH, EMA and FDA)</w:t>
      </w:r>
    </w:p>
    <w:p w14:paraId="241E9745" w14:textId="77777777" w:rsidR="00631871" w:rsidRDefault="0013387A">
      <w:pPr>
        <w:spacing w:after="120" w:line="276" w:lineRule="auto"/>
      </w:pPr>
      <w:r>
        <w:rPr>
          <w:b/>
          <w:bCs/>
        </w:rPr>
        <w:t>ICH M12 Drug Interaction Studies</w:t>
      </w:r>
      <w:r>
        <w:t xml:space="preserve"> (2024; published by EMA and FDA): https://www.ema.europa.eu/en/ich-m12-drug-interaction-studies-scientific-guideline</w:t>
      </w:r>
    </w:p>
    <w:p w14:paraId="67348E4E" w14:textId="77777777" w:rsidR="00631871" w:rsidRDefault="0013387A">
      <w:pPr>
        <w:spacing w:after="120" w:line="276" w:lineRule="auto"/>
      </w:pPr>
      <w:r>
        <w:rPr>
          <w:b/>
          <w:bCs/>
        </w:rPr>
        <w:t>CDISC SDTM Controlled Terminology</w:t>
      </w:r>
      <w:r>
        <w:t xml:space="preserve"> (release 2026-03-27, source of the parameter codes): https://evs.nci.nih.gov/ftp1/CDISC/SDTM/</w:t>
      </w:r>
    </w:p>
    <w:p w14:paraId="664444F6" w14:textId="77777777" w:rsidR="00631871" w:rsidRDefault="0013387A">
      <w:r>
        <w:br w:type="page"/>
      </w:r>
    </w:p>
    <w:p w14:paraId="64169085" w14:textId="77777777" w:rsidR="00631871" w:rsidRDefault="0013387A">
      <w:pPr>
        <w:pStyle w:val="Kop1"/>
      </w:pPr>
      <w:bookmarkStart w:id="54" w:name="_Toc241214387"/>
      <w:r>
        <w:lastRenderedPageBreak/>
        <w:t>Appendices</w:t>
      </w:r>
      <w:bookmarkEnd w:id="54"/>
    </w:p>
    <w:p w14:paraId="50B32185" w14:textId="77777777" w:rsidR="00631871" w:rsidRDefault="0013387A">
      <w:pPr>
        <w:pStyle w:val="Kop2"/>
      </w:pPr>
      <w:bookmarkStart w:id="55" w:name="_Toc241214388"/>
      <w:r>
        <w:t>Appendix A: Glossary</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39C71DBB"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319D80B" w14:textId="77777777" w:rsidR="00631871" w:rsidRDefault="0013387A">
            <w:r>
              <w:rPr>
                <w:b/>
                <w:bCs/>
                <w:color w:val="FFFFFF"/>
                <w:sz w:val="20"/>
                <w:szCs w:val="20"/>
              </w:rPr>
              <w:t>Abbreviation</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181C09E" w14:textId="77777777" w:rsidR="00631871" w:rsidRDefault="0013387A">
            <w:r>
              <w:rPr>
                <w:b/>
                <w:bCs/>
                <w:color w:val="FFFFFF"/>
                <w:sz w:val="20"/>
                <w:szCs w:val="20"/>
              </w:rPr>
              <w:t>Definition</w:t>
            </w:r>
          </w:p>
        </w:tc>
      </w:tr>
      <w:tr w:rsidR="00631871" w14:paraId="554BB3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C5F7C" w14:textId="77777777" w:rsidR="00631871" w:rsidRDefault="0013387A">
            <w:r>
              <w:rPr>
                <w:sz w:val="20"/>
                <w:szCs w:val="20"/>
              </w:rPr>
              <w:t>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D5A4" w14:textId="77777777" w:rsidR="00631871" w:rsidRDefault="0013387A">
            <w:r>
              <w:rPr>
                <w:sz w:val="20"/>
                <w:szCs w:val="20"/>
              </w:rPr>
              <w:t>Average Bioequivalence (80–125% limits by default)</w:t>
            </w:r>
          </w:p>
        </w:tc>
      </w:tr>
      <w:tr w:rsidR="00631871" w14:paraId="5095F3E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11E53" w14:textId="77777777" w:rsidR="00631871" w:rsidRDefault="0013387A">
            <w:r>
              <w:rPr>
                <w:sz w:val="20"/>
                <w:szCs w:val="20"/>
              </w:rPr>
              <w:t>ABEL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53097" w14:textId="77777777" w:rsidR="00631871" w:rsidRDefault="0013387A">
            <w:r>
              <w:rPr>
                <w:sz w:val="20"/>
                <w:szCs w:val="20"/>
              </w:rPr>
              <w:t>Average Bioequivalence with Expanding Limits (EMA, for HVDs)</w:t>
            </w:r>
          </w:p>
        </w:tc>
      </w:tr>
      <w:tr w:rsidR="00631871" w14:paraId="66D66A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B106E" w14:textId="77777777" w:rsidR="00631871" w:rsidRDefault="0013387A">
            <w:r>
              <w:rPr>
                <w:sz w:val="20"/>
                <w:szCs w:val="20"/>
              </w:rPr>
              <w:t>ADNCA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1D2F" w14:textId="77777777" w:rsidR="00631871" w:rsidRDefault="0013387A">
            <w:r>
              <w:rPr>
                <w:sz w:val="20"/>
                <w:szCs w:val="20"/>
              </w:rPr>
              <w:t>CDISC ADaM dataset for non-compartmental analysis</w:t>
            </w:r>
          </w:p>
        </w:tc>
      </w:tr>
      <w:tr w:rsidR="00631871" w14:paraId="4299E6A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E0267" w14:textId="77777777" w:rsidR="00631871" w:rsidRDefault="0013387A">
            <w:r>
              <w:rPr>
                <w:sz w:val="20"/>
                <w:szCs w:val="20"/>
              </w:rPr>
              <w:t>ANOVA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F194A" w14:textId="77777777" w:rsidR="00631871" w:rsidRDefault="0013387A">
            <w:r>
              <w:rPr>
                <w:sz w:val="20"/>
                <w:szCs w:val="20"/>
              </w:rPr>
              <w:t>Analysis of Variance</w:t>
            </w:r>
          </w:p>
        </w:tc>
      </w:tr>
      <w:tr w:rsidR="00631871" w14:paraId="026CDC1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1718D" w14:textId="77777777" w:rsidR="00631871" w:rsidRDefault="0013387A">
            <w:r>
              <w:rPr>
                <w:sz w:val="20"/>
                <w:szCs w:val="20"/>
              </w:rPr>
              <w:t>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DF780" w14:textId="77777777" w:rsidR="00631871" w:rsidRDefault="0013387A">
            <w:r>
              <w:rPr>
                <w:sz w:val="20"/>
                <w:szCs w:val="20"/>
              </w:rPr>
              <w:t>Area Under the Curve (total drug exposure)</w:t>
            </w:r>
          </w:p>
        </w:tc>
      </w:tr>
      <w:tr w:rsidR="00631871" w14:paraId="1E43E8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347AD" w14:textId="77777777" w:rsidR="00631871" w:rsidRDefault="0013387A">
            <w:r>
              <w:rPr>
                <w:sz w:val="20"/>
                <w:szCs w:val="20"/>
              </w:rPr>
              <w:t>AUCτ</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186FA" w14:textId="77777777" w:rsidR="00631871" w:rsidRDefault="0013387A">
            <w:r>
              <w:rPr>
                <w:sz w:val="20"/>
                <w:szCs w:val="20"/>
              </w:rPr>
              <w:t>AUC within the dosing interval (steady state)</w:t>
            </w:r>
          </w:p>
        </w:tc>
      </w:tr>
      <w:tr w:rsidR="00631871" w14:paraId="7D05EF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C31FF" w14:textId="77777777" w:rsidR="00631871" w:rsidRDefault="0013387A">
            <w:r>
              <w:rPr>
                <w:sz w:val="20"/>
                <w:szCs w:val="20"/>
              </w:rPr>
              <w:t>BLQ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6C379" w14:textId="77777777" w:rsidR="00631871" w:rsidRDefault="0013387A">
            <w:r>
              <w:rPr>
                <w:sz w:val="20"/>
                <w:szCs w:val="20"/>
              </w:rPr>
              <w:t>Below the Limit of Quantification</w:t>
            </w:r>
          </w:p>
        </w:tc>
      </w:tr>
      <w:tr w:rsidR="00631871" w14:paraId="1010920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FFBAD" w14:textId="77777777" w:rsidR="00631871" w:rsidRDefault="0013387A">
            <w:r>
              <w:rPr>
                <w:sz w:val="20"/>
                <w:szCs w:val="20"/>
              </w:rPr>
              <w:t>CL/F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70892" w14:textId="77777777" w:rsidR="00631871" w:rsidRDefault="0013387A">
            <w:r>
              <w:rPr>
                <w:sz w:val="20"/>
                <w:szCs w:val="20"/>
              </w:rPr>
              <w:t>Apparent clearance</w:t>
            </w:r>
          </w:p>
        </w:tc>
      </w:tr>
      <w:tr w:rsidR="00631871" w14:paraId="0B20B46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A082" w14:textId="77777777" w:rsidR="00631871" w:rsidRDefault="0013387A">
            <w:r>
              <w:rPr>
                <w:sz w:val="20"/>
                <w:szCs w:val="20"/>
              </w:rPr>
              <w:t>Cmax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07B23" w14:textId="77777777" w:rsidR="00631871" w:rsidRDefault="0013387A">
            <w:r>
              <w:rPr>
                <w:sz w:val="20"/>
                <w:szCs w:val="20"/>
              </w:rPr>
              <w:t>Maximum observed concentration</w:t>
            </w:r>
          </w:p>
        </w:tc>
      </w:tr>
      <w:tr w:rsidR="00631871" w14:paraId="7F71DD7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4855F" w14:textId="77777777" w:rsidR="00631871" w:rsidRDefault="0013387A">
            <w:r>
              <w:rPr>
                <w:sz w:val="20"/>
                <w:szCs w:val="20"/>
              </w:rPr>
              <w:t>CV%</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D2D5C" w14:textId="77777777" w:rsidR="00631871" w:rsidRDefault="0013387A">
            <w:r>
              <w:rPr>
                <w:sz w:val="20"/>
                <w:szCs w:val="20"/>
              </w:rPr>
              <w:t>Coefficient of Variation</w:t>
            </w:r>
          </w:p>
        </w:tc>
      </w:tr>
      <w:tr w:rsidR="00631871" w14:paraId="4366CB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A08AA" w14:textId="77777777" w:rsidR="00631871" w:rsidRDefault="0013387A">
            <w:r>
              <w:rPr>
                <w:sz w:val="20"/>
                <w:szCs w:val="20"/>
              </w:rPr>
              <w:t>CVwR / CVwT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B4F88" w14:textId="77777777" w:rsidR="00631871" w:rsidRDefault="0013387A">
            <w:r>
              <w:rPr>
                <w:sz w:val="20"/>
                <w:szCs w:val="20"/>
              </w:rPr>
              <w:t>Within-subject coefficient of variation of the Reference / Test</w:t>
            </w:r>
          </w:p>
        </w:tc>
      </w:tr>
      <w:tr w:rsidR="00631871" w14:paraId="796A4D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753EB" w14:textId="77777777" w:rsidR="00631871" w:rsidRDefault="0013387A">
            <w:r>
              <w:rPr>
                <w:sz w:val="20"/>
                <w:szCs w:val="20"/>
              </w:rPr>
              <w:t>DDI</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B4387" w14:textId="77777777" w:rsidR="00631871" w:rsidRDefault="0013387A">
            <w:r>
              <w:rPr>
                <w:sz w:val="20"/>
                <w:szCs w:val="20"/>
              </w:rPr>
              <w:t>Drug–Drug Interaction</w:t>
            </w:r>
          </w:p>
        </w:tc>
      </w:tr>
      <w:tr w:rsidR="00631871" w14:paraId="32698E0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602C3" w14:textId="77777777" w:rsidR="00631871" w:rsidRDefault="0013387A">
            <w:r>
              <w:rPr>
                <w:sz w:val="20"/>
                <w:szCs w:val="20"/>
              </w:rPr>
              <w:t>GMR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4EA33" w14:textId="77777777" w:rsidR="00631871" w:rsidRDefault="0013387A">
            <w:r>
              <w:rPr>
                <w:sz w:val="20"/>
                <w:szCs w:val="20"/>
              </w:rPr>
              <w:t>Geometric Mean Ratio (Test/Reference)</w:t>
            </w:r>
          </w:p>
        </w:tc>
      </w:tr>
      <w:tr w:rsidR="00631871" w14:paraId="3A879C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9905C" w14:textId="77777777" w:rsidR="00631871" w:rsidRDefault="0013387A">
            <w:r>
              <w:rPr>
                <w:sz w:val="20"/>
                <w:szCs w:val="20"/>
              </w:rPr>
              <w:t>HVD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3E4A6" w14:textId="77777777" w:rsidR="00631871" w:rsidRDefault="0013387A">
            <w:r>
              <w:rPr>
                <w:sz w:val="20"/>
                <w:szCs w:val="20"/>
              </w:rPr>
              <w:t>Highly Variable Drug (within-subject CV of the Reference above 30%)</w:t>
            </w:r>
          </w:p>
        </w:tc>
      </w:tr>
      <w:tr w:rsidR="00631871" w14:paraId="3269D08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15ACC" w14:textId="77777777" w:rsidR="00631871" w:rsidRDefault="0013387A">
            <w:r>
              <w:rPr>
                <w:sz w:val="20"/>
                <w:szCs w:val="20"/>
              </w:rPr>
              <w:t>LLOQ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53C5F" w14:textId="77777777" w:rsidR="00631871" w:rsidRDefault="0013387A">
            <w:r>
              <w:rPr>
                <w:sz w:val="20"/>
                <w:szCs w:val="20"/>
              </w:rPr>
              <w:t>Lower Limit of Quantification</w:t>
            </w:r>
          </w:p>
        </w:tc>
      </w:tr>
      <w:tr w:rsidR="00631871" w14:paraId="4250671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14726" w14:textId="77777777" w:rsidR="00631871" w:rsidRDefault="0013387A">
            <w:r>
              <w:rPr>
                <w:sz w:val="20"/>
                <w:szCs w:val="20"/>
              </w:rPr>
              <w:t>MRT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34590" w14:textId="77777777" w:rsidR="00631871" w:rsidRDefault="0013387A">
            <w:r>
              <w:rPr>
                <w:sz w:val="20"/>
                <w:szCs w:val="20"/>
              </w:rPr>
              <w:t>Mean Residence Time</w:t>
            </w:r>
          </w:p>
        </w:tc>
      </w:tr>
      <w:tr w:rsidR="00631871" w14:paraId="038A9E4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0165B" w14:textId="77777777" w:rsidR="00631871" w:rsidRDefault="0013387A">
            <w:r>
              <w:rPr>
                <w:sz w:val="20"/>
                <w:szCs w:val="20"/>
              </w:rPr>
              <w:t>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66698" w14:textId="77777777" w:rsidR="00631871" w:rsidRDefault="0013387A">
            <w:r>
              <w:rPr>
                <w:sz w:val="20"/>
                <w:szCs w:val="20"/>
              </w:rPr>
              <w:t>Non-Compartmental Analysis</w:t>
            </w:r>
          </w:p>
        </w:tc>
      </w:tr>
      <w:tr w:rsidR="00631871" w14:paraId="5B3D31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6C116" w14:textId="77777777" w:rsidR="00631871" w:rsidRDefault="0013387A">
            <w:r>
              <w:rPr>
                <w:sz w:val="20"/>
                <w:szCs w:val="20"/>
              </w:rPr>
              <w:t>NTID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A6B24" w14:textId="77777777" w:rsidR="00631871" w:rsidRDefault="0013387A">
            <w:r>
              <w:rPr>
                <w:sz w:val="20"/>
                <w:szCs w:val="20"/>
              </w:rPr>
              <w:t>Narrow Therapeutic Index Drug</w:t>
            </w:r>
          </w:p>
        </w:tc>
      </w:tr>
      <w:tr w:rsidR="00631871" w14:paraId="6A897E5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2B029" w14:textId="77777777" w:rsidR="00631871" w:rsidRDefault="0013387A">
            <w:r>
              <w:rPr>
                <w:sz w:val="20"/>
                <w:szCs w:val="20"/>
              </w:rPr>
              <w:t>PE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CE8BD" w14:textId="77777777" w:rsidR="00631871" w:rsidRDefault="0013387A">
            <w:r>
              <w:rPr>
                <w:sz w:val="20"/>
                <w:szCs w:val="20"/>
              </w:rPr>
              <w:t>Point estimate (geometric mean ratio)</w:t>
            </w:r>
          </w:p>
        </w:tc>
      </w:tr>
      <w:tr w:rsidR="00631871" w14:paraId="036D8CA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FB33B" w14:textId="77777777" w:rsidR="00631871" w:rsidRDefault="0013387A">
            <w:r>
              <w:rPr>
                <w:sz w:val="20"/>
                <w:szCs w:val="20"/>
              </w:rPr>
              <w:t>Reference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BB50D" w14:textId="77777777" w:rsidR="00631871" w:rsidRDefault="0013387A">
            <w:r>
              <w:rPr>
                <w:sz w:val="20"/>
                <w:szCs w:val="20"/>
              </w:rPr>
              <w:t>The treatment in the denominator of the ratio, chosen by the user</w:t>
            </w:r>
          </w:p>
        </w:tc>
      </w:tr>
      <w:tr w:rsidR="00631871" w14:paraId="4405BCF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208A" w14:textId="77777777" w:rsidR="00631871" w:rsidRDefault="0013387A">
            <w:r>
              <w:rPr>
                <w:sz w:val="20"/>
                <w:szCs w:val="20"/>
              </w:rPr>
              <w:t>RSABE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F0C40" w14:textId="77777777" w:rsidR="00631871" w:rsidRDefault="0013387A">
            <w:r>
              <w:rPr>
                <w:sz w:val="20"/>
                <w:szCs w:val="20"/>
              </w:rPr>
              <w:t>Reference-Scaled Average Bioequivalence (FDA, for HVDs)</w:t>
            </w:r>
          </w:p>
        </w:tc>
      </w:tr>
      <w:tr w:rsidR="00631871" w14:paraId="0B61D97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FB8D5" w14:textId="77777777" w:rsidR="00631871" w:rsidRDefault="0013387A">
            <w:r>
              <w:rPr>
                <w:sz w:val="20"/>
                <w:szCs w:val="20"/>
              </w:rPr>
              <w:t>Tmax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2A070" w14:textId="77777777" w:rsidR="00631871" w:rsidRDefault="0013387A">
            <w:r>
              <w:rPr>
                <w:sz w:val="20"/>
                <w:szCs w:val="20"/>
              </w:rPr>
              <w:t>Time of maximum observed concentration</w:t>
            </w:r>
          </w:p>
        </w:tc>
      </w:tr>
      <w:tr w:rsidR="00631871" w14:paraId="098C5E4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01F24" w14:textId="77777777" w:rsidR="00631871" w:rsidRDefault="0013387A">
            <w:r>
              <w:rPr>
                <w:sz w:val="20"/>
                <w:szCs w:val="20"/>
              </w:rPr>
              <w:t>TOST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7866B" w14:textId="77777777" w:rsidR="00631871" w:rsidRDefault="0013387A">
            <w:r>
              <w:rPr>
                <w:sz w:val="20"/>
                <w:szCs w:val="20"/>
              </w:rPr>
              <w:t>Two One-Sided Tests</w:t>
            </w:r>
          </w:p>
        </w:tc>
      </w:tr>
      <w:tr w:rsidR="00631871" w14:paraId="795D66B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9DED3" w14:textId="77777777" w:rsidR="00631871" w:rsidRDefault="0013387A">
            <w:r>
              <w:rPr>
                <w:sz w:val="20"/>
                <w:szCs w:val="20"/>
              </w:rPr>
              <w:t>t½</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6295B" w14:textId="77777777" w:rsidR="00631871" w:rsidRDefault="0013387A">
            <w:r>
              <w:rPr>
                <w:sz w:val="20"/>
                <w:szCs w:val="20"/>
              </w:rPr>
              <w:t>Terminal elimination half-life</w:t>
            </w:r>
          </w:p>
        </w:tc>
      </w:tr>
      <w:tr w:rsidR="00631871" w14:paraId="7521E21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97DF4" w14:textId="77777777" w:rsidR="00631871" w:rsidRDefault="0013387A">
            <w:r>
              <w:rPr>
                <w:sz w:val="20"/>
                <w:szCs w:val="20"/>
              </w:rPr>
              <w:t>Vz/F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1B177" w14:textId="77777777" w:rsidR="00631871" w:rsidRDefault="0013387A">
            <w:r>
              <w:rPr>
                <w:sz w:val="20"/>
                <w:szCs w:val="20"/>
              </w:rPr>
              <w:t>Apparent volume of distribution (terminal phase)</w:t>
            </w:r>
          </w:p>
        </w:tc>
      </w:tr>
      <w:tr w:rsidR="00631871" w14:paraId="4F2D617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A9D17" w14:textId="77777777" w:rsidR="00631871" w:rsidRDefault="0013387A">
            <w:r>
              <w:rPr>
                <w:sz w:val="20"/>
                <w:szCs w:val="20"/>
              </w:rPr>
              <w:t>λz</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93905" w14:textId="77777777" w:rsidR="00631871" w:rsidRDefault="0013387A">
            <w:r>
              <w:rPr>
                <w:sz w:val="20"/>
                <w:szCs w:val="20"/>
              </w:rPr>
              <w:t>Terminal elimination rate constant</w:t>
            </w:r>
          </w:p>
        </w:tc>
      </w:tr>
      <w:tr w:rsidR="00631871" w14:paraId="59EAC17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FD985" w14:textId="77777777" w:rsidR="00631871" w:rsidRDefault="0013387A">
            <w:r>
              <w:rPr>
                <w:sz w:val="20"/>
                <w:szCs w:val="20"/>
              </w:rPr>
              <w:t>Partial 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8809C" w14:textId="77777777" w:rsidR="00631871" w:rsidRDefault="0013387A">
            <w:r>
              <w:rPr>
                <w:sz w:val="20"/>
                <w:szCs w:val="20"/>
              </w:rPr>
              <w:t>Area under the curve over part of the profile, for example AUC 0–30 min. The interval comes from the protocol or a product-specific guidance.</w:t>
            </w:r>
          </w:p>
        </w:tc>
      </w:tr>
      <w:tr w:rsidR="00631871" w14:paraId="0A2B5B0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D593D" w14:textId="77777777" w:rsidR="00631871" w:rsidRDefault="0013387A">
            <w:r>
              <w:rPr>
                <w:sz w:val="20"/>
                <w:szCs w:val="20"/>
              </w:rPr>
              <w:t>Pivotal metric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52C91" w14:textId="77777777" w:rsidR="00631871" w:rsidRDefault="0013387A">
            <w:r>
              <w:rPr>
                <w:sz w:val="20"/>
                <w:szCs w:val="20"/>
              </w:rPr>
              <w:t>A bioequivalence metric that has to meet the acceptance limits. It receives a verdict.</w:t>
            </w:r>
          </w:p>
        </w:tc>
      </w:tr>
      <w:tr w:rsidR="00631871" w14:paraId="2D9BB99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F85F7" w14:textId="77777777" w:rsidR="00631871" w:rsidRDefault="0013387A">
            <w:r>
              <w:rPr>
                <w:sz w:val="20"/>
                <w:szCs w:val="20"/>
              </w:rPr>
              <w:t>Supportive metric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32E15" w14:textId="77777777" w:rsidR="00631871" w:rsidRDefault="0013387A">
            <w:r>
              <w:rPr>
                <w:sz w:val="20"/>
                <w:szCs w:val="20"/>
              </w:rPr>
              <w:t>A bioequivalence metric reported with its ratio and confidence interval, without a verdict.</w:t>
            </w:r>
          </w:p>
        </w:tc>
      </w:tr>
      <w:tr w:rsidR="00631871" w14:paraId="474AC21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BA727" w14:textId="77777777" w:rsidR="00631871" w:rsidRDefault="0013387A">
            <w:r>
              <w:rPr>
                <w:sz w:val="20"/>
                <w:szCs w:val="20"/>
              </w:rPr>
              <w:t>t (last measurable)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86015" w14:textId="77777777" w:rsidR="00631871" w:rsidRDefault="0013387A">
            <w:r>
              <w:rPr>
                <w:sz w:val="20"/>
                <w:szCs w:val="20"/>
              </w:rPr>
              <w:t>The time of the last measurable concentration of a profile. An interval written as 4 h–t ends there.</w:t>
            </w:r>
          </w:p>
        </w:tc>
      </w:tr>
      <w:tr w:rsidR="00631871" w14:paraId="318C226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E00AB" w14:textId="77777777" w:rsidR="00631871" w:rsidRDefault="0013387A">
            <w:r>
              <w:rPr>
                <w:sz w:val="20"/>
                <w:szCs w:val="20"/>
              </w:rPr>
              <w:t>ICH M13A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C6859" w14:textId="77777777" w:rsidR="00631871" w:rsidRDefault="0013387A">
            <w:r>
              <w:rPr>
                <w:sz w:val="20"/>
                <w:szCs w:val="20"/>
              </w:rPr>
              <w:t>ICH guideline on bioequivalence for immediate-release solid oral dosage forms (2024)</w:t>
            </w:r>
          </w:p>
        </w:tc>
      </w:tr>
      <w:tr w:rsidR="00631871" w14:paraId="767690B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1B8CA" w14:textId="77777777" w:rsidR="00631871" w:rsidRDefault="0013387A">
            <w:r>
              <w:rPr>
                <w:sz w:val="20"/>
                <w:szCs w:val="20"/>
              </w:rPr>
              <w:lastRenderedPageBreak/>
              <w:t>Welch interval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B0DA1" w14:textId="77777777" w:rsidR="00631871" w:rsidRDefault="0013387A">
            <w:r>
              <w:rPr>
                <w:sz w:val="20"/>
                <w:szCs w:val="20"/>
              </w:rPr>
              <w:t>Confidence interval for a parallel design that does not assume equal variances in the two groups</w:t>
            </w:r>
          </w:p>
        </w:tc>
      </w:tr>
    </w:tbl>
    <w:p w14:paraId="1B00D43F" w14:textId="77777777" w:rsidR="00631871" w:rsidRDefault="0013387A">
      <w:pPr>
        <w:pStyle w:val="Kop2"/>
      </w:pPr>
      <w:bookmarkStart w:id="56" w:name="_Toc241214389"/>
      <w:r>
        <w:t>Appendix B: Recognised Column Names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67AA4778"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DB2957" w14:textId="77777777" w:rsidR="00631871" w:rsidRDefault="0013387A">
            <w:r>
              <w:rPr>
                <w:b/>
                <w:bCs/>
                <w:color w:val="FFFFFF"/>
                <w:sz w:val="20"/>
                <w:szCs w:val="20"/>
              </w:rPr>
              <w:t>Meaning</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CDA7C7" w14:textId="77777777" w:rsidR="00631871" w:rsidRDefault="0013387A">
            <w:r>
              <w:rPr>
                <w:b/>
                <w:bCs/>
                <w:color w:val="FFFFFF"/>
                <w:sz w:val="20"/>
                <w:szCs w:val="20"/>
              </w:rPr>
              <w:t>Recognised names (case-insensitive)</w:t>
            </w:r>
          </w:p>
        </w:tc>
      </w:tr>
      <w:tr w:rsidR="00631871" w14:paraId="284C04E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4C00E" w14:textId="77777777" w:rsidR="00631871" w:rsidRDefault="0013387A">
            <w:r>
              <w:rPr>
                <w:sz w:val="20"/>
                <w:szCs w:val="20"/>
              </w:rPr>
              <w:t>Subject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89D6C" w14:textId="77777777" w:rsidR="00631871" w:rsidRDefault="0013387A">
            <w:r>
              <w:rPr>
                <w:sz w:val="20"/>
                <w:szCs w:val="20"/>
              </w:rPr>
              <w:t>Subject, SubjectID, USUBJID, ID, Pat, PatID, Proband, Teilnehmer</w:t>
            </w:r>
          </w:p>
        </w:tc>
      </w:tr>
      <w:tr w:rsidR="00631871" w14:paraId="12FA4A4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44B57" w14:textId="77777777" w:rsidR="00631871" w:rsidRDefault="0013387A">
            <w:r>
              <w:rPr>
                <w:sz w:val="20"/>
                <w:szCs w:val="20"/>
              </w:rPr>
              <w:t>Time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AF809" w14:textId="77777777" w:rsidR="00631871" w:rsidRDefault="0013387A">
            <w:r>
              <w:rPr>
                <w:sz w:val="20"/>
                <w:szCs w:val="20"/>
              </w:rPr>
              <w:t>TAD (preferred over TIME), Time, Hours, Hour, Tpt, NTIM, APTS, Zeit, Tid</w:t>
            </w:r>
          </w:p>
        </w:tc>
      </w:tr>
      <w:tr w:rsidR="00631871" w14:paraId="538B20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0A445" w14:textId="77777777" w:rsidR="00631871" w:rsidRDefault="0013387A">
            <w:r>
              <w:rPr>
                <w:sz w:val="20"/>
                <w:szCs w:val="20"/>
              </w:rPr>
              <w:t>Concentration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AA50F" w14:textId="77777777" w:rsidR="00631871" w:rsidRDefault="0013387A">
            <w:r>
              <w:rPr>
                <w:sz w:val="20"/>
                <w:szCs w:val="20"/>
              </w:rPr>
              <w:t>Conc, Concentration, DV, Cp, Result, Konz, Plasma, or a name containing ng/mL or ug/L</w:t>
            </w:r>
          </w:p>
        </w:tc>
      </w:tr>
      <w:tr w:rsidR="00631871" w14:paraId="6EF2DC4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A380" w14:textId="77777777" w:rsidR="00631871" w:rsidRDefault="0013387A">
            <w:r>
              <w:rPr>
                <w:sz w:val="20"/>
                <w:szCs w:val="20"/>
              </w:rPr>
              <w:t>Treatment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F2DF5" w14:textId="77777777" w:rsidR="00631871" w:rsidRDefault="0013387A">
            <w:r>
              <w:rPr>
                <w:sz w:val="20"/>
                <w:szCs w:val="20"/>
              </w:rPr>
              <w:t>Treatment, Trt, Formulation, Drug, Arm, Behandlung</w:t>
            </w:r>
          </w:p>
        </w:tc>
      </w:tr>
      <w:tr w:rsidR="00631871" w14:paraId="4FB2B8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98C8C" w14:textId="77777777" w:rsidR="00631871" w:rsidRDefault="0013387A">
            <w:r>
              <w:rPr>
                <w:sz w:val="20"/>
                <w:szCs w:val="20"/>
              </w:rPr>
              <w:t>Period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1C156" w14:textId="77777777" w:rsidR="00631871" w:rsidRDefault="0013387A">
            <w:r>
              <w:rPr>
                <w:sz w:val="20"/>
                <w:szCs w:val="20"/>
              </w:rPr>
              <w:t>Period, Per, Prd, Phase, APERIOD, Occasion, OCC (not Visit)</w:t>
            </w:r>
          </w:p>
        </w:tc>
      </w:tr>
      <w:tr w:rsidR="00631871" w14:paraId="02BC762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C2405" w14:textId="77777777" w:rsidR="00631871" w:rsidRDefault="0013387A">
            <w:r>
              <w:rPr>
                <w:sz w:val="20"/>
                <w:szCs w:val="20"/>
              </w:rPr>
              <w:t>Sequence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E8978" w14:textId="77777777" w:rsidR="00631871" w:rsidRDefault="0013387A">
            <w:r>
              <w:rPr>
                <w:sz w:val="20"/>
                <w:szCs w:val="20"/>
              </w:rPr>
              <w:t>Sequence, Seq, Grp</w:t>
            </w:r>
          </w:p>
        </w:tc>
      </w:tr>
      <w:tr w:rsidR="00631871" w14:paraId="012A9F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E2498" w14:textId="77777777" w:rsidR="00631871" w:rsidRDefault="0013387A">
            <w:r>
              <w:rPr>
                <w:sz w:val="20"/>
                <w:szCs w:val="20"/>
              </w:rPr>
              <w:t>Dose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EA4F2" w14:textId="77777777" w:rsidR="00631871" w:rsidRDefault="0013387A">
            <w:r>
              <w:rPr>
                <w:sz w:val="20"/>
                <w:szCs w:val="20"/>
              </w:rPr>
              <w:t>Dose, Amt, Amount, Dosis</w:t>
            </w:r>
          </w:p>
        </w:tc>
      </w:tr>
    </w:tbl>
    <w:p w14:paraId="5B46A18D" w14:textId="77777777" w:rsidR="00631871" w:rsidRDefault="0013387A">
      <w:pPr>
        <w:spacing w:after="120" w:line="276" w:lineRule="auto"/>
      </w:pPr>
      <w:r>
        <w:t>Names are not case-sensitive. When no name matches, the app falls back to a column by position, so always check the suggested mapping. When the file has another column that could be the time or the concentration, a note says which one was chosen and names the other.</w:t>
      </w:r>
    </w:p>
    <w:p w14:paraId="3FB07ADF" w14:textId="77777777" w:rsidR="00631871" w:rsidRDefault="0013387A">
      <w:pPr>
        <w:pStyle w:val="Kop2"/>
      </w:pPr>
      <w:bookmarkStart w:id="57" w:name="_Toc241214390"/>
      <w:r>
        <w:t>Appendix C: Troubleshooting</w:t>
      </w:r>
      <w:bookmarkEnd w:id="57"/>
    </w:p>
    <w:p w14:paraId="7066A622" w14:textId="77777777" w:rsidR="00631871" w:rsidRDefault="0013387A">
      <w:pPr>
        <w:spacing w:after="120" w:line="276" w:lineRule="auto"/>
      </w:pPr>
      <w:r>
        <w:rPr>
          <w:b/>
          <w:bCs/>
        </w:rPr>
        <w:t>“Disconnected from the server”</w:t>
      </w:r>
      <w:r>
        <w:t>: the analysis exceeded memory or time limits, or the app met an unexpected error. Run the app locally in RStudio and check the console.</w:t>
      </w:r>
    </w:p>
    <w:p w14:paraId="2D00607C" w14:textId="77777777" w:rsidR="00631871" w:rsidRDefault="0013387A">
      <w:pPr>
        <w:spacing w:after="120" w:line="276" w:lineRule="auto"/>
      </w:pPr>
      <w:r>
        <w:rPr>
          <w:b/>
          <w:bCs/>
        </w:rPr>
        <w:t>“Error: An error has occurred”</w:t>
      </w:r>
      <w:r>
        <w:t>: an unexpected error in a calculation or plot. Check the LLOQ, BLQ rule, units and column mapping, and report the problem with a description of the data if it persists.</w:t>
      </w:r>
    </w:p>
    <w:p w14:paraId="028251BD" w14:textId="77777777" w:rsidR="00631871" w:rsidRDefault="0013387A">
      <w:pPr>
        <w:spacing w:after="120" w:line="276" w:lineRule="auto"/>
      </w:pPr>
      <w:r>
        <w:rPr>
          <w:b/>
          <w:bCs/>
        </w:rPr>
        <w:t>Half-life is empty</w:t>
      </w:r>
      <w:r>
        <w:t>: the automatic fit is below the minimum adjusted R². Review the profile in Half-Life Review, or lower the minimum if that is justified.</w:t>
      </w:r>
    </w:p>
    <w:p w14:paraId="5C866739" w14:textId="77777777" w:rsidR="00631871" w:rsidRDefault="0013387A">
      <w:pPr>
        <w:spacing w:after="120" w:line="276" w:lineRule="auto"/>
      </w:pPr>
      <w:r>
        <w:rPr>
          <w:b/>
          <w:bCs/>
        </w:rPr>
        <w:t>Half-life differs from other NCA software</w:t>
      </w:r>
      <w:r>
        <w:t>: check the minimum R², the point selection in Half-Life Review, the BLQ rule and the trapezoidal method; programs differ in how they choose the terminal-phase points.</w:t>
      </w:r>
    </w:p>
    <w:p w14:paraId="2B32CBF4" w14:textId="77777777" w:rsidR="00631871" w:rsidRDefault="0013387A">
      <w:pPr>
        <w:spacing w:after="120" w:line="276" w:lineRule="auto"/>
      </w:pPr>
      <w:r>
        <w:rPr>
          <w:b/>
          <w:bCs/>
        </w:rPr>
        <w:t>Comma decimals not recognised: set “Decimal point” to “Comma (,)” (and the delimiter, often semicolon) in the upload settings.</w:t>
      </w:r>
    </w:p>
    <w:p w14:paraId="56C71CBE" w14:textId="77777777" w:rsidR="00D2606C" w:rsidRDefault="00F8599A">
      <w:r>
        <w:t>Large sampling gap warning: for studies longer than 48 h the threshold is 48 h, so daily trough samples are not flagged; for shorter studies it is 24 h. A gap close to the threshold is usually normal sampling.</w:t>
      </w:r>
    </w:p>
    <w:p w14:paraId="2FA67B58" w14:textId="77777777" w:rsidR="00631871" w:rsidRDefault="0013387A">
      <w:pPr>
        <w:spacing w:after="120" w:line="276" w:lineRule="auto"/>
      </w:pPr>
      <w:r>
        <w:rPr>
          <w:b/>
          <w:bCs/>
        </w:rPr>
        <w:t>“Profile(s) do not start near time zero”</w:t>
      </w:r>
      <w:r>
        <w:rPr>
          <w:bCs/>
        </w:rPr>
        <w:t>: time is probably measured from the first dose of the study. Use the time since the dose of each period (in CDISC terms ARRLT or NRRLT, not AFRLT).</w:t>
      </w:r>
    </w:p>
    <w:p w14:paraId="20D69C0A" w14:textId="77777777" w:rsidR="00631871" w:rsidRDefault="0013387A">
      <w:pPr>
        <w:spacing w:after="120" w:line="276" w:lineRule="auto"/>
      </w:pPr>
      <w:r>
        <w:rPr>
          <w:b/>
          <w:bCs/>
        </w:rPr>
        <w:t>“Choose the Reference treatment”</w:t>
      </w:r>
      <w:r>
        <w:rPr>
          <w:bCs/>
        </w:rPr>
        <w:t>: the run is blocked until you choose the Reference treatment in the Bioequivalence settings. The app pre-selects it only for unambiguous names (R, Ref, Reference, Comparator, Innovator, Originator, RLD).</w:t>
      </w:r>
    </w:p>
    <w:p w14:paraId="642CE088" w14:textId="77777777" w:rsidR="00631871" w:rsidRDefault="0013387A">
      <w:pPr>
        <w:spacing w:after="120" w:line="276" w:lineRule="auto"/>
      </w:pPr>
      <w:r>
        <w:rPr>
          <w:b/>
          <w:bCs/>
        </w:rPr>
        <w:t>Unit error before the NCA runs</w:t>
      </w:r>
      <w:r>
        <w:rPr>
          <w:bCs/>
        </w:rPr>
        <w:t>: the combination of dose, time and concentration units is not supported, or molar units are combined with a mass dose without a molecular weight. Select supported units and enter the molecular weight.</w:t>
      </w:r>
    </w:p>
    <w:p w14:paraId="28AEA463" w14:textId="77777777" w:rsidR="00631871" w:rsidRDefault="0013387A">
      <w:pPr>
        <w:spacing w:after="120" w:line="276" w:lineRule="auto"/>
      </w:pPr>
      <w:r>
        <w:rPr>
          <w:b/>
          <w:bCs/>
        </w:rPr>
        <w:lastRenderedPageBreak/>
        <w:t>“Refused: …”</w:t>
      </w:r>
      <w:r>
        <w:rPr>
          <w:bCs/>
        </w:rPr>
        <w:t>: in the CDISC ADNCA upload, the message says why (for example derived records, several units, AFRLT as time, or AVAL missing without a BLQ result). Fix the dataset upstream or make the choice the message asks for.</w:t>
      </w:r>
    </w:p>
    <w:p w14:paraId="1A0502F7" w14:textId="77777777" w:rsidR="00631871" w:rsidRDefault="0013387A">
      <w:pPr>
        <w:spacing w:after="120" w:line="276" w:lineRule="auto"/>
      </w:pPr>
      <w:r>
        <w:t>My partial AUC is empty: the interval reaches past the last measurable concentration of that profile, or starts after it. The note above the results names the profile and its last measurable time. Partial AUCs are not extrapolated.</w:t>
      </w:r>
    </w:p>
    <w:p w14:paraId="4D4F74F4" w14:textId="77777777" w:rsidR="00631871" w:rsidRDefault="0013387A">
      <w:pPr>
        <w:spacing w:after="120" w:line="276" w:lineRule="auto"/>
      </w:pPr>
      <w:r>
        <w:t>No verdict for my partial AUC: the interval is marked supportive, or the metric has a value of zero in at least one profile. The table gives the reason and the number of zero values per treatment.</w:t>
      </w:r>
    </w:p>
    <w:p w14:paraId="3D9A6AF0" w14:textId="77777777" w:rsidR="00631871" w:rsidRDefault="0013387A">
      <w:pPr>
        <w:spacing w:after="120" w:line="276" w:lineRule="auto"/>
      </w:pPr>
      <w:r>
        <w:rPr>
          <w:b/>
          <w:bCs/>
        </w:rPr>
        <w:t>No verdict, but a ratio and interval</w:t>
      </w:r>
      <w:r>
        <w:t>: the crossover has no Period column mapped, the confidence level is not 90%, the chosen mixed model could not be fitted, or the metric is supportive, a half-life or Tmax. The Bioequivalent column gives the reason.</w:t>
      </w:r>
    </w:p>
    <w:p w14:paraId="68054457" w14:textId="77777777" w:rsidR="00631871" w:rsidRDefault="0013387A">
      <w:pPr>
        <w:spacing w:after="120" w:line="276" w:lineRule="auto"/>
      </w:pPr>
      <w:r>
        <w:rPr>
          <w:b/>
          <w:bCs/>
        </w:rPr>
        <w:t>“The data give concentrations in …”</w:t>
      </w:r>
      <w:r>
        <w:t>: the unit column of the file says one unit and the analysis settings another. Select the unit the file states, or correct the file.</w:t>
      </w:r>
    </w:p>
    <w:p w14:paraId="2D1B9E90" w14:textId="77777777" w:rsidR="00631871" w:rsidRDefault="0013387A">
      <w:pPr>
        <w:spacing w:after="120" w:line="276" w:lineRule="auto"/>
      </w:pPr>
      <w:r>
        <w:rPr>
          <w:b/>
          <w:bCs/>
        </w:rPr>
        <w:t>A decimal point in a decimal-comma file</w:t>
      </w:r>
      <w:r>
        <w:t>: the file mixes decimal marks. Correct the values, or set the decimal mark to period if the file uses points throughout.</w:t>
      </w:r>
    </w:p>
    <w:p w14:paraId="179ED5CE" w14:textId="77777777" w:rsidR="00631871" w:rsidRDefault="0013387A">
      <w:pPr>
        <w:spacing w:after="120" w:line="276" w:lineRule="auto"/>
      </w:pPr>
      <w:r>
        <w:rPr>
          <w:b/>
          <w:bCs/>
        </w:rPr>
        <w:t>Subject IDs that restart in each sequence</w:t>
      </w:r>
      <w:r>
        <w:t>: give every subject an ID that is unique in the study, for example TR-01 and RT-01.</w:t>
      </w:r>
    </w:p>
    <w:p w14:paraId="4EE541C8" w14:textId="77777777" w:rsidR="00D2606C" w:rsidRDefault="00D2606C"/>
    <w:p w14:paraId="4C196B00" w14:textId="77777777" w:rsidR="00631871" w:rsidRDefault="0013387A">
      <w:pPr>
        <w:pStyle w:val="Kop2"/>
      </w:pPr>
      <w:bookmarkStart w:id="58" w:name="_Toc241214391"/>
      <w:r>
        <w:t>Appendix D: References</w:t>
      </w:r>
      <w:bookmarkEnd w:id="58"/>
    </w:p>
    <w:p w14:paraId="062AB492" w14:textId="77777777" w:rsidR="00631871" w:rsidRDefault="0013387A">
      <w:pPr>
        <w:spacing w:after="120" w:line="276" w:lineRule="auto"/>
      </w:pPr>
      <w:r>
        <w:t xml:space="preserve">Beal SL. Ways to fit a PK model with some data below the quantification limit. </w:t>
      </w:r>
      <w:r>
        <w:rPr>
          <w:i/>
          <w:iCs/>
        </w:rPr>
        <w:t>J Pharmacokinet Pharmacodyn</w:t>
      </w:r>
      <w:r>
        <w:t>. 2001;28(5):481–504.</w:t>
      </w:r>
    </w:p>
    <w:p w14:paraId="2F5E0926" w14:textId="77777777" w:rsidR="00631871" w:rsidRDefault="0013387A">
      <w:pPr>
        <w:spacing w:after="120" w:line="276" w:lineRule="auto"/>
      </w:pPr>
      <w:r>
        <w:t xml:space="preserve">Kim H, Han S, Cho YS, Yoon SK, Bae KS. Development of R packages: ‘NonCompart’ and ‘ncar’ for noncompartmental analysis (NCA). </w:t>
      </w:r>
      <w:r>
        <w:rPr>
          <w:i/>
          <w:iCs/>
        </w:rPr>
        <w:t>Transl Clin Pharmacol</w:t>
      </w:r>
      <w:r>
        <w:t>. 2018;26(1):10–15.</w:t>
      </w:r>
    </w:p>
    <w:p w14:paraId="4591D4EA" w14:textId="77777777" w:rsidR="00631871" w:rsidRDefault="0013387A">
      <w:pPr>
        <w:spacing w:after="120" w:line="276" w:lineRule="auto"/>
      </w:pPr>
      <w:r>
        <w:t>Labes D, Schütz H, Lang B. PowerTOST: Power and Sample Size for (Bio)Equivalence Studies. R package version 1.5.7.</w:t>
      </w:r>
    </w:p>
    <w:p w14:paraId="06A1F43F" w14:textId="77777777" w:rsidR="00631871" w:rsidRDefault="0013387A">
      <w:pPr>
        <w:spacing w:after="120" w:line="276" w:lineRule="auto"/>
      </w:pPr>
      <w:r>
        <w:t xml:space="preserve">Owen DB. A special case of a bivariate non-central t-distribution. </w:t>
      </w:r>
      <w:r>
        <w:rPr>
          <w:i/>
          <w:iCs/>
        </w:rPr>
        <w:t>Biometrika</w:t>
      </w:r>
      <w:r>
        <w:t>. 1965;52(3/4):437–446.</w:t>
      </w:r>
    </w:p>
    <w:p w14:paraId="0E23C332" w14:textId="77777777" w:rsidR="00631871" w:rsidRDefault="0013387A">
      <w:pPr>
        <w:spacing w:after="120" w:line="276" w:lineRule="auto"/>
      </w:pPr>
      <w:r>
        <w:t xml:space="preserve">Pinheiro JC, Bates DM. </w:t>
      </w:r>
      <w:r>
        <w:rPr>
          <w:i/>
          <w:iCs/>
        </w:rPr>
        <w:t>Mixed-Effects Models in S and S-PLUS</w:t>
      </w:r>
      <w:r>
        <w:t>. Springer, 2000.</w:t>
      </w:r>
    </w:p>
    <w:p w14:paraId="0D041262" w14:textId="77777777" w:rsidR="00631871" w:rsidRDefault="0013387A">
      <w:pPr>
        <w:spacing w:after="120" w:line="276" w:lineRule="auto"/>
      </w:pPr>
      <w:r>
        <w:t xml:space="preserve">Schuirmann DJ. A comparison of the two one-sided tests procedure and the power approach. </w:t>
      </w:r>
      <w:r>
        <w:rPr>
          <w:i/>
          <w:iCs/>
        </w:rPr>
        <w:t>J Pharmacokinet Biopharm</w:t>
      </w:r>
      <w:r>
        <w:t>. 1987;15(6):657–680.</w:t>
      </w:r>
    </w:p>
    <w:p w14:paraId="7041FC6F" w14:textId="77777777" w:rsidR="00631871" w:rsidRDefault="0013387A">
      <w:pPr>
        <w:spacing w:after="120" w:line="276" w:lineRule="auto"/>
      </w:pPr>
      <w:r>
        <w:t xml:space="preserve">Yeh KC, Kwan KC. A comparison of numerical integrating algorithms by trapezoidal, Lagrange, and spline approximation. </w:t>
      </w:r>
      <w:r>
        <w:rPr>
          <w:i/>
          <w:iCs/>
        </w:rPr>
        <w:t>J Pharmacokinet Biopharm</w:t>
      </w:r>
      <w:r>
        <w:t>. 1978;6(1):79–98.</w:t>
      </w:r>
    </w:p>
    <w:p w14:paraId="2E7E2F6D" w14:textId="77777777" w:rsidR="00631871" w:rsidRDefault="0013387A">
      <w:pPr>
        <w:spacing w:after="120" w:line="276" w:lineRule="auto"/>
      </w:pPr>
      <w:r>
        <w:t>R Core Team. R: A Language and Environment for Statistical Computing. R Foundation for Statistical Computing, Vienna, Austria; 2026 (version 4.6.0).</w:t>
      </w:r>
    </w:p>
    <w:p w14:paraId="39EE413D" w14:textId="77777777" w:rsidR="00631871" w:rsidRDefault="0013387A">
      <w:pPr>
        <w:spacing w:after="120" w:line="276" w:lineRule="auto"/>
      </w:pPr>
      <w:r>
        <w:t>CDISC. SDTM Controlled Terminology, release 2026-03-27. NCI Enterprise Vocabulary Services.</w:t>
      </w:r>
    </w:p>
    <w:p w14:paraId="0449966F" w14:textId="77777777" w:rsidR="00631871" w:rsidRDefault="0013387A">
      <w:pPr>
        <w:spacing w:after="120" w:line="276" w:lineRule="auto"/>
      </w:pPr>
      <w:r>
        <w:t>International Council for Harmonisation. ICH M12: Drug Interaction Studies. Step 4 guideline, 21 May 2024.</w:t>
      </w:r>
    </w:p>
    <w:p w14:paraId="437CEAFF" w14:textId="77777777" w:rsidR="00631871" w:rsidRDefault="0013387A">
      <w:pPr>
        <w:spacing w:after="120" w:line="276" w:lineRule="auto"/>
      </w:pPr>
      <w:r>
        <w:lastRenderedPageBreak/>
        <w:t>International Council for Harmonisation. ICH M13A: Bioequivalence for Immediate-Release Solid Oral Dosage Forms. Step 4 guideline, 23 July 2024.</w:t>
      </w:r>
    </w:p>
    <w:p w14:paraId="161CC890" w14:textId="77777777" w:rsidR="00631871" w:rsidRDefault="0013387A">
      <w:pPr>
        <w:spacing w:after="120" w:line="276" w:lineRule="auto"/>
      </w:pPr>
      <w:r>
        <w:t>Labes D, Schütz H. replicateBE: Average Bioequivalence with Expanding Limits (ABEL). R package version 1.1.3 (used to validate the replicate-design results).</w:t>
      </w:r>
    </w:p>
    <w:p w14:paraId="7C468975" w14:textId="77777777" w:rsidR="00631871" w:rsidRDefault="0013387A">
      <w:pPr>
        <w:spacing w:after="120" w:line="276" w:lineRule="auto"/>
      </w:pPr>
      <w:r>
        <w:t xml:space="preserve">Hopefl R, et al. A 2024 update on US FDA implementation of partial area under the curve into bioavailability and bioequivalence assessments. </w:t>
      </w:r>
      <w:r>
        <w:rPr>
          <w:i/>
        </w:rPr>
        <w:t>Clin Pharmacol Ther</w:t>
      </w:r>
      <w:r>
        <w:t>. 2025;117:1185–1193.</w:t>
      </w:r>
    </w:p>
    <w:p w14:paraId="57056E98" w14:textId="77777777" w:rsidR="00631871" w:rsidRDefault="0013387A">
      <w:pPr>
        <w:spacing w:after="120" w:line="276" w:lineRule="auto"/>
      </w:pPr>
      <w:r>
        <w:t>European Medicines Agency. Guideline on the pharmacokinetic and clinical evaluation of modified release dosage forms. EMA/CHMP/EWP/280/96 Rev1. Adopted 20 November 2014, effective 1 June 2015.</w:t>
      </w:r>
    </w:p>
    <w:sectPr w:rsidR="0063187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A2C61" w14:textId="77777777" w:rsidR="00B752B5" w:rsidRDefault="00B752B5">
      <w:r>
        <w:separator/>
      </w:r>
    </w:p>
  </w:endnote>
  <w:endnote w:type="continuationSeparator" w:id="0">
    <w:p w14:paraId="53796F02" w14:textId="77777777" w:rsidR="00B752B5" w:rsidRDefault="00B75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9739" w14:textId="77777777" w:rsidR="006303E9" w:rsidRDefault="006303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D13"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90D7" w14:textId="77777777" w:rsidR="006303E9" w:rsidRDefault="006303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232A" w14:textId="77777777" w:rsidR="00B752B5" w:rsidRDefault="00B752B5">
      <w:r>
        <w:separator/>
      </w:r>
    </w:p>
  </w:footnote>
  <w:footnote w:type="continuationSeparator" w:id="0">
    <w:p w14:paraId="11597DBC" w14:textId="77777777" w:rsidR="00B752B5" w:rsidRDefault="00B75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9A00" w14:textId="77777777" w:rsidR="006303E9" w:rsidRDefault="006303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166E" w14:textId="77777777" w:rsidR="00631871" w:rsidRDefault="0013387A">
    <w:pPr>
      <w:jc w:val="right"/>
    </w:pPr>
    <w:r>
      <w:rPr>
        <w:color w:val="999999"/>
        <w:sz w:val="16"/>
        <w:szCs w:val="16"/>
      </w:rPr>
      <w:t>NCA Assistant: User Manual v1.7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CD30" w14:textId="77777777" w:rsidR="006303E9" w:rsidRDefault="006303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023A0D"/>
    <w:rsid w:val="00050296"/>
    <w:rsid w:val="000A26A0"/>
    <w:rsid w:val="000B5615"/>
    <w:rsid w:val="0013387A"/>
    <w:rsid w:val="00172747"/>
    <w:rsid w:val="001E27B8"/>
    <w:rsid w:val="00204122"/>
    <w:rsid w:val="00272F0D"/>
    <w:rsid w:val="00302AB0"/>
    <w:rsid w:val="00320741"/>
    <w:rsid w:val="003702D7"/>
    <w:rsid w:val="003D2EE2"/>
    <w:rsid w:val="00413C79"/>
    <w:rsid w:val="004D6694"/>
    <w:rsid w:val="004E775C"/>
    <w:rsid w:val="0054188C"/>
    <w:rsid w:val="005F3361"/>
    <w:rsid w:val="006303E9"/>
    <w:rsid w:val="00631871"/>
    <w:rsid w:val="006A7CB2"/>
    <w:rsid w:val="006F2177"/>
    <w:rsid w:val="00721F10"/>
    <w:rsid w:val="007D3E80"/>
    <w:rsid w:val="007E3F80"/>
    <w:rsid w:val="00836FAF"/>
    <w:rsid w:val="00913D2B"/>
    <w:rsid w:val="009220AE"/>
    <w:rsid w:val="00992391"/>
    <w:rsid w:val="009B1A1B"/>
    <w:rsid w:val="00A06C9D"/>
    <w:rsid w:val="00A33FC0"/>
    <w:rsid w:val="00A34194"/>
    <w:rsid w:val="00AA404B"/>
    <w:rsid w:val="00B752B5"/>
    <w:rsid w:val="00B76758"/>
    <w:rsid w:val="00B80166"/>
    <w:rsid w:val="00CD2C02"/>
    <w:rsid w:val="00D06D87"/>
    <w:rsid w:val="00D2606C"/>
    <w:rsid w:val="00D50126"/>
    <w:rsid w:val="00D665F9"/>
    <w:rsid w:val="00E21916"/>
    <w:rsid w:val="00E44E38"/>
    <w:rsid w:val="00E72806"/>
    <w:rsid w:val="00E95A6D"/>
    <w:rsid w:val="00EC0113"/>
    <w:rsid w:val="00EF52CB"/>
    <w:rsid w:val="00F02DBE"/>
    <w:rsid w:val="00F8599A"/>
    <w:rsid w:val="00FE3177"/>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60F8A911"/>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 w:type="paragraph" w:styleId="Koptekst">
    <w:name w:val="header"/>
    <w:basedOn w:val="Standaard"/>
    <w:link w:val="KoptekstChar"/>
    <w:uiPriority w:val="99"/>
    <w:unhideWhenUsed/>
    <w:rsid w:val="00F02DBE"/>
    <w:pPr>
      <w:tabs>
        <w:tab w:val="center" w:pos="4513"/>
        <w:tab w:val="right" w:pos="9026"/>
      </w:tabs>
    </w:pPr>
  </w:style>
  <w:style w:type="character" w:customStyle="1" w:styleId="KoptekstChar">
    <w:name w:val="Koptekst Char"/>
    <w:basedOn w:val="Standaardalinea-lettertype"/>
    <w:link w:val="Koptekst"/>
    <w:uiPriority w:val="99"/>
    <w:rsid w:val="00F02DBE"/>
  </w:style>
  <w:style w:type="paragraph" w:styleId="Voettekst">
    <w:name w:val="footer"/>
    <w:basedOn w:val="Standaard"/>
    <w:link w:val="VoettekstChar"/>
    <w:uiPriority w:val="99"/>
    <w:unhideWhenUsed/>
    <w:rsid w:val="00F02DBE"/>
    <w:pPr>
      <w:tabs>
        <w:tab w:val="center" w:pos="4513"/>
        <w:tab w:val="right" w:pos="9026"/>
      </w:tabs>
    </w:pPr>
  </w:style>
  <w:style w:type="character" w:customStyle="1" w:styleId="VoettekstChar">
    <w:name w:val="Voettekst Char"/>
    <w:basedOn w:val="Standaardalinea-lettertype"/>
    <w:link w:val="Voettekst"/>
    <w:uiPriority w:val="99"/>
    <w:rsid w:val="00F02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9676</Words>
  <Characters>60480</Characters>
  <Application>Microsoft Office Word</Application>
  <DocSecurity>0</DocSecurity>
  <Lines>1061</Lines>
  <Paragraphs>543</Paragraphs>
  <ScaleCrop>false</ScaleCrop>
  <Company/>
  <LinksUpToDate>false</LinksUpToDate>
  <CharactersWithSpaces>69613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 Assistant User Manual</dc:title>
  <dc:creator>Rob ter Heine</dc:creator>
  <cp:lastModifiedBy>Rob ..</cp:lastModifiedBy>
  <cp:revision>15</cp:revision>
  <cp:lastPrinted>2026-05-12T08:28:00Z</cp:lastPrinted>
  <dcterms:created xsi:type="dcterms:W3CDTF">2026-05-12T08:28:00Z</dcterms:created>
  <dcterms:modified xsi:type="dcterms:W3CDTF">2026-09-25T05:35:00Z</dcterms:modified>
</cp:coreProperties>
</file>