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September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User Requirement Specification defines the functional and quality requirements for NCA Assistant v1.5.0,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URS covers 62 requirements across 8 categories: General (5), Data Handling (7), NCA (14), Bioequivalence (10), Power (6), Export (8),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NCA Assistant v1.5.0 provides six workflow paths accessible from a central hub: (1) Plan a Study, (2) Upload &amp; Check Data (flat files, or CDISC ADNCA datasets through a separate upload option), (3) Visualize Data, (4) Analyze One Subject at a Time, (5) Analyze All Subjects, (6) Bioequivalence Testing. The data-processing pipeline (R/pipeline.R) is shared by the app, the validation script and the reproduction scripts shipped in every Analysis Record. GAMP 5 Category 5 custom application. The app performs average bioequivalence only; it does not perform reference-scaled (ABEL, RSABE) or NTID analyses, which Plan a Study can plan. It is not affiliated with, endorsed by, or certified by CDISC.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Critical R packages: NonCompart (NCA computation, including the terminal-slope selection), PowerTOST (sample size/power), nlme (mixed-effects BE models), ggplot2/plotly (visualization), digest (SHA-256 hashing). Validation only: replicateBE (reference implementation for replicate designs). All CRAN-hosted, peer-reviewed, widely adopted. CDISC parameter codes come from one pinned, dated release of CDISC SDTM Controlled Terminology (2026-03-27), stored in the repository with its source hash.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FM-NCA-13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URS-NCA-13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FM-NCA-14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URS-NCA-14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FM-EXP-08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URS-EXP-08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statistical methods page shall document all formulas, algorithms, and references used, as implemented, including partial AUCs and how they are calculated, interpolated and compared.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Methods page accessible from navigation; its statements on slope selection, R² threshold, acceptance limits, rounding and simulations match the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Results, downloads and Analysis Records shall list the official CDISC PK parameter code (PPTESTCD/PPTEST) for each parameter from one pinned, dated release of CDISC SDTM Controlled Terminology, and state the release. Parameters without a code in that release shall be marked as such, not given an invented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Codes taken from release 2026-03-27 (codelists C85839/C85493); release date and source hash stated; mapping depends on route and steady state; results are not described as SDTM PP datasets. Partial AUC columns map to AUCINT, with the interval start and end named for PPSTINT/PPENINT.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accept CSV and Excel (.xlsx/.xls) flat-file uploads (comma or semicolon separator, point or comma decimal mark) and, through a separate upload option, CDISC ADNCA-shaped datasets.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Flat files load without error and decimal-comma numbers stored as text are read; an ADNCA dataset is converted only with an explicit time variable (NRRLT, ARRLT or MRRLT; AFRLT refused), ANL01FL applied, derived records (DTYPE) refused, one analyte and matrix, and the choices recorded; the standalone converter uses the same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20+ data quality checks with severity levels (ERROR/WARNING/INFO/OK), including interlocks that refuse data it cannot analyse safely.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run_data_quality_check returns structured findings; ERRORs block processing; CDISC-shaped flat files, mixed units, dates or clock times as time, profiles not starting near time zero, and stacked profiles are refused; an empty LLOQ is reported, not a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implement 6 BLQ handling rules, applied per profile (subject × treatment × period) in time order. Text '&lt;x', BLQ, BQL, BLOQ, ND and NQ shall be handled as BLQ when an LLOQ is set; NS, N/A and missing shall stay missing.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6 rules produce correct output per profile regardless of file order; BLQ text handled as specified.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estimate λz with NonCompart's best-fit adjusted R² selection. When the selected automatic fit is below the configurable threshold (default 0.70), λz and all parameters derived from it (t½, AUCinf, %extrapolated, AUMCinf, MRT, CL, Vz) shall not be reported for that profile, with a note. The half-life review shall show the same fit as the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λz matches analytical value; fits below the threshold give missing λz-dependent parameters (manual selections exempt; CL kept at steady state); review panel half-life and points equal NonCompart's.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provide single-subject NCA with interactive concentration-time plot. A result shall belong to the profile it was computed for.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sNCA produces valid results; plot is interactive; the result is cleared when the profile, data source or data change.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batch NCA across all profiles (subject × treatment × period)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tblNCA returns one row per profile; replicate administrations are separate profiles; summary statistics are given per treatment on screen, in the Excel download and in the Analysis Record.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steady-state NCA with a user-entered dosing interval (τ).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AUCτ is the AUC from 0 to τ (extrapolated when the last sample precedes τ); Cavg, Cmin, fluctuation and swing are reported in all paths; CL/F and Vz/F use AUCτ; analysis refuses to run without τ.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dose-normalized parameters, each profile divided by its own dose.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CMAX_DN = CMAX/dose of that profile;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dosing from a data column, per profile, so that a subject may receive different doses in different periods.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Different doses per subject and per period produce the corresponding CL values; doses matched by profile, never by position.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manual selection of terminal phase data points for λz estimation with validation guards (minimum 2 points, positive slope) and user notification. All dependent parameters shall be recomputed by NonCompart from the selected points.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Recalculated λz matches manual regression; CL/V use NonCompart's unit conversion; negative slope rejected; 2-point warning displayed; selections kept when the analysis is run again.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URS-NCA-13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calculate partial AUCs over intervals entered by the user, with an end at a time or at the last measurable concentration (t), using the trapezoidal method of the analysis. A partial AUC that would need data after the last measurable concentration shall not be reported. Optionally the highest observed concentration within an interval and its time shall be reported.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Values equal hand-calculated trapezoids for both trapezoidal methods; an interval ending at t equals AUC0-t minus the AUC from 0 to the start, per profile; nothing is reported past the last measurable concentration, whatever the lambda-z fit; batch, single-profile and bioequivalence paths agree.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FM-NCA-13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URS-NCA-14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At steady state the system shall refuse partial AUC intervals that do not lie within 0 to the dosing interval (tau).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An interval ending after tau, or at the last measurable concentration, is refused with a message and no analysis is produced; a 0-tau interval equals AUCtau when tau lies within the sampled profile.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FM-NCA-14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ANOVA-based average bioequivalence analysis on log-transformed PK parameters, with Sequence, Subject, Period and Treatment as factors (EMA Method A), and the Reference treatment chosen by the user.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Correct model per design; MSE &gt; 0; ratio is Test/Reference for the chosen Reference whatever the treatment names; the compared treatments are shown in the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the designs of the shared design registry: 2×2×2 crossover, 2×2×3 and 2×2×4 full replicate, 2×3×3 partial replicate, parallel groups, and paired comparison (single sequence; no verdict).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Each design produces valid results; replicate administrations enter the model once each; results agree with replicateBE method A on its 30 reference data sets; paired df = N−1; a single treatment order is analysed as paired.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determine the BE conclusion (YES/NO) from the confidence interval, rounded to two decimals, against the acceptance limits. With limits wider than 80–125% the point estimate shall also lie within 80.00–125.00% unless the user switches this off. Half-life shall be reported as a ratio with its confidence interval without a verdict; untransformed parameters, Tmax and paired comparisons shall receive no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BE=YES when the rounded CI is within the limits (and the point estimate, when required); difference scale and paired comparisons report 'no verdict'.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both fixed-effects and mixed-effects (nlme) models, and report which model was fitted.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Mixed model converges; GMR agrees with fixed effects within 5%; a failed mixed fit is reported in the Model column.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Default 90% CI, 80–125% limits; user can modify; column labels follow the chosen level.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For replicate designs the system shall report the within-subject variability of the Reference (and of the Test where replicated) and the EMA expanded limits it would imply, for information only, without a scaled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CVwR and CVwT from the period-adjusted model on subjects with the treatment at least twice; ABEL limits match PowerTOST scABEL; values agree with replicateBE method 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compare partial AUCs, and the maximum concentration within an interval, in the bioequivalence analysis. A verdict shall be given only for intervals marked pivotal, and no estimate and no verdict when any profile in the comparison has a value of zero.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confidence interval equals lm() on the log values and agrees with replicateBE for a replicate design; supportive metrics show ratio and CI without a verdict; a zero suppresses that metric only, which keeps its row with the counts of zero and missing profiles per treatment.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FM-BE-10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sample sizes using PowerTOST for average bioequivalence (TOST), EMA ABEL (scABEL), FDA RSABE and FDA NTID. Scaled methods shall use the within-subject CVs of both Test and Reference.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functions return valid sample sizes for standard inputs; scaled methods pass c(CVwT, CVwR); the help text states that a pivotal partial AUC is planned with its own within-subject CV.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5 study designs for sample size calculation, from the same design registry as the bioequivalence analysis.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5 designs return valid N; planner and analysis offer the same designs under the same names. The default expected ratio follows the method (95%, 90% for ABEL/RSABE, 97.5% for NTID); parallel designs ask for the total CV.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offer the within-subject CV estimated by the bioequivalence analysis of the current data as input for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 = 100·√(exp(MSE) − 1) from the log-scale BE model; not offered from between-subject spread; cleared when new data are processed.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Available from One Subject, All Subjects and Bioequivalence, and as a Figure Record from Visualize Data. ZIP contains results.xlsx, app_results_reference.csv, settings JSON, the shipped pipeline (nca_pipeline.R), repro script, reproduction check,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standalone reproducibility R script that uses the app's own data-processing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Script parses as valid R; sources the shipped pipeline; re-verifies the source-data SHA-256; compares its output with the app results (MATCH / DIFFERENT); the app runs it when the record is created and reports the outcome.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JSON includes app version, R version, column mapping, read settings, dose source, and for BE the design selected and analysed, Reference treatment, model, CI level, limits and point-estimate constraint.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URS-EXP-08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Analysis Record shall store the partial AUC intervals with their roles and the BLQ share used for the note, and the reproducibility script shall recalculate the partial AUCs.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analysis_settings.json holds the intervals, roles and partial_auc_blq_fraction; the shipped script reproduces the partial AUCs (MATCH); a changed interval is reported as DIFFERENT.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FM-EXP-08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&gt;80% of NCA output columns have friendly names; help topics defined; generated partial AUC column names are shown as plain-language labels with units.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Bioavailability/Bioequivalence Guidance (2014); FDA Statistical Approaches to Establishing Bioequivalence (2026)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EU Annex 11: Computerised Systems (2011); CDISC SDTM Controlled Terminology, release 2026-03-27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product-specific guidances defining partial AUC metrics; Hopefl R et al., Clin Pharmacol Ther 2025;117:1185-93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ADNCA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CDISC ADaM dataset structure for 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CVwR / CVwT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Within-subject coefficient of variation of the Reference / Test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Partial 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Area under the concentration-time curve over part of the profile, for example AUC from 0 to 30 min. The interval comes from the protocol or a product-specific guidance.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Pivotal metric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bioequivalence metric that must meet the acceptance limits; it receives a verdict.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Supportive metric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bioequivalence metric reported with its ratio and confidence interval, without a verdict.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t (last measurable)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time of the last measurable concentration of a profile; the end of an interval written as 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