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User Requirement Specification defines the functional and quality requirements for NCA Assistant v1.2.8,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URS covers 57 requirements across 8 categories: General (5), Data Handling (7), NCA (12), Bioequivalence (8),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NCA Assistant v1.2.8 provides six workflow paths accessible from a central hub: (1) Plan a Study, (2) Upload &amp; Check Data, (3) Visualize Data [new in v1.2], (4) Analyze One Subject at a Time, (5) Analyze All Subjects, (6) Bioequivalence Testing. GAMP 5 Category 5 custom application.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Critical R packages: NonCompart (NCA computation), PowerTOST (sample size/power), nlme (mixed-effects BE models), ggplot2/plotly (visualization), digest (SHA-256 hashing). All CRAN-hosted, peer-reviewed, widely adopted.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statistical methods page shall document all formulas, algorithms, and references used.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Methods page accessible from navigation.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 parameter names shall follow CDISC SDTM conventions where applicable.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cdisc_pk_names() maps NonCompart abbreviations to CDISC terms.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accept CSV and Excel (.xlsx/.xls) file uploads.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 and Excel files load without error; data preview matches source.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20+ data quality checks with severity levels (ERROR/WARNING/INFO/OK).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run_data_quality_check returns structured findings; ERRORs block processing.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implement 6 BLQ handling rules compatible with WinNonlin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6 rules produce correct output; multi-subject processing is independent.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estimate λz using best-fit adjusted R² criterion with configurable threshold.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λz matches analytical value; threshold filters poor fits.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single-subject NCA with interactive concentration-time plot.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sNCA produces valid results; plot is interactive.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batch NCA across all subjects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tblNCA returns one row per subject; summary statistics computed.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dose-normalized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CMAX_DN = CMAX/dose;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per-subject dosing from a data column.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Different doses per subject produce different CL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manual selection of terminal phase data points for λz estimation with validation guards (minimum 2 points, positive slope) and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Recalculated λz matches manual regression. Negative slope rejected. 2-point warning displayed.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ANOVA-based bioequivalence analysis on log-transformed PK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 ANOVA model per study design; MSE &gt; 0.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designs: 2-period crossover, fixed-order, 3-period, replicate, parallel.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design produces valid results; fixed-order df = N-1.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determine BE conclusion (YES/NO) based on CI vs.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BE=YES when CI within [80,125]; BE=NO otherwise.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both fixed-effects and mixed-effects (nlme) models.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Mixed model converges; GMR agrees with fixed effects within 5%.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90% CI, 80-125% limits; user can modify.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sample sizes using PowerTOST functions: TOST, scABEL, RSABE, NTID, noninf, dp.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functions return valid sample sizes for standard inputs.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 for sample size calculation.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designs return valid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bridge NCA-derived CV to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CV from NCA usable in sampleN.TOST.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 from all four analysis paths (Single, Batch, BE) and the Visualize Figure Record. ZIP contains results.xlsx, app_results_reference.csv, settings JSON, repro script,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standalone reproducibility R script.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parses as valid R; contains all key settings; re-verifies the source-data SHA-256; and automatically compares its output against the app results (app_results_reference.csv), reporting a MATCH / DIFFERENT verdict.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includes app version, R version, column mapping, etc.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FDA Bioavailability/Bioequivalence Guidance (2014)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EU Annex 11: Computerised Systems (2011)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