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2C3E50"/>
          <w:sz w:val="48"/>
          <w:szCs w:val="48"/>
        </w:rPr>
        <w:t xml:space="preserve">NCA Assistant</w:t>
      </w:r>
    </w:p>
    <w:p>
      <w:pPr>
        <w:spacing w:after="100"/>
        <w:jc w:val="center"/>
      </w:pPr>
      <w:r>
        <w:rPr>
          <w:rFonts w:ascii="Arial" w:cs="Arial" w:eastAsia="Arial" w:hAnsi="Arial"/>
          <w:color w:val="2C3E50"/>
          <w:sz w:val="36"/>
          <w:szCs w:val="36"/>
        </w:rPr>
        <w:t xml:space="preserve">User Requirement Specification</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Document ID</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NCA-URS-001</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Status</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Author</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Date</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September 2026</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Classification</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GAMP 5 Category 5</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20"/>
      </w:pPr>
      <w:r>
        <w:rPr>
          <w:rFonts w:ascii="Arial" w:cs="Arial" w:eastAsia="Arial" w:hAnsi="Arial"/>
          <w:sz w:val="22"/>
          <w:szCs w:val="22"/>
        </w:rPr>
        <w:t>This User Requirement Specification defines the functional and quality requirements for NCA Assistant v1.5.0, an open-source R/Shiny application for pharmacokinetic non-compartmental analysis, bioequivalence testing, data visualization, and study planning.</w:t>
      </w:r>
    </w:p>
    <w:p>
      <w:pPr>
        <w:spacing w:after="120"/>
      </w:pPr>
      <w:r>
        <w:rPr>
          <w:rFonts w:ascii="Arial" w:cs="Arial" w:eastAsia="Arial" w:hAnsi="Arial"/>
          <w:sz w:val="22"/>
          <w:szCs w:val="22"/>
        </w:rPr>
        <w:t>This URS covers 63 requirements across 8 categories: General (5), Data Handling (7), NCA (14), Bioequivalence (10), Power (6), Export (8), Usability (4), and Visualization (9).</w:t>
      </w:r>
    </w:p>
    <w:p>
      <w:pPr>
        <w:pStyle w:val="Heading1"/>
      </w:pPr>
      <w:r>
        <w:rPr>
          <w:rFonts w:ascii="Arial" w:cs="Arial" w:eastAsia="Arial" w:hAnsi="Arial"/>
        </w:rPr>
        <w:t xml:space="preserve">2. System Description</w:t>
      </w:r>
    </w:p>
    <w:p>
      <w:pPr>
        <w:spacing w:after="120"/>
      </w:pPr>
      <w:r>
        <w:rPr>
          <w:rFonts w:ascii="Arial" w:cs="Arial" w:eastAsia="Arial" w:hAnsi="Arial"/>
          <w:sz w:val="22"/>
          <w:szCs w:val="22"/>
        </w:rPr>
        <w:t>NCA Assistant v1.5.0 provides six workflow paths accessible from a central hub: (1) Plan a Study, (2) Upload &amp; Check Data (flat files, or CDISC ADNCA datasets through a separate upload option), (3) Visualize Data, (4) Analyze One Subject at a Time, (5) Analyze All Subjects, (6) Bioequivalence Testing. Paths 4, 5 and 6 also report partial AUCs over intervals entered by the user, and path 6 compares them. The data-processing pipeline (R/pipeline.R) is shared by the app, the validation script and the reproduction scripts shipped in every Analysis Record. GAMP 5 Category 5 custom application. The app performs average bioequivalence only; it does not perform reference-scaled (ABEL, RSABE) or NTID analyses, which Plan a Study can plan. It is not affiliated with, endorsed by, or certified by CDISC.</w:t>
      </w:r>
    </w:p>
    <w:p>
      <w:pPr>
        <w:pStyle w:val="Heading1"/>
      </w:pPr>
      <w:r>
        <w:rPr>
          <w:rFonts w:ascii="Arial" w:cs="Arial" w:eastAsia="Arial" w:hAnsi="Arial"/>
        </w:rPr>
        <w:t xml:space="preserve">3. Supplier Assessment</w:t>
      </w:r>
    </w:p>
    <w:p>
      <w:pPr>
        <w:spacing w:after="120"/>
      </w:pPr>
      <w:r>
        <w:rPr>
          <w:rFonts w:ascii="Arial" w:cs="Arial" w:eastAsia="Arial" w:hAnsi="Arial"/>
          <w:sz w:val="22"/>
          <w:szCs w:val="22"/>
        </w:rPr>
        <w:t>Critical R packages: NonCompart (NCA computation, including the terminal-slope selection), PowerTOST (sample size/power), nlme (mixed-effects BE models), ggplot2/plotly (visualization), digest (SHA-256 hashing). Validation only: replicateBE (reference implementation for replicate designs). All CRAN-hosted, peer-reviewed, widely adopted. CDISC parameter codes come from one pinned, dated release of CDISC SDTM Controlled Terminology (2026-03-27), stored in the repository with its source hash.</w:t>
      </w:r>
    </w:p>
    <w:p>
      <w:pPr>
        <w:pStyle w:val="Heading1"/>
      </w:pPr>
      <w:r>
        <w:rPr>
          <w:rFonts w:ascii="Arial" w:cs="Arial" w:eastAsia="Arial" w:hAnsi="Arial"/>
        </w:rPr>
        <w:t xml:space="preserve">4. Risk Assessment (FMEA per ICH Q9)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160"/>
        <w:gridCol w:w="800"/>
        <w:gridCol w:w="800"/>
        <w:gridCol w:w="800"/>
        <w:gridCol w:w="800"/>
        <w:gridCol w:w="1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 ID</w:t>
            </w:r>
          </w:p>
        </w:tc>
        <w:tc>
          <w:tcPr>
            <w:tcW w:type="dxa" w:w="31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Failure Mode</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Sev</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Occ</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Det</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RPN</w:t>
            </w:r>
          </w:p>
        </w:tc>
        <w:tc>
          <w:tcPr>
            <w:tcW w:type="dxa" w:w="1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Control</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FM-GEN-01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URS-GEN-01 not met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Validation tests for URS-GEN-01</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FM-GEN-02</w:t>
            </w:r>
          </w:p>
        </w:tc>
        <w:tc>
          <w:tcPr>
            <w:tcW w:type="dxa" w:w="31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URS-GEN-03 not met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8</w:t>
            </w:r>
          </w:p>
        </w:tc>
        <w:tc>
          <w:tcPr>
            <w:tcW w:type="dxa" w:w="1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Validation tests for URS-GEN-03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FM-GEN-03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URS-GEN-04 not met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Validation tests for URS-GEN-04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FM-GEN-04</w:t>
            </w:r>
          </w:p>
        </w:tc>
        <w:tc>
          <w:tcPr>
            <w:tcW w:type="dxa" w:w="31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URS-GEN-05 not met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8</w:t>
            </w:r>
          </w:p>
        </w:tc>
        <w:tc>
          <w:tcPr>
            <w:tcW w:type="dxa" w:w="1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Validation tests for URS-GEN-05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FM-GEN-05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URS-GEN-06 not met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Validation tests for URS-GEN-06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FM-DAT-01</w:t>
            </w:r>
          </w:p>
        </w:tc>
        <w:tc>
          <w:tcPr>
            <w:tcW w:type="dxa" w:w="31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URS-DAT-01 not met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4</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16</w:t>
            </w:r>
          </w:p>
        </w:tc>
        <w:tc>
          <w:tcPr>
            <w:tcW w:type="dxa" w:w="1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Validation tests for URS-DAT-01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FM-DAT-02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URS-DAT-02 not met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7</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Validation tests for URS-DAT-02</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FM-DAT-03</w:t>
            </w:r>
          </w:p>
        </w:tc>
        <w:tc>
          <w:tcPr>
            <w:tcW w:type="dxa" w:w="31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URS-DAT-03 not met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7</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28</w:t>
            </w:r>
          </w:p>
        </w:tc>
        <w:tc>
          <w:tcPr>
            <w:tcW w:type="dxa" w:w="1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Validation tests for URS-DAT-03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FM-DAT-04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URS-DAT-04 not met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7</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Validation tests for URS-DAT-04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FM-DAT-05</w:t>
            </w:r>
          </w:p>
        </w:tc>
        <w:tc>
          <w:tcPr>
            <w:tcW w:type="dxa" w:w="31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URS-DAT-05 not met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7</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28</w:t>
            </w:r>
          </w:p>
        </w:tc>
        <w:tc>
          <w:tcPr>
            <w:tcW w:type="dxa" w:w="1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Validation tests for URS-DAT-05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FM-DAT-06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URS-DAT-06 not met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Validation tests for URS-DAT-06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FM-DAT-07</w:t>
            </w:r>
          </w:p>
        </w:tc>
        <w:tc>
          <w:tcPr>
            <w:tcW w:type="dxa" w:w="31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URS-DAT-07 not met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4</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16</w:t>
            </w:r>
          </w:p>
        </w:tc>
        <w:tc>
          <w:tcPr>
            <w:tcW w:type="dxa" w:w="1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Validation tests for URS-DAT-07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FM-NCA-01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URS-NCA-01 not met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10</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40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Validation tests for URS-NCA-01</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FM-NCA-02</w:t>
            </w:r>
          </w:p>
        </w:tc>
        <w:tc>
          <w:tcPr>
            <w:tcW w:type="dxa" w:w="31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URS-NCA-02 not met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7</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28</w:t>
            </w:r>
          </w:p>
        </w:tc>
        <w:tc>
          <w:tcPr>
            <w:tcW w:type="dxa" w:w="1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Validation tests for URS-NCA-02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FM-NCA-03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URS-NCA-03 not met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7</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Validation tests for URS-NCA-03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FM-NCA-04</w:t>
            </w:r>
          </w:p>
        </w:tc>
        <w:tc>
          <w:tcPr>
            <w:tcW w:type="dxa" w:w="31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URS-NCA-04 not met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10</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40</w:t>
            </w:r>
          </w:p>
        </w:tc>
        <w:tc>
          <w:tcPr>
            <w:tcW w:type="dxa" w:w="1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Validation tests for URS-NCA-04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FM-NCA-05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URS-NCA-05 not met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Validation tests for URS-NCA-05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FM-NCA-06</w:t>
            </w:r>
          </w:p>
        </w:tc>
        <w:tc>
          <w:tcPr>
            <w:tcW w:type="dxa" w:w="31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URS-NCA-06 not met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7</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28</w:t>
            </w:r>
          </w:p>
        </w:tc>
        <w:tc>
          <w:tcPr>
            <w:tcW w:type="dxa" w:w="1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Validation tests for URS-NCA-06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FM-NCA-07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URS-NCA-07 not met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Validation tests for URS-NCA-07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FM-NCA-08</w:t>
            </w:r>
          </w:p>
        </w:tc>
        <w:tc>
          <w:tcPr>
            <w:tcW w:type="dxa" w:w="31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URS-NCA-08 not met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4</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16</w:t>
            </w:r>
          </w:p>
        </w:tc>
        <w:tc>
          <w:tcPr>
            <w:tcW w:type="dxa" w:w="1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Validation tests for URS-NCA-08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FM-NCA-09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URS-NCA-09 not met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Validation tests for URS-NCA-09</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FM-NCA-10</w:t>
            </w:r>
          </w:p>
        </w:tc>
        <w:tc>
          <w:tcPr>
            <w:tcW w:type="dxa" w:w="31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URS-NCA-10 not met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7</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28</w:t>
            </w:r>
          </w:p>
        </w:tc>
        <w:tc>
          <w:tcPr>
            <w:tcW w:type="dxa" w:w="1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Validation tests for URS-NCA-10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FM-NCA-11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URS-NCA-11 not met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Validation tests for URS-NCA-11</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FM-NCA-12</w:t>
            </w:r>
          </w:p>
        </w:tc>
        <w:tc>
          <w:tcPr>
            <w:tcW w:type="dxa" w:w="31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URS-NCA-12 not met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7</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28</w:t>
            </w:r>
          </w:p>
        </w:tc>
        <w:tc>
          <w:tcPr>
            <w:tcW w:type="dxa" w:w="1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Validation tests for URS-NCA-12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FM-NCA-13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URS-NCA-13 not met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10</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Validation tests for URS-NCA-13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FM-NCA-14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URS-NCA-14 not met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Validation tests for URS-NCA-14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FM-BE-01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URS-BE-01 not met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10</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40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Validation tests for URS-BE-01</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FM-BE-02</w:t>
            </w:r>
          </w:p>
        </w:tc>
        <w:tc>
          <w:tcPr>
            <w:tcW w:type="dxa" w:w="31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URS-BE-02 not met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7</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28</w:t>
            </w:r>
          </w:p>
        </w:tc>
        <w:tc>
          <w:tcPr>
            <w:tcW w:type="dxa" w:w="1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Validation tests for URS-BE-02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FM-BE-03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URS-BE-03 not met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10</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40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Validation tests for URS-BE-03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FM-BE-04</w:t>
            </w:r>
          </w:p>
        </w:tc>
        <w:tc>
          <w:tcPr>
            <w:tcW w:type="dxa" w:w="31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URS-BE-04 not met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10</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40</w:t>
            </w:r>
          </w:p>
        </w:tc>
        <w:tc>
          <w:tcPr>
            <w:tcW w:type="dxa" w:w="1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Validation tests for URS-BE-04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FM-BE-05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URS-BE-05 not met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7</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Validation tests for URS-BE-05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FM-BE-06</w:t>
            </w:r>
          </w:p>
        </w:tc>
        <w:tc>
          <w:tcPr>
            <w:tcW w:type="dxa" w:w="31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URS-BE-06 not met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8</w:t>
            </w:r>
          </w:p>
        </w:tc>
        <w:tc>
          <w:tcPr>
            <w:tcW w:type="dxa" w:w="1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Validation tests for URS-BE-06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FM-BE-07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URS-BE-07 not met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Validation tests for URS-BE-07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FM-BE-08</w:t>
            </w:r>
          </w:p>
        </w:tc>
        <w:tc>
          <w:tcPr>
            <w:tcW w:type="dxa" w:w="31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URS-BE-08 not met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8</w:t>
            </w:r>
          </w:p>
        </w:tc>
        <w:tc>
          <w:tcPr>
            <w:tcW w:type="dxa" w:w="1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Validation tests for URS-BE-08</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FM-BE-09</w:t>
            </w:r>
          </w:p>
        </w:tc>
        <w:tc>
          <w:tcPr>
            <w:tcW w:type="dxa" w:w="31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URS-BE-09 not met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Validation tests for URS-BE-09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FM-BE-10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URS-BE-10 not met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10</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Validation tests for URS-BE-10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FM-PWR-01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URS-PWR-01 not met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7</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Validation tests for URS-PWR-01</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FM-PWR-02</w:t>
            </w:r>
          </w:p>
        </w:tc>
        <w:tc>
          <w:tcPr>
            <w:tcW w:type="dxa" w:w="31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URS-PWR-02 not met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4</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16</w:t>
            </w:r>
          </w:p>
        </w:tc>
        <w:tc>
          <w:tcPr>
            <w:tcW w:type="dxa" w:w="1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Validation tests for URS-PWR-02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FM-PWR-03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URS-PWR-03 not met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Validation tests for URS-PWR-03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FM-PWR-04</w:t>
            </w:r>
          </w:p>
        </w:tc>
        <w:tc>
          <w:tcPr>
            <w:tcW w:type="dxa" w:w="31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URS-PWR-04 not met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8</w:t>
            </w:r>
          </w:p>
        </w:tc>
        <w:tc>
          <w:tcPr>
            <w:tcW w:type="dxa" w:w="1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Validation tests for URS-PWR-04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FM-PWR-05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URS-PWR-05 not met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Validation tests for URS-PWR-05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FM-PWR-06</w:t>
            </w:r>
          </w:p>
        </w:tc>
        <w:tc>
          <w:tcPr>
            <w:tcW w:type="dxa" w:w="31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URS-PWR-06 not met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4</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16</w:t>
            </w:r>
          </w:p>
        </w:tc>
        <w:tc>
          <w:tcPr>
            <w:tcW w:type="dxa" w:w="1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Validation tests for URS-PWR-06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FM-EXP-01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URS-EXP-01 not met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7</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Validation tests for URS-EXP-01</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FM-EXP-02</w:t>
            </w:r>
          </w:p>
        </w:tc>
        <w:tc>
          <w:tcPr>
            <w:tcW w:type="dxa" w:w="31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URS-EXP-02 not met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7</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28</w:t>
            </w:r>
          </w:p>
        </w:tc>
        <w:tc>
          <w:tcPr>
            <w:tcW w:type="dxa" w:w="1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Validation tests for URS-EXP-02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FM-EXP-03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URS-EXP-03 not met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Validation tests for URS-EXP-03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FM-EXP-04</w:t>
            </w:r>
          </w:p>
        </w:tc>
        <w:tc>
          <w:tcPr>
            <w:tcW w:type="dxa" w:w="31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URS-EXP-04 not met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7</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28</w:t>
            </w:r>
          </w:p>
        </w:tc>
        <w:tc>
          <w:tcPr>
            <w:tcW w:type="dxa" w:w="1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Validation tests for URS-EXP-04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FM-EXP-05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URS-EXP-05 not met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Validation tests for URS-EXP-05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FM-EXP-06</w:t>
            </w:r>
          </w:p>
        </w:tc>
        <w:tc>
          <w:tcPr>
            <w:tcW w:type="dxa" w:w="31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URS-EXP-06 not met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4</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16</w:t>
            </w:r>
          </w:p>
        </w:tc>
        <w:tc>
          <w:tcPr>
            <w:tcW w:type="dxa" w:w="1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Validation tests for URS-EXP-06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FM-EXP-07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URS-EXP-07 not met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7</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Validation tests for URS-EXP-07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FM-EXP-08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URS-EXP-08 not met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7</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Validation tests for URS-EXP-08</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FM-UI-01</w:t>
            </w:r>
          </w:p>
        </w:tc>
        <w:tc>
          <w:tcPr>
            <w:tcW w:type="dxa" w:w="31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URS-UI-01 not met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8</w:t>
            </w:r>
          </w:p>
        </w:tc>
        <w:tc>
          <w:tcPr>
            <w:tcW w:type="dxa" w:w="1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Validation tests for URS-UI-01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FM-UI-02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URS-UI-02 not met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Validation tests for URS-UI-02</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FM-UI-03</w:t>
            </w:r>
          </w:p>
        </w:tc>
        <w:tc>
          <w:tcPr>
            <w:tcW w:type="dxa" w:w="31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URS-UI-03 not met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8</w:t>
            </w:r>
          </w:p>
        </w:tc>
        <w:tc>
          <w:tcPr>
            <w:tcW w:type="dxa" w:w="1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Validation tests for URS-UI-03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FM-UI-04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URS-UI-04 not met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Validation tests for URS-UI-04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FM-VIZ-01</w:t>
            </w:r>
          </w:p>
        </w:tc>
        <w:tc>
          <w:tcPr>
            <w:tcW w:type="dxa" w:w="31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URS-VIZ-01 not met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8</w:t>
            </w:r>
          </w:p>
        </w:tc>
        <w:tc>
          <w:tcPr>
            <w:tcW w:type="dxa" w:w="1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Validation tests for URS-VIZ-01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FM-VIZ-02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URS-VIZ-02 not met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Validation tests for URS-VIZ-02</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FM-VIZ-03</w:t>
            </w:r>
          </w:p>
        </w:tc>
        <w:tc>
          <w:tcPr>
            <w:tcW w:type="dxa" w:w="31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URS-VIZ-03 not met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8</w:t>
            </w:r>
          </w:p>
        </w:tc>
        <w:tc>
          <w:tcPr>
            <w:tcW w:type="dxa" w:w="1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Validation tests for URS-VIZ-03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FM-VIZ-04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URS-VIZ-04 not met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Validation tests for URS-VIZ-04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FM-VIZ-05</w:t>
            </w:r>
          </w:p>
        </w:tc>
        <w:tc>
          <w:tcPr>
            <w:tcW w:type="dxa" w:w="31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URS-VIZ-05 not met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8</w:t>
            </w:r>
          </w:p>
        </w:tc>
        <w:tc>
          <w:tcPr>
            <w:tcW w:type="dxa" w:w="1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Validation tests for URS-VIZ-05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FM-VIZ-06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URS-VIZ-06 not met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Validation tests for URS-VIZ-06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FM-VIZ-07</w:t>
            </w:r>
          </w:p>
        </w:tc>
        <w:tc>
          <w:tcPr>
            <w:tcW w:type="dxa" w:w="31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URS-VIZ-07 not met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8</w:t>
            </w:r>
          </w:p>
        </w:tc>
        <w:tc>
          <w:tcPr>
            <w:tcW w:type="dxa" w:w="1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Validation tests for URS-VIZ-07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FM-VIZ-08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URS-VIZ-08 not met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Validation tests for URS-VIZ-08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FM-VIZ-09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URS-VIZ-09 not met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Validation tests for URS-VIZ-09</w:t>
            </w:r>
          </w:p>
        </w:tc>
      </w:tr>
    </w:tbl>
    <w:p>
      <w:r>
        <w:br w:type="page"/>
      </w:r>
    </w:p>
    <w:p>
      <w:pPr>
        <w:pStyle w:val="Heading1"/>
      </w:pPr>
      <w:r>
        <w:rPr>
          <w:rFonts w:ascii="Arial" w:cs="Arial" w:eastAsia="Arial" w:hAnsi="Arial"/>
        </w:rPr>
        <w:t xml:space="preserve">5. Requirements</w:t>
      </w:r>
    </w:p>
    <w:p>
      <w:pPr>
        <w:pStyle w:val="Heading2"/>
      </w:pPr>
      <w:r>
        <w:rPr>
          <w:rFonts w:ascii="Arial" w:cs="Arial" w:eastAsia="Arial" w:hAnsi="Arial"/>
        </w:rPr>
        <w:t xml:space="preserve">5.1 General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be accessible via a standard web browser without local installation beyond R and required packages.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App launches via shiny::runApp() and renders in Chrome/Firefox/Edge.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FM-GEN-01</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URS-GEN-03</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statistical methods page shall document all formulas, algorithms, and references used, as implemented, including partial AUCs and how they are calculated, interpolated and compared.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Methods page accessible from navigation; its statements on slope selection, R² threshold, acceptance limits, rounding and simulations match the code.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FM-GEN-02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URS-GEN-04</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not persistently store user data between sessions.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No database or persistent storage beyond the R session.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FM-GEN-03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URS-GEN-05</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display the current application version.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APP_VERSION displayed in UI and included in exports.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FM-GEN-04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URS-GEN-06</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Results, downloads and Analysis Records shall list the official CDISC PK parameter code (PPTESTCD/PPTEST) for each parameter from one pinned, dated release of CDISC SDTM Controlled Terminology, and state the release. Parameters without a code in that release shall be marked as such, not given an invented code.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Codes taken from release 2026-03-27 (codelists C85839/C85493); release date and source hash stated; mapping depends on route and steady state; results are not described as SDTM PP datasets. Partial AUC columns map to AUCINT, with the interval start and end named for PPSTINT/PPENINT.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FM-GEN-05</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5.2 Data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accept CSV and Excel (.xlsx/.xls) flat-file uploads (comma or semicolon separator, point or comma decimal mark) and, through a separate upload option, CDISC ADNCA-shaped datasets.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Flat files load without error and decimal-comma numbers stored as text are read; an ADNCA dataset is converted only with an explicit time variable (NRRLT, ARRLT or MRRLT; AFRLT refused), ANL01FL applied, derived records (DTYPE) refused, one analyte and matrix, and the choices recorded; the standalone converter uses the same code.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FM-DAT-01</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auto-detect Subject, Time, and Concentration columns from common naming conventions.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7 naming conventions correctly detected for all 3 required columns.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FM-DAT-02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perform 20+ data quality checks with severity levels (ERROR/WARNING/INFO/OK), including interlocks that refuse data it cannot analyse safely.</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run_data_quality_check returns structured findings; ERRORs block processing; CDISC-shaped flat files, mixed units, dates or clock times as time, profiles not starting near time zero, and stacked profiles are refused; an empty LLOQ is reported, not a crash.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FM-DAT-03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implement 6 BLQ handling rules, applied per profile (subject × treatment × period) in time order. Text '&lt;x', BLQ, BQL, BLOQ, ND and NQ shall be handled as BLQ when an LLOQ is set; NS, N/A and missing shall stay missing.</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All 6 rules produce correct output per profile regardless of file order; BLQ text handled as specified.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FM-DAT-04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block analysis when ERROR-severity data quality issues are present.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Processing halts with notification when qc$pass == FALSE.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FM-DAT-05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handle file read errors gracefully with user notification.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Malformed files produce error notification, not R crash.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FM-DAT-06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auto-detect study design (single-arm, parallel, crossover) from data structure.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detect_study_design correctly identifies all design types.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FM-DAT-07</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5.3 NCA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compute standard NCA parameters (Cmax, Tmax, AUClast, AUCinf, t½, λz, CL, Vz) using NonCompart.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IV bolus analytical ground truth within tolerance.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FM-NCA-01</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support 3 administration routes: extravascular, IV bolus, IV infusion.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Route selection determines parameter names (CL vs CL/F).</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FM-NCA-02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support 2 trapezoidal methods: linear and linear-up/log-down.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Both methods produce valid AUC; log-down more accurate for decay.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FM-NCA-03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estimate λz with NonCompart's best-fit adjusted R² selection. When the selected automatic fit is below the configurable threshold (default 0.70), λz and all parameters derived from it (t½, AUCinf, %extrapolated, AUMCinf, MRT, CL, Vz) shall not be reported for that profile, with a note. The half-life review shall show the same fit as the results.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λz matches analytical value; fits below the threshold give missing λz-dependent parameters (manual selections exempt; CL kept at steady state); review panel half-life and points equal NonCompart's.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FM-NCA-04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provide single-subject NCA with interactive concentration-time plot. A result shall belong to the profile it was computed for.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sNCA produces valid results; plot is interactive; the result is cleared when the profile, data source or data change.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FM-NCA-05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perform batch NCA across all profiles (subject × treatment × period) with summary statistics.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tblNCA returns one row per profile; replicate administrations are separate profiles; summary statistics are given per treatment on screen, in the Excel download and in the Analysis Record.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FM-NCA-06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steady-state NCA with a user-entered dosing interval (τ).</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AUCτ is the AUC from 0 to τ (extrapolated when the last sample precedes τ); Cavg, Cmin, fluctuation and swing are reported in all paths; CL/F and Vz/F use AUCτ; analysis refuses to run without τ.</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FM-NCA-07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compute dose-normalized parameters, each profile divided by its own dose.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CMAX_DN = CMAX/dose of that profile; all expected DN columns created.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FM-NCA-08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dosing from a data column, per profile, so that a subject may receive different doses in different periods.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Different doses per subject and per period produce the corresponding CL values; doses matched by profile, never by position.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FM-NCA-09</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URS-NCA-10</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handle edge cases without crashing.</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No R crash on any edge case input.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FM-NCA-10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URS-NCA-11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parse manually entered time/concentration data from text input.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parse_manual handles all input variants correctly.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FM-NCA-11</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URS-NCA-12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allow manual selection of terminal phase data points for λz estimation with validation guards (minimum 2 points, positive slope) and user notification. All dependent parameters shall be recomputed by NonCompart from the selected points.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Recalculated λz matches manual regression; CL/V use NonCompart's unit conversion; negative slope rejected; 2-point warning displayed; selections kept when the analysis is run again.</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FM-NCA-12</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URS-NCA-13</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calculate partial AUCs over intervals entered by the user, with an end at a time or at the last measurable concentration (t), using the trapezoidal method of the analysis. A partial AUC that would need data after the last measurable concentration shall not be reported. Optionally the highest observed concentration within an interval and its time shall be reported.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Values equal hand-calculated trapezoids for both trapezoidal methods; an interval ending at t equals AUC0-t minus the AUC from 0 to the start, per profile; nothing is reported past the last measurable concentration, whatever the lambda-z fit; batch, single-profile and bioequivalence paths agree.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FM-NCA-13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URS-NCA-14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At steady state the system shall refuse partial AUC intervals that do not lie within 0 to the dosing interval (tau).</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An interval ending after tau, or at the last measurable concentration, is refused with a message and no analysis is produced; a 0-tau interval equals AUCtau when tau lies within the sampled profile.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FM-NCA-14</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5.4 BE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perform ANOVA-based average bioequivalence analysis on log-transformed PK parameters, with Sequence, Subject, Period and Treatment as factors (EMA Method A), and the Reference treatment chosen by the user.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Correct model per design; MSE &gt; 0; ratio is Test/Reference for the chosen Reference whatever the treatment names; the compared treatments are shown in the results.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FM-BE-01</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support the designs of the shared design registry: 2×2×2 crossover, 2×2×3 and 2×2×4 full replicate, 2×3×3 partial replicate, parallel groups, and paired comparison (single sequence; no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Each design produces valid results; replicate administrations enter the model once each; results agree with replicateBE method A on its 30 reference data sets; paired df = N−1; a single treatment order is analysed as paired.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FM-BE-02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compute 90% confidence intervals for the geometric mean ratio.</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CI contains true ratio when data has known GMR.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FM-BE-03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determine the BE conclusion (YES/NO) from the confidence interval, rounded to two decimals, against the acceptance limits. With limits wider than 80–125% the point estimate shall also lie within 80.00–125.00% unless the user switches this off. Half-life shall be reported as a ratio with its confidence interval without a verdict; untransformed parameters, Tmax and paired comparisons shall receive no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BE=YES when the rounded CI is within the limits (and the point estimate, when required); difference scale and paired comparisons report 'no verdict'.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FM-BE-04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both fixed-effects and mixed-effects (nlme) models, and report which model was fitted.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Mixed model converges; GMR agrees with fixed effects within 5%; a failed mixed fit is reported in the Model column.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FM-BE-05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generate a forest plot of BE results.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Forest plot displays point estimates and CI bars.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FM-BE-06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allow configurable CI level and acceptance limits.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Default 90% CI, 80–125% limits; user can modify; column labels follow the chosen level.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FM-BE-07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provide individual concentration-time profiles per subject in the BE module, with treatment overlay and log-scale option.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Per-subject faceted plot renders for crossover data with treatment colour coding.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FM-BE-08</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URS-BE-09</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For replicate designs the system shall report the within-subject variability of the Reference (and of the Test where replicated) and the EMA expanded limits it would imply, for information only, without a scaled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CVwR and CVwT from the period-adjusted model on subjects with the treatment at least twice; ABEL limits match PowerTOST scABEL; values agree with replicateBE method 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FM-BE-09</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URS-BE-10</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compare partial AUCs, and the maximum concentration within an interval, in the bioequivalence analysis. A verdict shall be given only for intervals marked pivotal, and no estimate and no verdict when any profile in the comparison has a value of zero.</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confidence interval equals lm() on the log values and agrees with replicateBE for a replicate design; supportive metrics show ratio and CI without a verdict; a zero suppresses that metric only, which keeps its row with the counts of zero and missing profiles per treatment.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FM-BE-10</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5.5 Power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compute sample sizes using PowerTOST for average bioequivalence (TOST), EMA ABEL (scABEL), FDA RSABE and FDA NTID. Scaled methods shall use the within-subject CVs of both Test and Reference.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All functions return valid sample sizes for standard inputs; scaled methods pass c(CVwT, CVwR); the help text states that a pivotal partial AUC is planned with its own within-subject CV.</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FM-PWR-01</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compute power at a given sample size.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power.TOST returns probability; power increases with N.</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FM-PWR-02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5 study designs for sample size calculation, from the same design registry as the bioequivalence analysis.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All 5 designs return valid N; planner and analysis offer the same designs under the same names. The default expected ratio follows the method (95%, 90% for ABEL/RSABE, 97.5% for NTID); parallel designs ask for the total CV.</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FM-PWR-03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display power curves showing power vs. sample size.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Power curve rendered with target power line.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FM-PWR-04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offer the within-subject CV estimated by the bioequivalence analysis of the current data as input for power calculations.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CV = 100·√(exp(MSE) − 1) from the log-scale BE model; not offered from between-subject spread; cleared when new data are processed.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FM-PWR-05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validate power/sample size inputs.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CV=0 causes caught error; extreme CV still computes.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FM-PWR-06</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5.6 Export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generate a Complete Analysis Record as a ZIP file.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Available from One Subject, All Subjects and Bioequivalence, and as a Figure Record from Visualize Data. ZIP contains results.xlsx, app_results_reference.csv, settings JSON, the shipped pipeline (nca_pipeline.R), repro script, reproduction check, three-way integrity manifest, summary, and a copy of the source data.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FM-EXP-01</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generate a standalone reproducibility R script that uses the app's own data-processing code.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Script parses as valid R; sources the shipped pipeline; re-verifies the source-data SHA-256; compares its output with the app results (MATCH / DIFFERENT); the app runs it when the record is created and reports the outcome.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FM-EXP-02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export analysis settings as JSON.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JSON includes app version, R version, column mapping, read settings, dose source, and for BE the design selected and analysed, Reference treatment, model, CI level, limits and point-estimate constraint.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FM-EXP-03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compute SHA-256 hashes for data integrity.</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digest::digest returns 64-character hex string. data_integrity.txt provides a three-way SHA-256 manifest over source data, analysis settings, and results.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FM-EXP-04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include BE results in the export when performed.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BE CI table and ANOVA tables in results.xlsx.</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FM-EXP-05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include application and package version information.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APP_VERSION and core package versions included.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FM-EXP-06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When manual λz overrides are applied, the Complete Analysis Record shall log profile identifiers, original and adjusted values.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Settings JSON contains lz_overrides. Repro script applies overrides. HTML shows override table.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FM-EXP-07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URS-EXP-08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Analysis Record shall store the partial AUC intervals with their roles and the BLQ share used for the note, and the reproducibility script shall recalculate the partial AUCs.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analysis_settings.json holds the intervals, roles and partial_auc_blq_fraction; the shipped script reproduces the partial AUCs (MATCH); a changed interval is reported as DIFFERENT.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FM-EXP-08</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5.7 Usability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URS-UI-01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All PK parameter abbreviations shall have plain-language labels and contextual help.</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&gt;80% of NCA output columns have friendly names; help topics defined; generated partial AUC column names are shown as plain-language labels with units.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FM-UI-01</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URS-UI-02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 Data Preparation Guide shall be accessible.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Guide with scenario tabs and example downloads.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FM-UI-02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URS-UI-03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application shall provide a central hub with clear workflow paths.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Landing page shows 6 workflow paths with descriptions.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FM-UI-03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URS-UI-04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provide actionable error messages for invalid inputs.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validate_mapping returns specific missing field names.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FM-UI-04</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5.8 Visualization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Visualization module shall be inaccessible until a valid dataset has been uploaded and processed. Navigation before upload shall not produce an error.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Data gate card displayed; no R error; no plot rendered.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FM-VIZ-01</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module shall provide an individual profiles plot (spaghetti plot) with colour-by options (Subject, Treatment, Period, Sequence). Unmapped columns shall not appear. A 'None' option shall always be available.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Colour-by dropdown restricted to mapped columns; all options render correctly.</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FM-VIZ-02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module shall provide a summary plot with geometric mean and geometric SD error bars. Arithmetic mean shall be available with a visible warning.</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GM &lt; AM (Jensen's inequality); error bars render; warning for arithmetic mean.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FM-VIZ-03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When two or more treatment levels are present, the summary plot shall overlay each treatment group as a distinct coloured series with a legend.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Treatment overlay renders automatically for crossover data.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FM-VIZ-04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Observations with concentration ≤ 0 shall be excluded from geometric mean/SD computation. The count of excluded observations shall be displayed.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Exclusion count shown; GM computed on positives only.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FM-VIZ-05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module shall support static export in PNG, PDF, and SVG with configurable dimensions (2–20 in) and resolution (150/300/600 DPI). Invalid values shall be rejected.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Export produces valid files; out-of-range values rejected with message.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FM-VIZ-06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 log10 Y-axis toggle shall be available. Observations with concentration ≤ 0 shall be silently omitted with an informational note.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Log scale renders without error; note displayed for omitted values.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FM-VIZ-07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 dose-normalisation option (C/Dose) shall be offered when a Dose column is mapped. Zero/NA doses shall produce NA, not Inf/NaN.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Option appears only when dose mapped; zero/NA doses handled as NA.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FM-VIZ-08</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URS-VIZ-09</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Visualize module shall produce a Figure Record: the exported figure, the figure settings, a standalone script that rebuilds the figure from the source data with the shipped pipeline, an integrity manifest and an HTML summary. Partial AUC intervals shaded on the figure shall be reproduced by that script.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record contains the figure, figure_settings.json, reproduce_figure.R, nca_pipeline.R, the integrity manifest and the HTML summary; running the script rebuilds the figure, including the shaded intervals.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FM-VIZ-09</w:t>
            </w:r>
          </w:p>
        </w:tc>
      </w:tr>
    </w:tbl>
    <w:p>
      <w:pPr>
        <w:spacing w:after="120"/>
      </w:pPr>
      <w:r>
        <w:rPr>
          <w:rFonts w:ascii="Arial" w:cs="Arial" w:eastAsia="Arial" w:hAnsi="Arial"/>
          <w:sz w:val="22"/>
          <w:szCs w:val="22"/>
        </w:rPr>
        <w:t xml:space="preserve"/>
      </w:r>
    </w:p>
    <w:p>
      <w:r>
        <w:br w:type="page"/>
      </w:r>
    </w:p>
    <w:p>
      <w:pPr>
        <w:pStyle w:val="Heading1"/>
      </w:pPr>
      <w:r>
        <w:rPr>
          <w:rFonts w:ascii="Arial" w:cs="Arial" w:eastAsia="Arial" w:hAnsi="Arial"/>
        </w:rPr>
        <w:t xml:space="preserve">6. Traceability</w:t>
      </w:r>
    </w:p>
    <w:p>
      <w:pPr>
        <w:spacing w:after="120"/>
      </w:pPr>
      <w:r>
        <w:rPr>
          <w:rFonts w:ascii="Arial" w:cs="Arial" w:eastAsia="Arial" w:hAnsi="Arial"/>
          <w:sz w:val="22"/>
          <w:szCs w:val="22"/>
        </w:rPr>
        <w:t xml:space="preserve">Each requirement is tested by one or more tests in validation/validation.R. Run: Rscript validation/validation.R</w:t>
      </w:r>
    </w:p>
    <w:p>
      <w:pPr>
        <w:pStyle w:val="Heading1"/>
      </w:pPr>
      <w:r>
        <w:rPr>
          <w:rFonts w:ascii="Arial" w:cs="Arial" w:eastAsia="Arial" w:hAnsi="Arial"/>
        </w:rPr>
        <w:t xml:space="preserve">7. Configuration Management</w:t>
      </w:r>
    </w:p>
    <w:p>
      <w:pPr>
        <w:spacing w:after="120"/>
      </w:pPr>
      <w:r>
        <w:rPr>
          <w:rFonts w:ascii="Arial" w:cs="Arial" w:eastAsia="Arial" w:hAnsi="Arial"/>
          <w:sz w:val="22"/>
          <w:szCs w:val="22"/>
        </w:rPr>
        <w:t xml:space="preserve">Source: github.com/robterheine/ncaassistant. Category A: cosmetic (no revalidation). Category B: functional within scope (targeted). Category C: new functionality (full revalidation).</w:t>
      </w:r>
    </w:p>
    <w:p>
      <w:pPr>
        <w:pStyle w:val="Heading1"/>
      </w:pPr>
      <w:r>
        <w:rPr>
          <w:rFonts w:ascii="Arial" w:cs="Arial" w:eastAsia="Arial" w:hAnsi="Arial"/>
        </w:rPr>
        <w:t xml:space="preserve">8. Regulatory References</w:t>
      </w:r>
    </w:p>
    <w:p>
      <w:pPr>
        <w:spacing w:after="120"/>
      </w:pPr>
      <w:r>
        <w:rPr>
          <w:rFonts w:ascii="Arial" w:cs="Arial" w:eastAsia="Arial" w:hAnsi="Arial"/>
          <w:sz w:val="22"/>
          <w:szCs w:val="22"/>
        </w:rPr>
        <w:t xml:space="preserve">ISPE GAMP 5, 2nd Edition (2022)</w:t>
      </w:r>
    </w:p>
    <w:p>
      <w:pPr>
        <w:spacing w:after="120"/>
      </w:pPr>
      <w:r>
        <w:rPr>
          <w:rFonts w:ascii="Arial" w:cs="Arial" w:eastAsia="Arial" w:hAnsi="Arial"/>
          <w:sz w:val="22"/>
          <w:szCs w:val="22"/>
        </w:rPr>
        <w:t xml:space="preserve">ICH Q9(R1): Quality Risk Management (2023)</w:t>
      </w:r>
    </w:p>
    <w:p>
      <w:pPr>
        <w:spacing w:after="120"/>
      </w:pPr>
      <w:r>
        <w:rPr>
          <w:rFonts w:ascii="Arial" w:cs="Arial" w:eastAsia="Arial" w:hAnsi="Arial"/>
          <w:sz w:val="22"/>
          <w:szCs w:val="22"/>
        </w:rPr>
        <w:t>FDA Bioavailability/Bioequivalence Guidance (2014); FDA Statistical Approaches to Establishing Bioequivalence (2026)</w:t>
      </w:r>
    </w:p>
    <w:p>
      <w:pPr>
        <w:spacing w:after="120"/>
      </w:pPr>
      <w:r>
        <w:rPr>
          <w:rFonts w:ascii="Arial" w:cs="Arial" w:eastAsia="Arial" w:hAnsi="Arial"/>
          <w:sz w:val="22"/>
          <w:szCs w:val="22"/>
        </w:rPr>
        <w:t xml:space="preserve">EMA Bioequivalence Guideline CPMP/EWP/QWP/1401/98 Rev. 1 (2010)</w:t>
      </w:r>
    </w:p>
    <w:p>
      <w:pPr>
        <w:spacing w:after="120"/>
      </w:pPr>
      <w:r>
        <w:rPr>
          <w:rFonts w:ascii="Arial" w:cs="Arial" w:eastAsia="Arial" w:hAnsi="Arial"/>
          <w:sz w:val="22"/>
          <w:szCs w:val="22"/>
        </w:rPr>
        <w:t xml:space="preserve">21 CFR Part 320</w:t>
      </w:r>
    </w:p>
    <w:p>
      <w:pPr>
        <w:spacing w:after="120"/>
      </w:pPr>
      <w:r>
        <w:rPr>
          <w:rFonts w:ascii="Arial" w:cs="Arial" w:eastAsia="Arial" w:hAnsi="Arial"/>
          <w:sz w:val="22"/>
          <w:szCs w:val="22"/>
        </w:rPr>
        <w:t>EU Annex 11: Computerised Systems (2011); CDISC SDTM Controlled Terminology, release 2026-03-27</w:t>
      </w:r>
    </w:p>
    <w:p>
      <w:pPr>
        <w:spacing w:after="120"/>
      </w:pPr>
      <w:r>
        <w:rPr>
          <w:rFonts w:ascii="Arial" w:cs="Arial" w:eastAsia="Arial" w:hAnsi="Arial"/>
          <w:sz w:val="22"/>
          <w:szCs w:val="22"/>
        </w:rPr>
        <w:t>FDA product-specific guidances defining partial AUC metrics; Hopefl R et al., Clin Pharmacol Ther 2025;117:1185-93</w:t>
      </w:r>
    </w:p>
    <w:p>
      <w:pPr>
        <w:spacing w:after="120"/>
      </w:pPr>
      <w:r>
        <w:rPr>
          <w:rFonts w:ascii="Arial" w:cs="Arial" w:eastAsia="Arial" w:hAnsi="Arial"/>
          <w:sz w:val="22"/>
          <w:szCs w:val="22"/>
        </w:rPr>
        <w:t>EMA Guideline on the pharmacokinetic and clinical evaluation of modified release dosage forms, EMA/CHMP/EWP/280/96 Rev1 (2014)</w:t>
      </w:r>
    </w:p>
    <w:p>
      <w:pPr>
        <w:pStyle w:val="Heading1"/>
      </w:pPr>
      <w:r>
        <w:rPr>
          <w:rFonts w:ascii="Arial" w:cs="Arial" w:eastAsia="Arial" w:hAnsi="Arial"/>
        </w:rPr>
        <w:t xml:space="preserve">9.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Term</w:t>
            </w:r>
          </w:p>
        </w:tc>
        <w:tc>
          <w:tcPr>
            <w:tcW w:type="dxa" w:w="73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Definition</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AUC</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Area Under the Concentration-time Curve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BE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Bioequivalence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BLQ</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Below Limit of Quantification</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ADNCA</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CDISC ADaM dataset structure for non-compartmental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CDISC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Clinical Data Interchange Standards Consortium</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CVwR / CVwT</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Within-subject coefficient of variation of the Reference / Test</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FMEA</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Failure Mode and Effects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GAMP</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Good Automated Manufacturing Practice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GMR</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Geometric Mean Ratio</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NCA</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Non-Compartmental Analysis</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User Requirement Specification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λz</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Terminal elimination rate constant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Partial AUC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Area under the concentration-time curve over part of the profile, for example AUC from 0 to 30 min. The interval comes from the protocol or a product-specific guidance.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Pivotal metric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bioequivalence metric that must meet the acceptance limits; it receives a verdict.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Supportive metric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bioequivalence metric reported with its ratio and confidence interval, without a verdict.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t (last measurable)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time of the last measurable concentration of a profile; the end of an interval written as 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NCA Assistant — User Requirement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2026-04-09T15:52:32.153Z</dcterms:created>
  <dcterms:modified xsi:type="dcterms:W3CDTF">2026-04-09T15:52:32.202Z</dcterms:modified>
</cp:coreProperties>
</file>

<file path=docProps/custom.xml><?xml version="1.0" encoding="utf-8"?>
<Properties xmlns="http://schemas.openxmlformats.org/officeDocument/2006/custom-properties" xmlns:vt="http://schemas.openxmlformats.org/officeDocument/2006/docPropsVTypes"/>
</file>