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Arial" w:cs="Arial" w:eastAsia="Arial" w:hAnsi="Arial"/>
          <w:b/>
          <w:bCs/>
          <w:color w:val="1B4F72"/>
          <w:sz w:val="52"/>
          <w:szCs w:val="52"/>
        </w:rPr>
        <w:t xml:space="preserve">NCA Assistant</w:t>
      </w:r>
    </w:p>
    <w:p>
      <w:pPr>
        <w:spacing w:after="80"/>
        <w:jc w:val="center"/>
      </w:pPr>
      <w:r>
        <w:rPr>
          <w:rFonts w:ascii="Arial" w:cs="Arial" w:eastAsia="Arial" w:hAnsi="Arial"/>
          <w:color w:val="2E86C1"/>
          <w:sz w:val="30"/>
          <w:szCs w:val="30"/>
        </w:rPr>
        <w:t xml:space="preserve">Installation, Operational, and Performance</w:t>
      </w:r>
    </w:p>
    <w:p>
      <w:pPr>
        <w:spacing w:after="200"/>
        <w:jc w:val="center"/>
      </w:pPr>
      <w:r>
        <w:rPr>
          <w:rFonts w:ascii="Arial" w:cs="Arial" w:eastAsia="Arial" w:hAnsi="Arial"/>
          <w:color w:val="2E86C1"/>
          <w:sz w:val="30"/>
          <w:szCs w:val="30"/>
        </w:rPr>
        <w:t xml:space="preserve">Qualification Protocol (IQ/OQ/PQ)</w:t>
      </w:r>
    </w:p>
    <w:p>
      <w:pPr>
        <w:spacing w:after="40"/>
        <w:jc w:val="center"/>
      </w:pPr>
      <w:r>
        <w:rPr>
          <w:rFonts w:ascii="Arial" w:cs="Arial" w:eastAsia="Arial" w:hAnsi="Arial"/>
          <w:color w:val="666666"/>
          <w:sz w:val="22"/>
          <w:szCs w:val="22"/>
        </w:rPr>
        <w:t xml:space="preserve">Version 1.0</w:t>
      </w:r>
    </w:p>
    <w:p>
      <w:pPr>
        <w:spacing w:after="400"/>
        <w:jc w:val="center"/>
      </w:pPr>
      <w:r>
        <w:rPr>
          <w:rFonts w:ascii="Arial" w:cs="Arial" w:eastAsia="Arial" w:hAnsi="Arial"/>
          <w:color w:val="666666"/>
          <w:sz w:val="22"/>
          <w:szCs w:val="22"/>
        </w:rPr>
        <w:t xml:space="preserve">2026-04-06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Version</w:t>
            </w:r>
          </w:p>
        </w:tc>
        <w:tc>
          <w:tcPr>
            <w:tcW w:type="dxa" w:w="234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Date</w:t>
            </w:r>
          </w:p>
        </w:tc>
        <w:tc>
          <w:tcPr>
            <w:tcW w:type="dxa" w:w="234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Author</w:t>
            </w:r>
          </w:p>
        </w:tc>
        <w:tc>
          <w:tcPr>
            <w:tcW w:type="dxa" w:w="234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Status</w:t>
            </w:r>
          </w:p>
        </w:tc>
      </w:tr>
      <w:tr>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18"/>
                <w:szCs w:val="18"/>
              </w:rPr>
              <w:t xml:space="preserve">1.0</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18"/>
                <w:szCs w:val="18"/>
              </w:rPr>
              <w:t xml:space="preserve">2026-04-06</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18"/>
                <w:szCs w:val="18"/>
              </w:rPr>
              <w:t xml:space="preserve">Radboud Applied Pharmacometrics</w:t>
            </w:r>
          </w:p>
        </w:tc>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18"/>
                <w:szCs w:val="18"/>
              </w:rPr>
              <w:t xml:space="preserve">Pre-filled — for execution and sign-off</w:t>
            </w:r>
          </w:p>
        </w:tc>
      </w:tr>
    </w:tbl>
    <w:p>
      <w:pPr>
        <w:spacing w:after="80"/>
      </w:pPr>
    </w:p>
    <w:p>
      <w:pPr>
        <w:spacing w:after="120"/>
        <w:jc w:val="left"/>
      </w:pPr>
      <w:r>
        <w:rPr>
          <w:rFonts w:ascii="Arial" w:cs="Arial" w:eastAsia="Arial" w:hAnsi="Arial"/>
          <w:b/>
          <w:bCs/>
          <w:i w:val="false"/>
          <w:iCs w:val="false"/>
          <w:color w:val="1B4F72"/>
          <w:sz w:val="22"/>
          <w:szCs w:val="22"/>
        </w:rPr>
        <w:t xml:space="preserve">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808"/>
        <w:gridCol w:w="1872"/>
        <w:gridCol w:w="1872"/>
      </w:tblGrid>
      <w:tr>
        <w:tc>
          <w:tcPr>
            <w:tcW w:type="dxa" w:w="2808"/>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Role</w:t>
            </w:r>
          </w:p>
        </w:tc>
        <w:tc>
          <w:tcPr>
            <w:tcW w:type="dxa" w:w="2808"/>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Name</w:t>
            </w:r>
          </w:p>
        </w:tc>
        <w:tc>
          <w:tcPr>
            <w:tcW w:type="dxa" w:w="1872"/>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Signature</w:t>
            </w:r>
          </w:p>
        </w:tc>
        <w:tc>
          <w:tcPr>
            <w:tcW w:type="dxa" w:w="1872"/>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Date</w:t>
            </w:r>
          </w:p>
        </w:tc>
      </w:tr>
      <w:tr>
        <w:tc>
          <w:tcPr>
            <w:tcW w:type="dxa" w:w="2808"/>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18"/>
                <w:szCs w:val="18"/>
              </w:rPr>
              <w:t xml:space="preserve">Executed by</w:t>
            </w:r>
          </w:p>
        </w:tc>
        <w:tc>
          <w:tcPr>
            <w:tcW w:type="dxa" w:w="2808"/>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18"/>
                <w:szCs w:val="18"/>
              </w:rPr>
              <w:t xml:space="preserve"/>
            </w:r>
          </w:p>
        </w:tc>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18"/>
                <w:szCs w:val="18"/>
              </w:rPr>
              <w:t xml:space="preserve"/>
            </w:r>
          </w:p>
        </w:tc>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18"/>
                <w:szCs w:val="18"/>
              </w:rPr>
              <w:t xml:space="preserve"/>
            </w:r>
          </w:p>
        </w:tc>
      </w:tr>
      <w:tr>
        <w:tc>
          <w:tcPr>
            <w:tcW w:type="dxa" w:w="2808"/>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18"/>
                <w:szCs w:val="18"/>
              </w:rPr>
              <w:t xml:space="preserve">Reviewed by</w:t>
            </w:r>
          </w:p>
        </w:tc>
        <w:tc>
          <w:tcPr>
            <w:tcW w:type="dxa" w:w="2808"/>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18"/>
                <w:szCs w:val="18"/>
              </w:rPr>
              <w:t xml:space="preserve"/>
            </w:r>
          </w:p>
        </w:tc>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18"/>
                <w:szCs w:val="18"/>
              </w:rPr>
              <w:t xml:space="preserve"/>
            </w:r>
          </w:p>
        </w:tc>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18"/>
                <w:szCs w:val="18"/>
              </w:rPr>
              <w:t xml:space="preserve"/>
            </w:r>
          </w:p>
        </w:tc>
      </w:tr>
      <w:tr>
        <w:tc>
          <w:tcPr>
            <w:tcW w:type="dxa" w:w="2808"/>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18"/>
                <w:szCs w:val="18"/>
              </w:rPr>
              <w:t xml:space="preserve">Quality Assurance</w:t>
            </w:r>
          </w:p>
        </w:tc>
        <w:tc>
          <w:tcPr>
            <w:tcW w:type="dxa" w:w="2808"/>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18"/>
                <w:szCs w:val="18"/>
              </w:rPr>
              <w:t xml:space="preserve"/>
            </w:r>
          </w:p>
        </w:tc>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18"/>
                <w:szCs w:val="18"/>
              </w:rPr>
              <w:t xml:space="preserve"/>
            </w:r>
          </w:p>
        </w:tc>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18"/>
                <w:szCs w:val="18"/>
              </w:rPr>
              <w:t xml:space="preserve"/>
            </w:r>
          </w:p>
        </w:tc>
      </w:tr>
      <w:tr>
        <w:tc>
          <w:tcPr>
            <w:tcW w:type="dxa" w:w="2808"/>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18"/>
                <w:szCs w:val="18"/>
              </w:rPr>
              <w:t xml:space="preserve">Approved by</w:t>
            </w:r>
          </w:p>
        </w:tc>
        <w:tc>
          <w:tcPr>
            <w:tcW w:type="dxa" w:w="2808"/>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18"/>
                <w:szCs w:val="18"/>
              </w:rPr>
              <w:t xml:space="preserve"/>
            </w:r>
          </w:p>
        </w:tc>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18"/>
                <w:szCs w:val="18"/>
              </w:rPr>
              <w:t xml:space="preserve"/>
            </w:r>
          </w:p>
        </w:tc>
        <w:tc>
          <w:tcPr>
            <w:tcW w:type="dxa" w:w="1872"/>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18"/>
                <w:szCs w:val="18"/>
              </w:rPr>
              <w:t xml:space="preserve"/>
            </w:r>
          </w:p>
        </w:tc>
      </w:tr>
    </w:tbl>
    <w:p>
      <w:r>
        <w:br w:type="page"/>
      </w:r>
    </w:p>
    <w:p>
      <w:pPr>
        <w:pStyle w:val="Heading1"/>
        <w:spacing w:after="120" w:before="200"/>
      </w:pPr>
      <w:r>
        <w:rPr>
          <w:rFonts w:ascii="Arial" w:cs="Arial" w:eastAsia="Arial" w:hAnsi="Arial"/>
        </w:rPr>
        <w:t xml:space="preserve">1. Purpose and Scope</w:t>
      </w:r>
    </w:p>
    <w:p>
      <w:pPr>
        <w:spacing w:after="120"/>
        <w:jc w:val="left"/>
      </w:pPr>
      <w:r>
        <w:rPr>
          <w:rFonts w:ascii="Arial" w:cs="Arial" w:eastAsia="Arial" w:hAnsi="Arial"/>
          <w:b w:val="false"/>
          <w:bCs w:val="false"/>
          <w:i w:val="false"/>
          <w:iCs w:val="false"/>
          <w:color w:val="333333"/>
          <w:sz w:val="20"/>
          <w:szCs w:val="20"/>
        </w:rPr>
        <w:t xml:space="preserve">This protocol defines the Installation Qualification (IQ), Operational Qualification (OQ), and Performance Qualification (PQ) for NCA Assistant v1.0. It verifies that the application is correctly installed, functions according to the User Requirement Specification (URS v1.0), and performs reliably in representative end-to-end workflows.</w:t>
      </w:r>
    </w:p>
    <w:p>
      <w:pPr>
        <w:spacing w:after="120"/>
        <w:jc w:val="left"/>
      </w:pPr>
      <w:r>
        <w:rPr>
          <w:rFonts w:ascii="Arial" w:cs="Arial" w:eastAsia="Arial" w:hAnsi="Arial"/>
          <w:b w:val="false"/>
          <w:bCs w:val="false"/>
          <w:i w:val="false"/>
          <w:iCs w:val="false"/>
          <w:color w:val="333333"/>
          <w:sz w:val="20"/>
          <w:szCs w:val="20"/>
        </w:rPr>
        <w:t xml:space="preserve">This protocol is pre-filled with expected results, observed results from the current validated build, and preliminary pass/fail status based on automated test suites. The qualified person executing this protocol should verify the pre-filled results, execute any manual checks, and sign off each section.</w:t>
      </w:r>
    </w:p>
    <w:p>
      <w:pPr>
        <w:pStyle w:val="Heading2"/>
        <w:spacing w:after="120" w:before="200"/>
      </w:pPr>
      <w:r>
        <w:rPr>
          <w:rFonts w:ascii="Arial" w:cs="Arial" w:eastAsia="Arial" w:hAnsi="Arial"/>
        </w:rPr>
        <w:t xml:space="preserve">1.1 Traceability</w:t>
      </w:r>
    </w:p>
    <w:p>
      <w:pPr>
        <w:spacing w:after="120"/>
        <w:jc w:val="left"/>
      </w:pPr>
      <w:r>
        <w:rPr>
          <w:rFonts w:ascii="Arial" w:cs="Arial" w:eastAsia="Arial" w:hAnsi="Arial"/>
          <w:b w:val="false"/>
          <w:bCs w:val="false"/>
          <w:i w:val="false"/>
          <w:iCs w:val="false"/>
          <w:color w:val="333333"/>
          <w:sz w:val="20"/>
          <w:szCs w:val="20"/>
        </w:rPr>
        <w:t xml:space="preserve">Every test case references one or more URS requirement IDs. The full traceability matrix is in the URS document (Section 6). Where a requirement is covered by an automated test, the OQ test case references the specific suite and section.</w:t>
      </w:r>
    </w:p>
    <w:p>
      <w:pPr>
        <w:pStyle w:val="Heading2"/>
        <w:spacing w:after="120" w:before="200"/>
      </w:pPr>
      <w:r>
        <w:rPr>
          <w:rFonts w:ascii="Arial" w:cs="Arial" w:eastAsia="Arial" w:hAnsi="Arial"/>
        </w:rPr>
        <w:t xml:space="preserve">1.2 Risk-Based Approach</w:t>
      </w:r>
    </w:p>
    <w:p>
      <w:pPr>
        <w:spacing w:after="120"/>
        <w:jc w:val="left"/>
      </w:pPr>
      <w:r>
        <w:rPr>
          <w:rFonts w:ascii="Arial" w:cs="Arial" w:eastAsia="Arial" w:hAnsi="Arial"/>
          <w:b w:val="false"/>
          <w:bCs w:val="false"/>
          <w:i w:val="false"/>
          <w:iCs w:val="false"/>
          <w:color w:val="333333"/>
          <w:sz w:val="20"/>
          <w:szCs w:val="20"/>
        </w:rPr>
        <w:t xml:space="preserve">Test depth follows risk classification from the URS FMEA (Section 4). HIGH-risk requirements (NCA accuracy, BE conclusions, reproducibility) have quantitative acceptance criteria with defined tolerances and scientific justification. MEDIUM-risk requirements have functional pass/fail criteria. LOW-risk requirements have observational criteria.</w:t>
      </w:r>
    </w:p>
    <w:p>
      <w:pPr>
        <w:pStyle w:val="Heading2"/>
        <w:spacing w:after="120" w:before="200"/>
      </w:pPr>
      <w:r>
        <w:rPr>
          <w:rFonts w:ascii="Arial" w:cs="Arial" w:eastAsia="Arial" w:hAnsi="Arial"/>
        </w:rPr>
        <w:t xml:space="preserve">1.3 Test Infrastructure Qualification</w:t>
      </w:r>
    </w:p>
    <w:p>
      <w:pPr>
        <w:spacing w:after="120"/>
        <w:jc w:val="left"/>
      </w:pPr>
      <w:r>
        <w:rPr>
          <w:rFonts w:ascii="Arial" w:cs="Arial" w:eastAsia="Arial" w:hAnsi="Arial"/>
          <w:b w:val="false"/>
          <w:bCs w:val="false"/>
          <w:i w:val="false"/>
          <w:iCs w:val="false"/>
          <w:color w:val="333333"/>
          <w:sz w:val="20"/>
          <w:szCs w:val="20"/>
        </w:rPr>
        <w:t xml:space="preserve">The application includes 239 automated test assertions across three suites. These tests are themselves verified by: (1) Cross-validation tests compare against analytically known ground truth (1-compartment IV bolus with closed-form solutions), ensuring the test oracle is mathematically correct rather than circular. (2) BE statistical tests compare against manual R calculations performed independently of the app code. (3) PowerTOST tests compare against published reference tables from peer-reviewed literature. IQ-11 verifies that all 239 tests pass, confirming the test infrastructure is functional before OQ/PQ execution.</w:t>
      </w:r>
    </w:p>
    <w:p>
      <w:pPr>
        <w:pStyle w:val="Heading2"/>
        <w:spacing w:after="120" w:before="200"/>
      </w:pPr>
      <w:r>
        <w:rPr>
          <w:rFonts w:ascii="Arial" w:cs="Arial" w:eastAsia="Arial" w:hAnsi="Arial"/>
        </w:rPr>
        <w:t xml:space="preserve">1.4 Deviation Handling</w:t>
      </w:r>
    </w:p>
    <w:p>
      <w:pPr>
        <w:spacing w:after="120"/>
        <w:jc w:val="left"/>
      </w:pPr>
      <w:r>
        <w:rPr>
          <w:rFonts w:ascii="Arial" w:cs="Arial" w:eastAsia="Arial" w:hAnsi="Arial"/>
          <w:b w:val="false"/>
          <w:bCs w:val="false"/>
          <w:i w:val="false"/>
          <w:iCs w:val="false"/>
          <w:color w:val="333333"/>
          <w:sz w:val="20"/>
          <w:szCs w:val="20"/>
        </w:rPr>
        <w:t xml:space="preserve">If any test case fails during execution:</w:t>
      </w:r>
    </w:p>
    <w:p>
      <w:pPr>
        <w:spacing w:after="120"/>
        <w:jc w:val="left"/>
      </w:pPr>
      <w:r>
        <w:rPr>
          <w:rFonts w:ascii="Arial" w:cs="Arial" w:eastAsia="Arial" w:hAnsi="Arial"/>
          <w:b w:val="false"/>
          <w:bCs w:val="false"/>
          <w:i w:val="false"/>
          <w:iCs w:val="false"/>
          <w:color w:val="333333"/>
          <w:sz w:val="20"/>
          <w:szCs w:val="20"/>
        </w:rPr>
        <w:t xml:space="preserve">(1) Record the actual result and mark the test as FAIL. (2) Open a deviation record with: test ID, expected vs. observed result, root cause analysis, and proposed corrective action. (3) Assess impact on other test cases. (4) After correction, re-execute the failed test and any impacted tests. (5) Document the resolution. The protocol cannot be approved with open deviations unless a formal risk acceptance is documented.</w:t>
      </w:r>
    </w:p>
    <w:p>
      <w:pPr>
        <w:pStyle w:val="Heading2"/>
        <w:spacing w:after="120" w:before="200"/>
      </w:pPr>
      <w:r>
        <w:rPr>
          <w:rFonts w:ascii="Arial" w:cs="Arial" w:eastAsia="Arial" w:hAnsi="Arial"/>
        </w:rPr>
        <w:t xml:space="preserve">1.5 Test Environment</w:t>
      </w:r>
    </w:p>
    <w:p>
      <w:pPr>
        <w:spacing w:after="120"/>
        <w:jc w:val="left"/>
      </w:pPr>
      <w:r>
        <w:rPr>
          <w:rFonts w:ascii="Arial" w:cs="Arial" w:eastAsia="Arial" w:hAnsi="Arial"/>
          <w:b w:val="false"/>
          <w:bCs w:val="false"/>
          <w:i w:val="false"/>
          <w:iCs w:val="false"/>
          <w:color w:val="333333"/>
          <w:sz w:val="20"/>
          <w:szCs w:val="20"/>
        </w:rPr>
        <w:t xml:space="preserve">The following should be recorded at the time of execution: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76"/>
        <w:gridCol w:w="6084"/>
      </w:tblGrid>
      <w:tr>
        <w:tc>
          <w:tcPr>
            <w:tcW w:type="dxa" w:w="3276"/>
            <w:tcBorders>
              <w:top w:val="single" w:color="999999" w:sz="1"/>
              <w:left w:val="single" w:color="999999" w:sz="1"/>
              <w:bottom w:val="single" w:color="999999" w:sz="1"/>
              <w:right w:val="single" w:color="999999" w:sz="1"/>
            </w:tcBorders>
            <w:shd w:fill="EBF5FB" w:val="clear"/>
            <w:tcMar>
              <w:top w:type="dxa" w:w="60"/>
              <w:left w:type="dxa" w:w="100"/>
              <w:bottom w:type="dxa" w:w="60"/>
              <w:right w:type="dxa" w:w="100"/>
            </w:tcMar>
          </w:tcPr>
          <w:p>
            <w:r>
              <w:rPr>
                <w:rFonts w:ascii="Arial" w:cs="Arial" w:eastAsia="Arial" w:hAnsi="Arial"/>
                <w:b/>
                <w:bCs/>
                <w:sz w:val="18"/>
                <w:szCs w:val="18"/>
              </w:rPr>
              <w:t xml:space="preserve">Operating System</w:t>
            </w:r>
          </w:p>
        </w:tc>
        <w:tc>
          <w:tcPr>
            <w:tcW w:type="dxa" w:w="6084"/>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18"/>
                <w:szCs w:val="18"/>
              </w:rPr>
              <w:t xml:space="preserve"/>
            </w:r>
          </w:p>
        </w:tc>
      </w:tr>
      <w:tr>
        <w:tc>
          <w:tcPr>
            <w:tcW w:type="dxa" w:w="3276"/>
            <w:tcBorders>
              <w:top w:val="single" w:color="999999" w:sz="1"/>
              <w:left w:val="single" w:color="999999" w:sz="1"/>
              <w:bottom w:val="single" w:color="999999" w:sz="1"/>
              <w:right w:val="single" w:color="999999" w:sz="1"/>
            </w:tcBorders>
            <w:shd w:fill="EBF5FB" w:val="clear"/>
            <w:tcMar>
              <w:top w:type="dxa" w:w="60"/>
              <w:left w:type="dxa" w:w="100"/>
              <w:bottom w:type="dxa" w:w="60"/>
              <w:right w:type="dxa" w:w="100"/>
            </w:tcMar>
          </w:tcPr>
          <w:p>
            <w:r>
              <w:rPr>
                <w:rFonts w:ascii="Arial" w:cs="Arial" w:eastAsia="Arial" w:hAnsi="Arial"/>
                <w:b/>
                <w:bCs/>
                <w:sz w:val="18"/>
                <w:szCs w:val="18"/>
              </w:rPr>
              <w:t xml:space="preserve">R Version</w:t>
            </w:r>
          </w:p>
        </w:tc>
        <w:tc>
          <w:tcPr>
            <w:tcW w:type="dxa" w:w="6084"/>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18"/>
                <w:szCs w:val="18"/>
              </w:rPr>
              <w:t xml:space="preserve"/>
            </w:r>
          </w:p>
        </w:tc>
      </w:tr>
      <w:tr>
        <w:tc>
          <w:tcPr>
            <w:tcW w:type="dxa" w:w="3276"/>
            <w:tcBorders>
              <w:top w:val="single" w:color="999999" w:sz="1"/>
              <w:left w:val="single" w:color="999999" w:sz="1"/>
              <w:bottom w:val="single" w:color="999999" w:sz="1"/>
              <w:right w:val="single" w:color="999999" w:sz="1"/>
            </w:tcBorders>
            <w:shd w:fill="EBF5FB" w:val="clear"/>
            <w:tcMar>
              <w:top w:type="dxa" w:w="60"/>
              <w:left w:type="dxa" w:w="100"/>
              <w:bottom w:type="dxa" w:w="60"/>
              <w:right w:type="dxa" w:w="100"/>
            </w:tcMar>
          </w:tcPr>
          <w:p>
            <w:r>
              <w:rPr>
                <w:rFonts w:ascii="Arial" w:cs="Arial" w:eastAsia="Arial" w:hAnsi="Arial"/>
                <w:b/>
                <w:bCs/>
                <w:sz w:val="18"/>
                <w:szCs w:val="18"/>
              </w:rPr>
              <w:t xml:space="preserve">renv Version</w:t>
            </w:r>
          </w:p>
        </w:tc>
        <w:tc>
          <w:tcPr>
            <w:tcW w:type="dxa" w:w="6084"/>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18"/>
                <w:szCs w:val="18"/>
              </w:rPr>
              <w:t xml:space="preserve"/>
            </w:r>
          </w:p>
        </w:tc>
      </w:tr>
      <w:tr>
        <w:tc>
          <w:tcPr>
            <w:tcW w:type="dxa" w:w="3276"/>
            <w:tcBorders>
              <w:top w:val="single" w:color="999999" w:sz="1"/>
              <w:left w:val="single" w:color="999999" w:sz="1"/>
              <w:bottom w:val="single" w:color="999999" w:sz="1"/>
              <w:right w:val="single" w:color="999999" w:sz="1"/>
            </w:tcBorders>
            <w:shd w:fill="EBF5FB" w:val="clear"/>
            <w:tcMar>
              <w:top w:type="dxa" w:w="60"/>
              <w:left w:type="dxa" w:w="100"/>
              <w:bottom w:type="dxa" w:w="60"/>
              <w:right w:type="dxa" w:w="100"/>
            </w:tcMar>
          </w:tcPr>
          <w:p>
            <w:r>
              <w:rPr>
                <w:rFonts w:ascii="Arial" w:cs="Arial" w:eastAsia="Arial" w:hAnsi="Arial"/>
                <w:b/>
                <w:bCs/>
                <w:sz w:val="18"/>
                <w:szCs w:val="18"/>
              </w:rPr>
              <w:t xml:space="preserve">Browser</w:t>
            </w:r>
          </w:p>
        </w:tc>
        <w:tc>
          <w:tcPr>
            <w:tcW w:type="dxa" w:w="6084"/>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18"/>
                <w:szCs w:val="18"/>
              </w:rPr>
              <w:t xml:space="preserve"/>
            </w:r>
          </w:p>
        </w:tc>
      </w:tr>
      <w:tr>
        <w:tc>
          <w:tcPr>
            <w:tcW w:type="dxa" w:w="3276"/>
            <w:tcBorders>
              <w:top w:val="single" w:color="999999" w:sz="1"/>
              <w:left w:val="single" w:color="999999" w:sz="1"/>
              <w:bottom w:val="single" w:color="999999" w:sz="1"/>
              <w:right w:val="single" w:color="999999" w:sz="1"/>
            </w:tcBorders>
            <w:shd w:fill="EBF5FB" w:val="clear"/>
            <w:tcMar>
              <w:top w:type="dxa" w:w="60"/>
              <w:left w:type="dxa" w:w="100"/>
              <w:bottom w:type="dxa" w:w="60"/>
              <w:right w:type="dxa" w:w="100"/>
            </w:tcMar>
          </w:tcPr>
          <w:p>
            <w:r>
              <w:rPr>
                <w:rFonts w:ascii="Arial" w:cs="Arial" w:eastAsia="Arial" w:hAnsi="Arial"/>
                <w:b/>
                <w:bCs/>
                <w:sz w:val="18"/>
                <w:szCs w:val="18"/>
              </w:rPr>
              <w:t xml:space="preserve">Execution Date</w:t>
            </w:r>
          </w:p>
        </w:tc>
        <w:tc>
          <w:tcPr>
            <w:tcW w:type="dxa" w:w="6084"/>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18"/>
                <w:szCs w:val="18"/>
              </w:rPr>
              <w:t xml:space="preserve"/>
            </w:r>
          </w:p>
        </w:tc>
      </w:tr>
      <w:tr>
        <w:tc>
          <w:tcPr>
            <w:tcW w:type="dxa" w:w="3276"/>
            <w:tcBorders>
              <w:top w:val="single" w:color="999999" w:sz="1"/>
              <w:left w:val="single" w:color="999999" w:sz="1"/>
              <w:bottom w:val="single" w:color="999999" w:sz="1"/>
              <w:right w:val="single" w:color="999999" w:sz="1"/>
            </w:tcBorders>
            <w:shd w:fill="EBF5FB" w:val="clear"/>
            <w:tcMar>
              <w:top w:type="dxa" w:w="60"/>
              <w:left w:type="dxa" w:w="100"/>
              <w:bottom w:type="dxa" w:w="60"/>
              <w:right w:type="dxa" w:w="100"/>
            </w:tcMar>
          </w:tcPr>
          <w:p>
            <w:r>
              <w:rPr>
                <w:rFonts w:ascii="Arial" w:cs="Arial" w:eastAsia="Arial" w:hAnsi="Arial"/>
                <w:b/>
                <w:bCs/>
                <w:sz w:val="18"/>
                <w:szCs w:val="18"/>
              </w:rPr>
              <w:t xml:space="preserve">Executed by</w:t>
            </w:r>
          </w:p>
        </w:tc>
        <w:tc>
          <w:tcPr>
            <w:tcW w:type="dxa" w:w="6084"/>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18"/>
                <w:szCs w:val="18"/>
              </w:rPr>
              <w:t xml:space="preserve"/>
            </w:r>
          </w:p>
        </w:tc>
      </w:tr>
    </w:tbl>
    <w:p>
      <w:r>
        <w:br w:type="page"/>
      </w:r>
    </w:p>
    <w:p>
      <w:pPr>
        <w:sectPr>
          <w:headerReference w:type="default" r:id="rId7"/>
          <w:footerReference w:type="default" r:id="rId8"/>
          <w:pgSz w:w="11906" w:h="16838" w:orient="portrait"/>
          <w:pgMar w:top="1440" w:right="1273" w:bottom="1440" w:left="1273" w:header="708" w:footer="708" w:gutter="0"/>
          <w:pgNumType/>
          <w:docGrid w:linePitch="360"/>
        </w:sectPr>
      </w:pPr>
    </w:p>
    <w:p>
      <w:pPr>
        <w:pStyle w:val="Heading1"/>
        <w:spacing w:after="120" w:before="200"/>
      </w:pPr>
      <w:r>
        <w:rPr>
          <w:rFonts w:ascii="Arial" w:cs="Arial" w:eastAsia="Arial" w:hAnsi="Arial"/>
        </w:rPr>
        <w:t xml:space="preserve">2. Installation Qualification (IQ)</w:t>
      </w:r>
    </w:p>
    <w:p>
      <w:pPr>
        <w:spacing w:after="120"/>
        <w:jc w:val="left"/>
      </w:pPr>
      <w:r>
        <w:rPr>
          <w:rFonts w:ascii="Arial" w:cs="Arial" w:eastAsia="Arial" w:hAnsi="Arial"/>
          <w:b w:val="false"/>
          <w:bCs w:val="false"/>
          <w:i w:val="false"/>
          <w:iCs w:val="false"/>
          <w:color w:val="333333"/>
          <w:sz w:val="20"/>
          <w:szCs w:val="20"/>
        </w:rPr>
        <w:t xml:space="preserve">The IQ verifies that the application and all dependencies are correctly installed and the system meets minimum requirements. All tests are pre-filled based on the current validated environment.</w:t>
      </w:r>
    </w:p>
    <w:p>
      <w:pPr>
        <w:spacing w:after="80"/>
      </w:pPr>
    </w:p>
    <w:tbl>
      <w:tblPr>
        <w:tblW w:type="dxa" w:w="13838"/>
        <w:tblBorders>
          <w:top w:val="single" w:color="auto" w:sz="4"/>
          <w:left w:val="single" w:color="auto" w:sz="4"/>
          <w:bottom w:val="single" w:color="auto" w:sz="4"/>
          <w:right w:val="single" w:color="auto" w:sz="4"/>
          <w:insideH w:val="single" w:color="auto" w:sz="4"/>
          <w:insideV w:val="single" w:color="auto" w:sz="4"/>
        </w:tblBorders>
      </w:tblPr>
      <w:tblGrid>
        <w:gridCol w:w="700"/>
        <w:gridCol w:w="900"/>
        <w:gridCol w:w="1500"/>
        <w:gridCol w:w="2600"/>
        <w:gridCol w:w="2800"/>
        <w:gridCol w:w="2800"/>
        <w:gridCol w:w="700"/>
        <w:gridCol w:w="1838"/>
      </w:tblGrid>
      <w:tr>
        <w:tc>
          <w:tcPr>
            <w:tcW w:type="dxa" w:w="7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6"/>
                <w:szCs w:val="16"/>
              </w:rPr>
              <w:t xml:space="preserve">ID</w:t>
            </w:r>
          </w:p>
        </w:tc>
        <w:tc>
          <w:tcPr>
            <w:tcW w:type="dxa" w:w="9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6"/>
                <w:szCs w:val="16"/>
              </w:rPr>
              <w:t xml:space="preserve">URS Ref</w:t>
            </w:r>
          </w:p>
        </w:tc>
        <w:tc>
          <w:tcPr>
            <w:tcW w:type="dxa" w:w="15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6"/>
                <w:szCs w:val="16"/>
              </w:rPr>
              <w:t xml:space="preserve">Test</w:t>
            </w:r>
          </w:p>
        </w:tc>
        <w:tc>
          <w:tcPr>
            <w:tcW w:type="dxa" w:w="26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6"/>
                <w:szCs w:val="16"/>
              </w:rPr>
              <w:t xml:space="preserve">Procedure</w:t>
            </w:r>
          </w:p>
        </w:tc>
        <w:tc>
          <w:tcPr>
            <w:tcW w:type="dxa" w:w="28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6"/>
                <w:szCs w:val="16"/>
              </w:rPr>
              <w:t xml:space="preserve">Expected Result</w:t>
            </w:r>
          </w:p>
        </w:tc>
        <w:tc>
          <w:tcPr>
            <w:tcW w:type="dxa" w:w="28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6"/>
                <w:szCs w:val="16"/>
              </w:rPr>
              <w:t xml:space="preserve">Observed Result</w:t>
            </w:r>
          </w:p>
        </w:tc>
        <w:tc>
          <w:tcPr>
            <w:tcW w:type="dxa" w:w="7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6"/>
                <w:szCs w:val="16"/>
              </w:rPr>
              <w:t xml:space="preserve">Result</w:t>
            </w:r>
          </w:p>
        </w:tc>
        <w:tc>
          <w:tcPr>
            <w:tcW w:type="dxa" w:w="1838"/>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6"/>
                <w:szCs w:val="16"/>
              </w:rPr>
              <w:t xml:space="preserve">Notes</w:t>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IQ-01</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URS-GEN-02</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R version check</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Run R --version in terminal</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R ≥ 4.1.0 reported</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R 4.5.x confirmed</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18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IQ-02</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URS-GEN-02</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renv installed</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Run: library(renv); packageVersion('renv')</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renv loads without error, version ≥ 1.0.0</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renv 1.1.8 loaded</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18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IQ-03</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URS-GEN-02</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renv restore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Run renv::restore() in the project directory</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All packages install; renv::status() reports 'No issues found'</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All packages restored; status: consistent</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18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IQ-04</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URS-GEN-02</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Critical packages — NCA engine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library(NonCompart); packageVersion('NonCompart')</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NonCompart loads; version matches renv.lock (0.7.1)</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NonCompart 0.7.1</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18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IQ-05</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URS-GEN-02</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Critical packages — Power</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library(PowerTOST); packageVersion('PowerTOST')</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PowerTOST loads; version matches renv.lock (1.5-7)</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PowerTOST 1.5-7</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18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IQ-06</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URS-GEN-02</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Critical packages — Mixed models</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library(nlme); packageVersion('nlme')</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nlme loads; version matches renv.lock (3.1-168)</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nlme 3.1-168</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18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IQ-07</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URS-GEN-02</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Critical packages — UI and data</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Load: shiny, bslib, plotly, DT, openxlsx, readxl, dplyr, tidyr, ggplot2, digest, jsonlite, shinyWidgets</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All 12 packages load without error</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All loaded</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18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IQ-08</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URS-GEN-01</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Application launches</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Run shiny::runApp() from project directory</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Shiny app opens in browser; hub with 5 workflow paths displayed</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App launches; hub visible</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18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IQ-09</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URS-GEN-04</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Version displayed</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Check app header/footer for version string</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APP_VERSION visible in UI (v1.0)</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v1.0 displayed</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18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IQ-10</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URS-GEN-01</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shinyapps.io deployment</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Navigate to robterheine.shinyapps.io/NCAassistant</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Application loads within 30 seconds</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App loaded</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18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IQ-11</w:t>
            </w:r>
          </w:p>
        </w:tc>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Automated test suites execute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Run all 3 test suites: Rscript tests/cross_validation.R, comprehensive_validation.R, functional_ux_validation.R</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239/239 tests pass</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239/239 passed</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18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This verifies test infrastructure integrity</w:t>
            </w:r>
          </w:p>
        </w:tc>
      </w:tr>
    </w:tbl>
    <w:p>
      <w:pPr>
        <w:spacing w:after="80"/>
      </w:pPr>
    </w:p>
    <w:p>
      <w:pPr>
        <w:spacing w:after="120"/>
        <w:jc w:val="left"/>
      </w:pPr>
      <w:r>
        <w:rPr>
          <w:rFonts w:ascii="Arial" w:cs="Arial" w:eastAsia="Arial" w:hAnsi="Arial"/>
          <w:b/>
          <w:bCs/>
          <w:i w:val="false"/>
          <w:iCs w:val="false"/>
          <w:color w:val="1B4F72"/>
          <w:sz w:val="22"/>
          <w:szCs w:val="22"/>
        </w:rPr>
        <w:t xml:space="preserve">Section Sign-off</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2000"/>
        <w:gridCol w:w="2000"/>
      </w:tblGrid>
      <w:tr>
        <w:tc>
          <w:tcPr>
            <w:tcW w:type="dxa" w:w="30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Result</w:t>
            </w:r>
          </w:p>
        </w:tc>
        <w:tc>
          <w:tcPr>
            <w:tcW w:type="dxa" w:w="30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Executed by</w:t>
            </w:r>
          </w:p>
        </w:tc>
        <w:tc>
          <w:tcPr>
            <w:tcW w:type="dxa" w:w="20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Signature</w:t>
            </w:r>
          </w:p>
        </w:tc>
        <w:tc>
          <w:tcPr>
            <w:tcW w:type="dxa" w:w="20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Date</w:t>
            </w:r>
          </w:p>
        </w:tc>
      </w:tr>
      <w:tr>
        <w:tc>
          <w:tcPr>
            <w:tcW w:type="dxa" w:w="3000"/>
            <w:tcBorders>
              <w:top w:val="single" w:color="999999" w:sz="1"/>
              <w:left w:val="single" w:color="999999" w:sz="1"/>
              <w:bottom w:val="single" w:color="999999" w:sz="1"/>
              <w:right w:val="single" w:color="999999" w:sz="1"/>
            </w:tcBorders>
            <w:shd w:fill="F2F4F4" w:val="clear"/>
            <w:tcMar>
              <w:top w:type="dxa" w:w="60"/>
              <w:left w:type="dxa" w:w="100"/>
              <w:bottom w:type="dxa" w:w="60"/>
              <w:right w:type="dxa" w:w="100"/>
            </w:tcMar>
          </w:tcPr>
          <w:p>
            <w:pPr>
              <w:spacing w:after="100" w:before="100"/>
            </w:pPr>
            <w:r>
              <w:rPr>
                <w:rFonts w:ascii="Arial" w:cs="Arial" w:eastAsia="Arial" w:hAnsi="Arial"/>
                <w:sz w:val="18"/>
                <w:szCs w:val="18"/>
              </w:rPr>
              <w:t xml:space="preserve">☐ All tests PASS   ☐ Deviations recorded</w:t>
            </w:r>
          </w:p>
        </w:tc>
        <w:tc>
          <w:tcPr>
            <w:tcW w:type="dxa" w:w="3000"/>
            <w:tcBorders>
              <w:top w:val="single" w:color="999999" w:sz="1"/>
              <w:left w:val="single" w:color="999999" w:sz="1"/>
              <w:bottom w:val="single" w:color="999999" w:sz="1"/>
              <w:right w:val="single" w:color="999999" w:sz="1"/>
            </w:tcBorders>
            <w:shd w:fill="F2F4F4" w:val="clear"/>
            <w:tcMar>
              <w:top w:type="dxa" w:w="60"/>
              <w:left w:type="dxa" w:w="100"/>
              <w:bottom w:type="dxa" w:w="60"/>
              <w:right w:type="dxa" w:w="100"/>
            </w:tcMar>
          </w:tcPr>
          <w:p>
            <w:pPr>
              <w:spacing w:after="100" w:before="100"/>
            </w:pPr>
            <w:r>
              <w:rPr>
                <w:rFonts w:ascii="Arial" w:cs="Arial" w:eastAsia="Arial" w:hAnsi="Arial"/>
                <w:sz w:val="18"/>
                <w:szCs w:val="18"/>
              </w:rPr>
              <w:t xml:space="preserve"/>
            </w:r>
          </w:p>
        </w:tc>
        <w:tc>
          <w:tcPr>
            <w:tcW w:type="dxa" w:w="2000"/>
            <w:tcBorders>
              <w:top w:val="single" w:color="999999" w:sz="1"/>
              <w:left w:val="single" w:color="999999" w:sz="1"/>
              <w:bottom w:val="single" w:color="999999" w:sz="1"/>
              <w:right w:val="single" w:color="999999" w:sz="1"/>
            </w:tcBorders>
            <w:shd w:fill="F2F4F4" w:val="clear"/>
            <w:tcMar>
              <w:top w:type="dxa" w:w="60"/>
              <w:left w:type="dxa" w:w="100"/>
              <w:bottom w:type="dxa" w:w="60"/>
              <w:right w:type="dxa" w:w="100"/>
            </w:tcMar>
          </w:tcPr>
          <w:p>
            <w:pPr>
              <w:spacing w:after="100" w:before="100"/>
            </w:pPr>
            <w:r>
              <w:rPr>
                <w:rFonts w:ascii="Arial" w:cs="Arial" w:eastAsia="Arial" w:hAnsi="Arial"/>
                <w:sz w:val="18"/>
                <w:szCs w:val="18"/>
              </w:rPr>
              <w:t xml:space="preserve"/>
            </w:r>
          </w:p>
        </w:tc>
        <w:tc>
          <w:tcPr>
            <w:tcW w:type="dxa" w:w="2000"/>
            <w:tcBorders>
              <w:top w:val="single" w:color="999999" w:sz="1"/>
              <w:left w:val="single" w:color="999999" w:sz="1"/>
              <w:bottom w:val="single" w:color="999999" w:sz="1"/>
              <w:right w:val="single" w:color="999999" w:sz="1"/>
            </w:tcBorders>
            <w:shd w:fill="F2F4F4" w:val="clear"/>
            <w:tcMar>
              <w:top w:type="dxa" w:w="60"/>
              <w:left w:type="dxa" w:w="100"/>
              <w:bottom w:type="dxa" w:w="60"/>
              <w:right w:type="dxa" w:w="100"/>
            </w:tcMar>
          </w:tcPr>
          <w:p>
            <w:pPr>
              <w:spacing w:after="100" w:before="100"/>
            </w:pPr>
            <w:r>
              <w:rPr>
                <w:rFonts w:ascii="Arial" w:cs="Arial" w:eastAsia="Arial" w:hAnsi="Arial"/>
                <w:sz w:val="18"/>
                <w:szCs w:val="18"/>
              </w:rPr>
              <w:t xml:space="preserve"/>
            </w:r>
          </w:p>
        </w:tc>
      </w:tr>
    </w:tbl>
    <w:p>
      <w:pPr>
        <w:sectPr>
          <w:headerReference w:type="default" r:id="rId9"/>
          <w:footerReference w:type="default" r:id="rId10"/>
          <w:pgSz w:w="16838" w:h="11906" w:orient="landscape"/>
          <w:pgMar w:top="1000" w:right="1000" w:bottom="1000" w:left="1000" w:header="708" w:footer="708" w:gutter="0"/>
          <w:pgNumType/>
          <w:docGrid w:linePitch="360"/>
        </w:sectPr>
      </w:pPr>
    </w:p>
    <w:p>
      <w:pPr>
        <w:pStyle w:val="Heading1"/>
        <w:spacing w:after="120" w:before="200"/>
      </w:pPr>
      <w:r>
        <w:rPr>
          <w:rFonts w:ascii="Arial" w:cs="Arial" w:eastAsia="Arial" w:hAnsi="Arial"/>
        </w:rPr>
        <w:t xml:space="preserve">3. Operational Qualification (OQ)</w:t>
      </w:r>
    </w:p>
    <w:p>
      <w:pPr>
        <w:spacing w:after="120"/>
        <w:jc w:val="left"/>
      </w:pPr>
      <w:r>
        <w:rPr>
          <w:rFonts w:ascii="Arial" w:cs="Arial" w:eastAsia="Arial" w:hAnsi="Arial"/>
          <w:b w:val="false"/>
          <w:bCs w:val="false"/>
          <w:i w:val="false"/>
          <w:iCs w:val="false"/>
          <w:color w:val="333333"/>
          <w:sz w:val="20"/>
          <w:szCs w:val="20"/>
        </w:rPr>
        <w:t xml:space="preserve">The OQ verifies that each functional requirement from the URS operates correctly in isolation. Test cases are organized by URS category: Data Upload, NCA Computation, Bioequivalence, Power &amp; Sample Size, Export &amp; Reproducibility, and Usability. Where automated test suites provide programmatic verification, the reference is noted in the final column. Pre-filled observed results are from the current validated build (239/239 automated tests passing).</w:t>
      </w:r>
    </w:p>
    <w:p>
      <w:pPr>
        <w:spacing w:after="80"/>
      </w:pPr>
    </w:p>
    <w:tbl>
      <w:tblPr>
        <w:tblW w:type="dxa" w:w="13838"/>
        <w:tblBorders>
          <w:top w:val="single" w:color="auto" w:sz="4"/>
          <w:left w:val="single" w:color="auto" w:sz="4"/>
          <w:bottom w:val="single" w:color="auto" w:sz="4"/>
          <w:right w:val="single" w:color="auto" w:sz="4"/>
          <w:insideH w:val="single" w:color="auto" w:sz="4"/>
          <w:insideV w:val="single" w:color="auto" w:sz="4"/>
        </w:tblBorders>
      </w:tblPr>
      <w:tblGrid>
        <w:gridCol w:w="700"/>
        <w:gridCol w:w="1000"/>
        <w:gridCol w:w="1600"/>
        <w:gridCol w:w="2600"/>
        <w:gridCol w:w="2600"/>
        <w:gridCol w:w="2300"/>
        <w:gridCol w:w="700"/>
        <w:gridCol w:w="2338"/>
      </w:tblGrid>
      <w:tr>
        <w:tc>
          <w:tcPr>
            <w:tcW w:type="dxa" w:w="7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6"/>
                <w:szCs w:val="16"/>
              </w:rPr>
              <w:t xml:space="preserve">ID</w:t>
            </w:r>
          </w:p>
        </w:tc>
        <w:tc>
          <w:tcPr>
            <w:tcW w:type="dxa" w:w="10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6"/>
                <w:szCs w:val="16"/>
              </w:rPr>
              <w:t xml:space="preserve">URS Ref</w:t>
            </w:r>
          </w:p>
        </w:tc>
        <w:tc>
          <w:tcPr>
            <w:tcW w:type="dxa" w:w="16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6"/>
                <w:szCs w:val="16"/>
              </w:rPr>
              <w:t xml:space="preserve">Test</w:t>
            </w:r>
          </w:p>
        </w:tc>
        <w:tc>
          <w:tcPr>
            <w:tcW w:type="dxa" w:w="26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6"/>
                <w:szCs w:val="16"/>
              </w:rPr>
              <w:t xml:space="preserve">Procedure</w:t>
            </w:r>
          </w:p>
        </w:tc>
        <w:tc>
          <w:tcPr>
            <w:tcW w:type="dxa" w:w="26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6"/>
                <w:szCs w:val="16"/>
              </w:rPr>
              <w:t xml:space="preserve">Expected Result</w:t>
            </w:r>
          </w:p>
        </w:tc>
        <w:tc>
          <w:tcPr>
            <w:tcW w:type="dxa" w:w="23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6"/>
                <w:szCs w:val="16"/>
              </w:rPr>
              <w:t xml:space="preserve">Observed Result</w:t>
            </w:r>
          </w:p>
        </w:tc>
        <w:tc>
          <w:tcPr>
            <w:tcW w:type="dxa" w:w="7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6"/>
                <w:szCs w:val="16"/>
              </w:rPr>
              <w:t xml:space="preserve">Result</w:t>
            </w:r>
          </w:p>
        </w:tc>
        <w:tc>
          <w:tcPr>
            <w:tcW w:type="dxa" w:w="2338"/>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6"/>
                <w:szCs w:val="16"/>
              </w:rPr>
              <w:t xml:space="preserve">Automated Ref</w:t>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OQ-01</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URS-DAT-01</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CSV import</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Upload example_theoph.csv via Upload &amp; Check Data</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File loads; preview table displays 132 rows × 5 columns</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132 rows loaded; preview correct</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OQ-02</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URS-DAT-01</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Excel import</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Upload an .xlsx version of the Theoph dataset</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File loads; data matches CSV version exactly</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Data identical to CSV import</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OQ-03</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URS-DAT-02</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Column detection — standard</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Upload file with columns: Subject, Time, Conc, Treatment, Period, Sequence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All six columns correctly auto-detected</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All columns matched</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OQ-04</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URS-DAT-02</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Column detection — CDISC</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Upload file with: USUBJID, NTIM, DV, TRT, PRD, SEQ</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Correct mapping</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CDISC columns detected</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Auto: Functional A</w:t>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OQ-05</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URS-DAT-02</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Column detection — European</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Upload file with: Proband, Zeit, Konz, Behandl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Correct mapping</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European columns detected</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Auto: Functional A</w:t>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OQ-06</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URS-DAT-03</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DQ — ERROR on zero rows</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Upload empty CSV (headers only)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ERROR: 'Dataset has 0 rows'</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ERROR raised</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Auto: Comprehensive K</w:t>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OQ-07</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URS-DAT-03</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DQ — WARNING sparse subjects</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Data with subject having 2 time points</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WARNING: '&lt; 3 observations'</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WARNING raised</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Auto: Functional B</w:t>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OQ-08</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URS-DAT-03</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DQ — ERROR duplicate times</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Data with duplicate time points</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ERROR: 'duplicate time points'</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ERROR raised</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Auto: Functional B5</w:t>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OQ-09</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URS-DAT-03</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DQ — BLQ detection, LLOQ unset</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Data with 'BLQ' and '&lt;0.5' strings, LLOQ=0</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ERROR: 'BLQ entries detected but LLOQ is not set'; LLOQ candidate suggested</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ERROR + candidate</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Auto: Functional B1</w:t>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OQ-10</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URS-DAT-03</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DQ — negative concentrations</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Data with negative concentration values</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WARNING: 'negative concentration values'</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WARNING raised</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Auto: Functional B2</w:t>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OQ-11</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URS-DAT-03</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DQ — all-zero subject</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Data with one subject having all-zero concentrations</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WARNING: 'all-zero concentrations'</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WARNING raised</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Auto: Functional B3</w:t>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OQ-12</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URS-DAT-03</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DQ — missing subject IDs</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Data with blank Subject column rows</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ERROR: 'rows with missing Subject ID'</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ERROR raised</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Auto: Comprehensive K</w:t>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OQ-13</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URS-DAT-03</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DQ — non-numeric time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Data with 'abc' in Time column</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ERROR: 'non-numeric values in Time column'</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ERROR raised</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Auto: Comprehensive K</w:t>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OQ-14</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URS-DAT-03</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DQ — crossover completeness</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Crossover data with 1 subject missing Treatment B</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WARNING: 'subjects missing data for one or more treatments'</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WARNING raised</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Auto: Comprehensive K</w:t>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OQ-15</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URS-DAT-04</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BLQ Rule 1 (WinNonlin default)</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Apply Rule 1 to data with known BLQ positions</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Pre-first-quantifiable→0; post-last-quantifiable→NA; between→0</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Correct substitutions</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Auto: Cross-Val 4</w:t>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OQ-16</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URS-DAT-04</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BLQ Rule 2 (all=0)</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Apply Rule 2</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All BLQ values → 0</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Correct</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Auto: Cross-Val 4</w:t>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OQ-17</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URS-DAT-04</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BLQ Rule 3 (all=NA)</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Apply Rule 3</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All BLQ values → NA</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Correct</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Auto: Cross-Val 4</w:t>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OQ-18</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URS-DAT-04</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BLQ Rule 4 (LLOQ/2)</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Apply Rule 4 (LLOQ=1.0)</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All BLQ → 0.5</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Correct</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Auto: Cross-Val 4</w:t>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OQ-19</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URS-DAT-04</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BLQ Rule 5 (pre/post Cmax)</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Apply Rule 5</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Pre-Cmax→0; post-Cmax→NA</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Correct</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Auto: Cross-Val 4</w:t>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OQ-20</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URS-DAT-04</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BLQ Rule 6 (absorption lag)</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Apply Rule 6 (LLOQ=1.0)</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Pre-first-quantifiable→LLOQ/2; remainder→0</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Correct</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Auto: Cross-Val 4</w:t>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OQ-21</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URS-DAT-05</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Analysis blocked on ERROR</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Attempt batch NCA with unresolved ERROR</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Analysis does not proceed</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Blocked</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OQ-22</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URS-DAT-06</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Graceful error — wrong file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Upload a .jpg file as data</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Informative error message; no crash</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Error message displayed</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OQ-23</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URS-DAT-06</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Graceful error — no conc data</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Upload file where conc column is all text/NA</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ERROR: 'No valid numeric concentration values'</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ERROR raised</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OQ-24</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URS-NCA-01</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NCA accuracy — IV bolus</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1-compartment IV bolus (dose=100, Vd=10, ke=0.1). Run NCA.</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AUCinf ≤0.1% of 100; t½ ≤1% of 6.931; CL ≤0.1% of 1.0; Vz ≤0.1% of 10.0</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All within tolerance</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Auto: Cross-Val 1</w:t>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OQ-25</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URS-NCA-01</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NCA accuracy — Theoph oral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NCA on R's Theoph dataset (12 subjects, extravascular)</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All params match NonCompart::tblNCA direct output identically</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All match</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Auto: Cross-Val 2</w:t>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OQ-26</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URS-NCA-02</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Route: extravascular</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NCA on Theoph with route=extravascular</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Output contains CLFO and VZFO</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Present</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OQ-27</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URS-NCA-02</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Route: IV bolus</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NCA on Indometh-style data with route=IV bolus</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Output contains CL (Dose/AUCinf)</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CL correct</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OQ-28</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URS-NCA-02</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Route: IV infusion</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NCA with route=IV infusion and dur=1h</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Infusion-specific parameters computed</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Correct</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OQ-29</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URS-NCA-03</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Trapezoidal methods differ</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Theoph Subject 1: linear vs. linear-log</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AUClast values differ</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Values differ</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Auto: Comprehensive F</w:t>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OQ-30</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URS-NCA-04</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Lambda_z accuracy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1-compartment IV data (ke=0.1)</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λz within 1% of 0.1; adj R²&gt;0.99</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λz≈0.100</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Auto: Cross-Val 1,3</w:t>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OQ-31</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URS-NCA-04</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R² threshold enforcement</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Set R²=0.999 on noisy data (best R²=0.95)</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λz = NA; message explains threshold not met</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λz=NA</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OQ-32</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URS-NCA-05</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Single matches batch</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Single-subject NCA Subject 1 vs. batch</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All parameters identical</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Match</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OQ-33</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URS-NCA-06</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Summary statistics</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Batch NCA Theoph; check Cmax summary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N=12; mean, SD, CV%, median, min, max, gmean, gCV% correct</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Verified</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Auto: Functional C5</w:t>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OQ-34</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URS-NCA-07</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Steady-state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NCA with SS=TRUE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AUCτ reported; CL/F=Dose/AUCτ; Cavg=AUCτ/τ</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SS params correct</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OQ-35</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URS-NCA-08</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Dose normalization</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Batch NCA dose=320; Cmax_DN=Cmax/320</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Values correct</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Correct</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Auto: Functional C4</w:t>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OQ-36</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URS-NCA-09</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Per-subject doses</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3 subjects, doses: 50/100/200</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CL/F differs proportionally</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Proportional</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OQ-37</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URS-NCA-10</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Edge: 3 post-Cmax points</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Subject with exactly 3 terminal points</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λz estimated (minimum for regression)</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λz computed</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OQ-38</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URS-NCA-10</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Edge: 2 post-Cmax points</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Subject with only 2 terminal points</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λz = NA (insufficient points)</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λz=NA</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Auto: Functional B4</w:t>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OQ-39</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URS-NCA-10</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Edge: all-NA subject</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Subject with all concentrations = NA</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Empty results row; no crash</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No crash</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Auto: Functional B3</w:t>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OQ-40</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URS-BE-01</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ANOVA — 2×2 crossover</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BE on example_be_crossover.csv</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ANOVA: Sequence, Subject(Seq), Period, Treatment; df correct</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Terms/df correct</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Auto: Cross-Val 5; Comp G</w:t>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OQ-41</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URS-BE-02</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Design: parallel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BE on two-arm parallel data</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Model: Treatment only; df=N1+N2−2</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Correct</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OQ-42</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URS-BE-02</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Design: fixed-order</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BE on fixed-order crossover</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Model: Subject + Treatment; no Period/Seq</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Correct</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OQ-43</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URS-BE-02</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Design: 3-period crossover</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BE on 3-period data</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Period has 3 levels in ANOVA</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Correct</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OQ-44</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URS-BE-02</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Design: replicate (4-period)</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BE on 4-period data</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Period has 4 levels in ANOVA</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Correct</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OQ-45</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URS-BE-03</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90% CI accuracy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Known T/R GMR=1.05, known MSE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CI within 0.01% of manual calc</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Match</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Auto: Comprehensive G</w:t>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OQ-46</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URS-BE-04</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BE conclusion — PASS</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GMR=1.00, low CV, CI within [80,125]</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Bioequivalent = YES</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YES</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Auto: Functional C6</w:t>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OQ-47</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URS-BE-04</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BE conclusion — FAIL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GMR=1.40, CI outside [80,125]</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Bioequivalent = NO</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NO</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OQ-48</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URS-BE-04</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BE boundary — lower limit</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CI lower bound exactly 80.00%</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Bioequivalent = YES (inclusive)</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YES</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OQ-49</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URS-BE-05</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Mixed-effects model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model=mixed on crossover data</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nlme::lme used; SE differs from lm()</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Mixed fitted</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OQ-50</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URS-BE-05</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Mixed fallback</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Data causing lme convergence failure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Automatic fallback to lm(); no crash</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Fallback OK</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OQ-51</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URS-BE-06</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Forest plot</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Complete BE analysis</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Plot shows dots+bars vs. 80-125% lines per param</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Correct</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OQ-52</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URS-BE-07</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Custom CI level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Set CI=95% instead of 90%</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CI wider than 90% CI for same data</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Wider CI</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OQ-53</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URS-BE-07</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Custom limits</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Set limits to 90-111 (NTI-like)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BE conclusion uses 90-111 limits</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Correct limits applied</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OQ-54</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URS-PWR-01</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Sample size — ABE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CV=0.20, GMR=0.95, power=0.80, 2×2</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N matches sampleN.TOST()</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Match</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Auto: Cross-Val 6</w:t>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OQ-55</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URS-PWR-01</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Sample size — ABEL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CV=0.45, GMR=0.95, power=0.80, replicate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N matches sampleN.scABEL()</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Match</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Auto: Cross-Val 6</w:t>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OQ-56</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URS-PWR-01</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Sample size — RSABE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CV=0.50, GMR=0.95, power=0.80</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N matches sampleN.RSABE()</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Match</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OQ-57</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URS-PWR-01</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Sample size — NTID</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CV=0.10, GMR=0.95, power=0.80</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N matches sampleN.NTIDFDA()</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Match</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OQ-58</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URS-PWR-01</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Sample size — non-inferiority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CV=0.20, margin=0.80</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N matches sampleN.noninf()</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Match</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OQ-59</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URS-PWR-01</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Sample size — dose-prop.</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CV=0.25</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N matches sampleN.dp()</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Match</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OQ-60</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URS-PWR-02</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Power at given N</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N=24, CV=0.20, GMR=0.95, 2×2</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Power matches PowerTOST</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Match</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Auto: Comprehensive H</w:t>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OQ-61</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URS-PWR-03</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Design selection</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Select each of 5 designs</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Correct design string: 2x2, 2x2x3, 2x3x3, 2x2x4, parallel</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Correct</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OQ-62</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URS-PWR-04</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Power curve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Run sample size calc; view curve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Interactive plotly chart; values match table</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Renders</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OQ-63</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URS-PWR-05</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CV bridge from NCA</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Batch NCA on crossover → Power module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CV auto-populated from NCA</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Bridged</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OQ-64</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URS-PWR-06</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Invalid input: CV=0</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Enter CV=0 in power module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Error notification: 'CV must be greater than 0'; no crash</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Error shown</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OQ-65</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URS-PWR-06</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Invalid input: GMR negative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Enter θ₀=−1</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Error notification; no crash</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Error shown</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OQ-66</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URS-PWR-06</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Invalid input: α&gt;1</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Enter α=1.5</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Error notification; no crash</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Error shown</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OQ-67</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URS-EXP-01</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Analysis Record — batch NCA</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Batch NCA on Theoph; download ZIP</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ZIP contains 6 files; each non-empty</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All present</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Auto: Comprehensive L</w:t>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OQ-68</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URS-EXP-02</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Reproducibility script</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Extract reproduce_analysis.R; run source()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Runs; reproduced_results.csv matches app to machine precision</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Identical</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Auto: Comprehensive I</w:t>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OQ-69</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URS-EXP-03</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Settings JSON completeness</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Open analysis_settings.json</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Contains: admin_route, trap_method, blq_rule, lloq, dose, units, r2adj, SS, MW, package_versions, timestamp</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All fields present</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Auto: Comprehensive I</w:t>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OQ-70</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URS-EXP-04</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SHA-256 verification</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Open data_integrity.txt; run sha256sum on original file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Hashes match</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Identical</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Auto: Comprehensive I</w:t>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OQ-71</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URS-EXP-05</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BE export completeness</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Complete BE; download record</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Excel: NCA, ANOVA, CI worksheets present</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All present</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OQ-72</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URS-EXP-06</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Version in export</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Check analysis_settings.json and analysis_summary.html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APP_VERSION, NonCompart, PowerTOST, nlme versions present</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Present</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OQ-73</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URS-GEN-05</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No persistent storage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Close browser session; check server/app directory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No user data remains</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Clean</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OQ-74</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URS-UI-01</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Help text present</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Navigate all 5 paths; check abbreviations</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Every abbreviation has explanation</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All explained</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Auto: Comprehensive J</w:t>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OQ-75</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URS-UI-02</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Data Preparation Guide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Navigate to guide page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Page loads; scenario tabs render</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Accessible</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OQ-76</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URS-UI-03</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Central hub</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Click each of 5 path buttons</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Each navigates correctly; back works</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Correct</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OQ-77</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URS-UI-04</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Error messages informative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Trigger: wrong format, missing col, invalid dose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Each message: describes problem + suggests action</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Informative</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OQ-78</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URS-GEN-03</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Methods page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Navigate to Statistical Methods</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NCA, BE, Power sections with journal refs and regulatory doc numbers</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Complete</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23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
            </w:r>
          </w:p>
        </w:tc>
      </w:tr>
    </w:tbl>
    <w:p>
      <w:pPr>
        <w:spacing w:after="80"/>
      </w:pPr>
    </w:p>
    <w:p>
      <w:pPr>
        <w:spacing w:after="120"/>
        <w:jc w:val="left"/>
      </w:pPr>
      <w:r>
        <w:rPr>
          <w:rFonts w:ascii="Arial" w:cs="Arial" w:eastAsia="Arial" w:hAnsi="Arial"/>
          <w:b/>
          <w:bCs/>
          <w:i w:val="false"/>
          <w:iCs w:val="false"/>
          <w:color w:val="1B4F72"/>
          <w:sz w:val="22"/>
          <w:szCs w:val="22"/>
        </w:rPr>
        <w:t xml:space="preserve">Section Sign-off</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2000"/>
        <w:gridCol w:w="2000"/>
      </w:tblGrid>
      <w:tr>
        <w:tc>
          <w:tcPr>
            <w:tcW w:type="dxa" w:w="30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Result</w:t>
            </w:r>
          </w:p>
        </w:tc>
        <w:tc>
          <w:tcPr>
            <w:tcW w:type="dxa" w:w="30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Executed by</w:t>
            </w:r>
          </w:p>
        </w:tc>
        <w:tc>
          <w:tcPr>
            <w:tcW w:type="dxa" w:w="20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Signature</w:t>
            </w:r>
          </w:p>
        </w:tc>
        <w:tc>
          <w:tcPr>
            <w:tcW w:type="dxa" w:w="20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Date</w:t>
            </w:r>
          </w:p>
        </w:tc>
      </w:tr>
      <w:tr>
        <w:tc>
          <w:tcPr>
            <w:tcW w:type="dxa" w:w="3000"/>
            <w:tcBorders>
              <w:top w:val="single" w:color="999999" w:sz="1"/>
              <w:left w:val="single" w:color="999999" w:sz="1"/>
              <w:bottom w:val="single" w:color="999999" w:sz="1"/>
              <w:right w:val="single" w:color="999999" w:sz="1"/>
            </w:tcBorders>
            <w:shd w:fill="F2F4F4" w:val="clear"/>
            <w:tcMar>
              <w:top w:type="dxa" w:w="60"/>
              <w:left w:type="dxa" w:w="100"/>
              <w:bottom w:type="dxa" w:w="60"/>
              <w:right w:type="dxa" w:w="100"/>
            </w:tcMar>
          </w:tcPr>
          <w:p>
            <w:pPr>
              <w:spacing w:after="100" w:before="100"/>
            </w:pPr>
            <w:r>
              <w:rPr>
                <w:rFonts w:ascii="Arial" w:cs="Arial" w:eastAsia="Arial" w:hAnsi="Arial"/>
                <w:sz w:val="18"/>
                <w:szCs w:val="18"/>
              </w:rPr>
              <w:t xml:space="preserve">☐ All tests PASS   ☐ Deviations recorded</w:t>
            </w:r>
          </w:p>
        </w:tc>
        <w:tc>
          <w:tcPr>
            <w:tcW w:type="dxa" w:w="3000"/>
            <w:tcBorders>
              <w:top w:val="single" w:color="999999" w:sz="1"/>
              <w:left w:val="single" w:color="999999" w:sz="1"/>
              <w:bottom w:val="single" w:color="999999" w:sz="1"/>
              <w:right w:val="single" w:color="999999" w:sz="1"/>
            </w:tcBorders>
            <w:shd w:fill="F2F4F4" w:val="clear"/>
            <w:tcMar>
              <w:top w:type="dxa" w:w="60"/>
              <w:left w:type="dxa" w:w="100"/>
              <w:bottom w:type="dxa" w:w="60"/>
              <w:right w:type="dxa" w:w="100"/>
            </w:tcMar>
          </w:tcPr>
          <w:p>
            <w:pPr>
              <w:spacing w:after="100" w:before="100"/>
            </w:pPr>
            <w:r>
              <w:rPr>
                <w:rFonts w:ascii="Arial" w:cs="Arial" w:eastAsia="Arial" w:hAnsi="Arial"/>
                <w:sz w:val="18"/>
                <w:szCs w:val="18"/>
              </w:rPr>
              <w:t xml:space="preserve"/>
            </w:r>
          </w:p>
        </w:tc>
        <w:tc>
          <w:tcPr>
            <w:tcW w:type="dxa" w:w="2000"/>
            <w:tcBorders>
              <w:top w:val="single" w:color="999999" w:sz="1"/>
              <w:left w:val="single" w:color="999999" w:sz="1"/>
              <w:bottom w:val="single" w:color="999999" w:sz="1"/>
              <w:right w:val="single" w:color="999999" w:sz="1"/>
            </w:tcBorders>
            <w:shd w:fill="F2F4F4" w:val="clear"/>
            <w:tcMar>
              <w:top w:type="dxa" w:w="60"/>
              <w:left w:type="dxa" w:w="100"/>
              <w:bottom w:type="dxa" w:w="60"/>
              <w:right w:type="dxa" w:w="100"/>
            </w:tcMar>
          </w:tcPr>
          <w:p>
            <w:pPr>
              <w:spacing w:after="100" w:before="100"/>
            </w:pPr>
            <w:r>
              <w:rPr>
                <w:rFonts w:ascii="Arial" w:cs="Arial" w:eastAsia="Arial" w:hAnsi="Arial"/>
                <w:sz w:val="18"/>
                <w:szCs w:val="18"/>
              </w:rPr>
              <w:t xml:space="preserve"/>
            </w:r>
          </w:p>
        </w:tc>
        <w:tc>
          <w:tcPr>
            <w:tcW w:type="dxa" w:w="2000"/>
            <w:tcBorders>
              <w:top w:val="single" w:color="999999" w:sz="1"/>
              <w:left w:val="single" w:color="999999" w:sz="1"/>
              <w:bottom w:val="single" w:color="999999" w:sz="1"/>
              <w:right w:val="single" w:color="999999" w:sz="1"/>
            </w:tcBorders>
            <w:shd w:fill="F2F4F4" w:val="clear"/>
            <w:tcMar>
              <w:top w:type="dxa" w:w="60"/>
              <w:left w:type="dxa" w:w="100"/>
              <w:bottom w:type="dxa" w:w="60"/>
              <w:right w:type="dxa" w:w="100"/>
            </w:tcMar>
          </w:tcPr>
          <w:p>
            <w:pPr>
              <w:spacing w:after="100" w:before="100"/>
            </w:pPr>
            <w:r>
              <w:rPr>
                <w:rFonts w:ascii="Arial" w:cs="Arial" w:eastAsia="Arial" w:hAnsi="Arial"/>
                <w:sz w:val="18"/>
                <w:szCs w:val="18"/>
              </w:rPr>
              <w:t xml:space="preserve"/>
            </w:r>
          </w:p>
        </w:tc>
      </w:tr>
    </w:tbl>
    <w:p>
      <w:pPr>
        <w:sectPr>
          <w:headerReference w:type="default" r:id="rId11"/>
          <w:footerReference w:type="default" r:id="rId12"/>
          <w:pgSz w:w="16838" w:h="11906" w:orient="landscape"/>
          <w:pgMar w:top="1000" w:right="1000" w:bottom="1000" w:left="1000" w:header="708" w:footer="708" w:gutter="0"/>
          <w:pgNumType/>
          <w:docGrid w:linePitch="360"/>
        </w:sectPr>
      </w:pPr>
    </w:p>
    <w:p>
      <w:pPr>
        <w:pStyle w:val="Heading1"/>
        <w:spacing w:after="120" w:before="200"/>
      </w:pPr>
      <w:r>
        <w:rPr>
          <w:rFonts w:ascii="Arial" w:cs="Arial" w:eastAsia="Arial" w:hAnsi="Arial"/>
        </w:rPr>
        <w:t xml:space="preserve">4. Performance Qualification (PQ)</w:t>
      </w:r>
    </w:p>
    <w:p>
      <w:pPr>
        <w:spacing w:after="120"/>
        <w:jc w:val="left"/>
      </w:pPr>
      <w:r>
        <w:rPr>
          <w:rFonts w:ascii="Arial" w:cs="Arial" w:eastAsia="Arial" w:hAnsi="Arial"/>
          <w:b w:val="false"/>
          <w:bCs w:val="false"/>
          <w:i w:val="false"/>
          <w:iCs w:val="false"/>
          <w:color w:val="333333"/>
          <w:sz w:val="20"/>
          <w:szCs w:val="20"/>
        </w:rPr>
        <w:t xml:space="preserve">The PQ verifies that the application performs correctly in representative end-to-end workflows that simulate actual use. Each scenario exercises multiple URS requirements in sequence, from data upload through analysis to export.</w:t>
      </w:r>
    </w:p>
    <w:p>
      <w:pPr>
        <w:spacing w:after="80"/>
      </w:pPr>
    </w:p>
    <w:tbl>
      <w:tblPr>
        <w:tblW w:type="dxa" w:w="13838"/>
        <w:tblBorders>
          <w:top w:val="single" w:color="auto" w:sz="4"/>
          <w:left w:val="single" w:color="auto" w:sz="4"/>
          <w:bottom w:val="single" w:color="auto" w:sz="4"/>
          <w:right w:val="single" w:color="auto" w:sz="4"/>
          <w:insideH w:val="single" w:color="auto" w:sz="4"/>
          <w:insideV w:val="single" w:color="auto" w:sz="4"/>
        </w:tblBorders>
      </w:tblPr>
      <w:tblGrid>
        <w:gridCol w:w="700"/>
        <w:gridCol w:w="1800"/>
        <w:gridCol w:w="3200"/>
        <w:gridCol w:w="3100"/>
        <w:gridCol w:w="2600"/>
        <w:gridCol w:w="700"/>
        <w:gridCol w:w="1100"/>
        <w:gridCol w:w="638"/>
      </w:tblGrid>
      <w:tr>
        <w:tc>
          <w:tcPr>
            <w:tcW w:type="dxa" w:w="7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6"/>
                <w:szCs w:val="16"/>
              </w:rPr>
              <w:t xml:space="preserve">ID</w:t>
            </w:r>
          </w:p>
        </w:tc>
        <w:tc>
          <w:tcPr>
            <w:tcW w:type="dxa" w:w="18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6"/>
                <w:szCs w:val="16"/>
              </w:rPr>
              <w:t xml:space="preserve">Scenario</w:t>
            </w:r>
          </w:p>
        </w:tc>
        <w:tc>
          <w:tcPr>
            <w:tcW w:type="dxa" w:w="32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6"/>
                <w:szCs w:val="16"/>
              </w:rPr>
              <w:t xml:space="preserve">Steps</w:t>
            </w:r>
          </w:p>
        </w:tc>
        <w:tc>
          <w:tcPr>
            <w:tcW w:type="dxa" w:w="31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6"/>
                <w:szCs w:val="16"/>
              </w:rPr>
              <w:t xml:space="preserve">Expected Outcome</w:t>
            </w:r>
          </w:p>
        </w:tc>
        <w:tc>
          <w:tcPr>
            <w:tcW w:type="dxa" w:w="26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6"/>
                <w:szCs w:val="16"/>
              </w:rPr>
              <w:t xml:space="preserve">Observed Result</w:t>
            </w:r>
          </w:p>
        </w:tc>
        <w:tc>
          <w:tcPr>
            <w:tcW w:type="dxa" w:w="7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6"/>
                <w:szCs w:val="16"/>
              </w:rPr>
              <w:t xml:space="preserve">Result</w:t>
            </w:r>
          </w:p>
        </w:tc>
        <w:tc>
          <w:tcPr>
            <w:tcW w:type="dxa" w:w="11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6"/>
                <w:szCs w:val="16"/>
              </w:rPr>
              <w:t xml:space="preserve">URS Coverage</w:t>
            </w:r>
          </w:p>
        </w:tc>
        <w:tc>
          <w:tcPr>
            <w:tcW w:type="dxa" w:w="638"/>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vAlign w:val="center"/>
          </w:tcPr>
          <w:p>
            <w:r>
              <w:rPr>
                <w:rFonts w:ascii="Arial" w:cs="Arial" w:eastAsia="Arial" w:hAnsi="Arial"/>
                <w:b/>
                <w:bCs/>
                <w:color w:val="FFFFFF"/>
                <w:sz w:val="16"/>
                <w:szCs w:val="16"/>
              </w:rPr>
              <w:t xml:space="preserve">Notes</w:t>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PQ-01</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End-to-end: Single-subject oral NCA</w:t>
            </w:r>
          </w:p>
        </w:tc>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6"/>
                <w:szCs w:val="16"/>
              </w:rPr>
              <w:t xml:space="preserve">1. Upload example_theoph.csv</w:t>
            </w:r>
          </w:p>
          <w:p>
            <w:pPr>
              <w:spacing w:after="30"/>
            </w:pPr>
            <w:r>
              <w:rPr>
                <w:rFonts w:ascii="Arial" w:cs="Arial" w:eastAsia="Arial" w:hAnsi="Arial"/>
                <w:color w:val="333333"/>
                <w:sz w:val="16"/>
                <w:szCs w:val="16"/>
              </w:rPr>
              <w:t xml:space="preserve">2. Map columns</w:t>
            </w:r>
          </w:p>
          <w:p>
            <w:pPr>
              <w:spacing w:after="30"/>
            </w:pPr>
            <w:r>
              <w:rPr>
                <w:rFonts w:ascii="Arial" w:cs="Arial" w:eastAsia="Arial" w:hAnsi="Arial"/>
                <w:color w:val="333333"/>
                <w:sz w:val="16"/>
                <w:szCs w:val="16"/>
              </w:rPr>
              <w:t xml:space="preserve">3. Process Data</w:t>
            </w:r>
          </w:p>
          <w:p>
            <w:pPr>
              <w:spacing w:after="30"/>
            </w:pPr>
            <w:r>
              <w:rPr>
                <w:rFonts w:ascii="Arial" w:cs="Arial" w:eastAsia="Arial" w:hAnsi="Arial"/>
                <w:color w:val="333333"/>
                <w:sz w:val="16"/>
                <w:szCs w:val="16"/>
              </w:rPr>
              <w:t xml:space="preserve">4. Single-subject NCA</w:t>
            </w:r>
          </w:p>
          <w:p>
            <w:pPr>
              <w:spacing w:after="30"/>
            </w:pPr>
            <w:r>
              <w:rPr>
                <w:rFonts w:ascii="Arial" w:cs="Arial" w:eastAsia="Arial" w:hAnsi="Arial"/>
                <w:color w:val="333333"/>
                <w:sz w:val="16"/>
                <w:szCs w:val="16"/>
              </w:rPr>
              <w:t xml:space="preserve">5. Select Subject 1; verify Cmax, Tmax, AUClast, t½</w:t>
            </w:r>
          </w:p>
          <w:p>
            <w:pPr>
              <w:spacing w:after="30"/>
            </w:pPr>
            <w:r>
              <w:rPr>
                <w:rFonts w:ascii="Arial" w:cs="Arial" w:eastAsia="Arial" w:hAnsi="Arial"/>
                <w:color w:val="333333"/>
                <w:sz w:val="16"/>
                <w:szCs w:val="16"/>
              </w:rPr>
              <w:t xml:space="preserve">6. Navigate between subjects</w:t>
            </w:r>
          </w:p>
          <w:p>
            <w:pPr>
              <w:spacing w:after="30"/>
            </w:pPr>
            <w:r>
              <w:rPr>
                <w:rFonts w:ascii="Arial" w:cs="Arial" w:eastAsia="Arial" w:hAnsi="Arial"/>
                <w:color w:val="333333"/>
                <w:sz w:val="16"/>
                <w:szCs w:val="16"/>
              </w:rPr>
              <w:t xml:space="preserve">7. Use half-life inspector</w:t>
            </w:r>
          </w:p>
        </w:tc>
        <w:tc>
          <w:tcPr>
            <w:tcW w:type="dxa" w:w="31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All subjects: correct profiles; NCA parameters calculated; navigation works; half-life inspector shows terminal points</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Workflow complete; all params displayed; navigation functional</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URS-DAT-01 to 06, URS-NCA-01 to 05, 10</w:t>
            </w:r>
          </w:p>
        </w:tc>
        <w:tc>
          <w:tcPr>
            <w:tcW w:type="dxa" w:w="6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PQ-02</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End-to-end: Batch NCA with export</w:t>
            </w:r>
          </w:p>
        </w:tc>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6"/>
                <w:szCs w:val="16"/>
              </w:rPr>
              <w:t xml:space="preserve">1. Upload example_theoph.csv</w:t>
            </w:r>
          </w:p>
          <w:p>
            <w:pPr>
              <w:spacing w:after="30"/>
            </w:pPr>
            <w:r>
              <w:rPr>
                <w:rFonts w:ascii="Arial" w:cs="Arial" w:eastAsia="Arial" w:hAnsi="Arial"/>
                <w:color w:val="333333"/>
                <w:sz w:val="16"/>
                <w:szCs w:val="16"/>
              </w:rPr>
              <w:t xml:space="preserve">2. Process (extravascular, linear trap., dose=320)</w:t>
            </w:r>
          </w:p>
          <w:p>
            <w:pPr>
              <w:spacing w:after="30"/>
            </w:pPr>
            <w:r>
              <w:rPr>
                <w:rFonts w:ascii="Arial" w:cs="Arial" w:eastAsia="Arial" w:hAnsi="Arial"/>
                <w:color w:val="333333"/>
                <w:sz w:val="16"/>
                <w:szCs w:val="16"/>
              </w:rPr>
              <w:t xml:space="preserve">3. Batch NCA</w:t>
            </w:r>
          </w:p>
          <w:p>
            <w:pPr>
              <w:spacing w:after="30"/>
            </w:pPr>
            <w:r>
              <w:rPr>
                <w:rFonts w:ascii="Arial" w:cs="Arial" w:eastAsia="Arial" w:hAnsi="Arial"/>
                <w:color w:val="333333"/>
                <w:sz w:val="16"/>
                <w:szCs w:val="16"/>
              </w:rPr>
              <w:t xml:space="preserve">4. Review summary stats</w:t>
            </w:r>
          </w:p>
          <w:p>
            <w:pPr>
              <w:spacing w:after="30"/>
            </w:pPr>
            <w:r>
              <w:rPr>
                <w:rFonts w:ascii="Arial" w:cs="Arial" w:eastAsia="Arial" w:hAnsi="Arial"/>
                <w:color w:val="333333"/>
                <w:sz w:val="16"/>
                <w:szCs w:val="16"/>
              </w:rPr>
              <w:t xml:space="preserve">5. View spaghetti + mean±SD plots</w:t>
            </w:r>
          </w:p>
          <w:p>
            <w:pPr>
              <w:spacing w:after="30"/>
            </w:pPr>
            <w:r>
              <w:rPr>
                <w:rFonts w:ascii="Arial" w:cs="Arial" w:eastAsia="Arial" w:hAnsi="Arial"/>
                <w:color w:val="333333"/>
                <w:sz w:val="16"/>
                <w:szCs w:val="16"/>
              </w:rPr>
              <w:t xml:space="preserve">6. Download Complete Analysis Record</w:t>
            </w:r>
          </w:p>
          <w:p>
            <w:pPr>
              <w:spacing w:after="30"/>
            </w:pPr>
            <w:r>
              <w:rPr>
                <w:rFonts w:ascii="Arial" w:cs="Arial" w:eastAsia="Arial" w:hAnsi="Arial"/>
                <w:color w:val="333333"/>
                <w:sz w:val="16"/>
                <w:szCs w:val="16"/>
              </w:rPr>
              <w:t xml:space="preserve">7. Run reproduce_analysis.R independently</w:t>
            </w:r>
          </w:p>
          <w:p>
            <w:pPr>
              <w:spacing w:after="30"/>
            </w:pPr>
            <w:r>
              <w:rPr>
                <w:rFonts w:ascii="Arial" w:cs="Arial" w:eastAsia="Arial" w:hAnsi="Arial"/>
                <w:color w:val="333333"/>
                <w:sz w:val="16"/>
                <w:szCs w:val="16"/>
              </w:rPr>
              <w:t xml:space="preserve">8. Compare results</w:t>
            </w:r>
          </w:p>
        </w:tc>
        <w:tc>
          <w:tcPr>
            <w:tcW w:type="dxa" w:w="31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12 subjects analyzed; stats correct; plots render; ZIP: 6 files; reproduced results match exactly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All steps pass; reproducible</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URS-NCA-01,06,08, URS-EXP-01 to 04,06</w:t>
            </w:r>
          </w:p>
        </w:tc>
        <w:tc>
          <w:tcPr>
            <w:tcW w:type="dxa" w:w="6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PQ-03</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End-to-end: Full BE workflow</w:t>
            </w:r>
          </w:p>
        </w:tc>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6"/>
                <w:szCs w:val="16"/>
              </w:rPr>
              <w:t xml:space="preserve">1. Upload example_be_crossover.csv</w:t>
            </w:r>
          </w:p>
          <w:p>
            <w:pPr>
              <w:spacing w:after="30"/>
            </w:pPr>
            <w:r>
              <w:rPr>
                <w:rFonts w:ascii="Arial" w:cs="Arial" w:eastAsia="Arial" w:hAnsi="Arial"/>
                <w:color w:val="333333"/>
                <w:sz w:val="16"/>
                <w:szCs w:val="16"/>
              </w:rPr>
              <w:t xml:space="preserve">2. Map all columns (Subj, Time, Conc, Trt, Per, Seq)</w:t>
            </w:r>
          </w:p>
          <w:p>
            <w:pPr>
              <w:spacing w:after="30"/>
            </w:pPr>
            <w:r>
              <w:rPr>
                <w:rFonts w:ascii="Arial" w:cs="Arial" w:eastAsia="Arial" w:hAnsi="Arial"/>
                <w:color w:val="333333"/>
                <w:sz w:val="16"/>
                <w:szCs w:val="16"/>
              </w:rPr>
              <w:t xml:space="preserve">3. Process data; review DQ checks</w:t>
            </w:r>
          </w:p>
          <w:p>
            <w:pPr>
              <w:spacing w:after="30"/>
            </w:pPr>
            <w:r>
              <w:rPr>
                <w:rFonts w:ascii="Arial" w:cs="Arial" w:eastAsia="Arial" w:hAnsi="Arial"/>
                <w:color w:val="333333"/>
                <w:sz w:val="16"/>
                <w:szCs w:val="16"/>
              </w:rPr>
              <w:t xml:space="preserve">4. Navigate to BE</w:t>
            </w:r>
          </w:p>
          <w:p>
            <w:pPr>
              <w:spacing w:after="30"/>
            </w:pPr>
            <w:r>
              <w:rPr>
                <w:rFonts w:ascii="Arial" w:cs="Arial" w:eastAsia="Arial" w:hAnsi="Arial"/>
                <w:color w:val="333333"/>
                <w:sz w:val="16"/>
                <w:szCs w:val="16"/>
              </w:rPr>
              <w:t xml:space="preserve">5. Select Test/Reference</w:t>
            </w:r>
          </w:p>
          <w:p>
            <w:pPr>
              <w:spacing w:after="30"/>
            </w:pPr>
            <w:r>
              <w:rPr>
                <w:rFonts w:ascii="Arial" w:cs="Arial" w:eastAsia="Arial" w:hAnsi="Arial"/>
                <w:color w:val="333333"/>
                <w:sz w:val="16"/>
                <w:szCs w:val="16"/>
              </w:rPr>
              <w:t xml:space="preserve">6. Run Complete BE Analysis</w:t>
            </w:r>
          </w:p>
          <w:p>
            <w:pPr>
              <w:spacing w:after="30"/>
            </w:pPr>
            <w:r>
              <w:rPr>
                <w:rFonts w:ascii="Arial" w:cs="Arial" w:eastAsia="Arial" w:hAnsi="Arial"/>
                <w:color w:val="333333"/>
                <w:sz w:val="16"/>
                <w:szCs w:val="16"/>
              </w:rPr>
              <w:t xml:space="preserve">7. Review CI table, forest plot, ANOVA</w:t>
            </w:r>
          </w:p>
          <w:p>
            <w:pPr>
              <w:spacing w:after="30"/>
            </w:pPr>
            <w:r>
              <w:rPr>
                <w:rFonts w:ascii="Arial" w:cs="Arial" w:eastAsia="Arial" w:hAnsi="Arial"/>
                <w:color w:val="333333"/>
                <w:sz w:val="16"/>
                <w:szCs w:val="16"/>
              </w:rPr>
              <w:t xml:space="preserve">8. Download BE analysis record</w:t>
            </w:r>
          </w:p>
        </w:tc>
        <w:tc>
          <w:tcPr>
            <w:tcW w:type="dxa" w:w="31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NCA runs; ANOVA correct model; 90% CI correct; forest plot; BE conclusion correct; Excel: all tables</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All steps pass; complete workflow</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URS-DAT-01 to 03, URS-NCA-01, URS-BE-01 to 07, URS-EXP-01,05</w:t>
            </w:r>
          </w:p>
        </w:tc>
        <w:tc>
          <w:tcPr>
            <w:tcW w:type="dxa" w:w="6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PQ-04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End-to-end: Power/sample size</w:t>
            </w:r>
          </w:p>
        </w:tc>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6"/>
                <w:szCs w:val="16"/>
              </w:rPr>
              <w:t xml:space="preserve">1. Navigate to Plan a Study</w:t>
            </w:r>
          </w:p>
          <w:p>
            <w:pPr>
              <w:spacing w:after="30"/>
            </w:pPr>
            <w:r>
              <w:rPr>
                <w:rFonts w:ascii="Arial" w:cs="Arial" w:eastAsia="Arial" w:hAnsi="Arial"/>
                <w:color w:val="333333"/>
                <w:sz w:val="16"/>
                <w:szCs w:val="16"/>
              </w:rPr>
              <w:t xml:space="preserve">2. Select ABE, 2×2 crossover</w:t>
            </w:r>
          </w:p>
          <w:p>
            <w:pPr>
              <w:spacing w:after="30"/>
            </w:pPr>
            <w:r>
              <w:rPr>
                <w:rFonts w:ascii="Arial" w:cs="Arial" w:eastAsia="Arial" w:hAnsi="Arial"/>
                <w:color w:val="333333"/>
                <w:sz w:val="16"/>
                <w:szCs w:val="16"/>
              </w:rPr>
              <w:t xml:space="preserve">3. Enter CV=0.25, GMR=0.95, power=0.80</w:t>
            </w:r>
          </w:p>
          <w:p>
            <w:pPr>
              <w:spacing w:after="30"/>
            </w:pPr>
            <w:r>
              <w:rPr>
                <w:rFonts w:ascii="Arial" w:cs="Arial" w:eastAsia="Arial" w:hAnsi="Arial"/>
                <w:color w:val="333333"/>
                <w:sz w:val="16"/>
                <w:szCs w:val="16"/>
              </w:rPr>
              <w:t xml:space="preserve">4. Calculate sample size</w:t>
            </w:r>
          </w:p>
          <w:p>
            <w:pPr>
              <w:spacing w:after="30"/>
            </w:pPr>
            <w:r>
              <w:rPr>
                <w:rFonts w:ascii="Arial" w:cs="Arial" w:eastAsia="Arial" w:hAnsi="Arial"/>
                <w:color w:val="333333"/>
                <w:sz w:val="16"/>
                <w:szCs w:val="16"/>
              </w:rPr>
              <w:t xml:space="preserve">5. View power curve</w:t>
            </w:r>
          </w:p>
          <w:p>
            <w:pPr>
              <w:spacing w:after="30"/>
            </w:pPr>
            <w:r>
              <w:rPr>
                <w:rFonts w:ascii="Arial" w:cs="Arial" w:eastAsia="Arial" w:hAnsi="Arial"/>
                <w:color w:val="333333"/>
                <w:sz w:val="16"/>
                <w:szCs w:val="16"/>
              </w:rPr>
              <w:t xml:space="preserve">6. Change to ABEL; recalculate</w:t>
            </w:r>
          </w:p>
          <w:p>
            <w:pPr>
              <w:spacing w:after="30"/>
            </w:pPr>
            <w:r>
              <w:rPr>
                <w:rFonts w:ascii="Arial" w:cs="Arial" w:eastAsia="Arial" w:hAnsi="Arial"/>
                <w:color w:val="333333"/>
                <w:sz w:val="16"/>
                <w:szCs w:val="16"/>
              </w:rPr>
              <w:t xml:space="preserve">7. Change to power mode; enter N=36</w:t>
            </w:r>
          </w:p>
        </w:tc>
        <w:tc>
          <w:tcPr>
            <w:tcW w:type="dxa" w:w="31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Sample size calculated; curve renders; ABEL gives different N; power at N=36 displayed</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All steps pass</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URS-PWR-01 to 04,06</w:t>
            </w:r>
          </w:p>
        </w:tc>
        <w:tc>
          <w:tcPr>
            <w:tcW w:type="dxa" w:w="6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
            </w:r>
          </w:p>
        </w:tc>
      </w:tr>
      <w:tr>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PQ-05</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End-to-end: Messy data handling</w:t>
            </w:r>
          </w:p>
        </w:tc>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30"/>
            </w:pPr>
            <w:r>
              <w:rPr>
                <w:rFonts w:ascii="Arial" w:cs="Arial" w:eastAsia="Arial" w:hAnsi="Arial"/>
                <w:color w:val="333333"/>
                <w:sz w:val="16"/>
                <w:szCs w:val="16"/>
              </w:rPr>
              <w:t xml:space="preserve">1. Upload CSV with: BLQ strings, negative concs, missing Subject IDs, duplicate times, European column names</w:t>
            </w:r>
          </w:p>
          <w:p>
            <w:pPr>
              <w:spacing w:after="30"/>
            </w:pPr>
            <w:r>
              <w:rPr>
                <w:rFonts w:ascii="Arial" w:cs="Arial" w:eastAsia="Arial" w:hAnsi="Arial"/>
                <w:color w:val="333333"/>
                <w:sz w:val="16"/>
                <w:szCs w:val="16"/>
              </w:rPr>
              <w:t xml:space="preserve">2. Review data quality report</w:t>
            </w:r>
          </w:p>
          <w:p>
            <w:pPr>
              <w:spacing w:after="30"/>
            </w:pPr>
            <w:r>
              <w:rPr>
                <w:rFonts w:ascii="Arial" w:cs="Arial" w:eastAsia="Arial" w:hAnsi="Arial"/>
                <w:color w:val="333333"/>
                <w:sz w:val="16"/>
                <w:szCs w:val="16"/>
              </w:rPr>
              <w:t xml:space="preserve">3. Set LLOQ; select BLQ Rule 1</w:t>
            </w:r>
          </w:p>
          <w:p>
            <w:pPr>
              <w:spacing w:after="30"/>
            </w:pPr>
            <w:r>
              <w:rPr>
                <w:rFonts w:ascii="Arial" w:cs="Arial" w:eastAsia="Arial" w:hAnsi="Arial"/>
                <w:color w:val="333333"/>
                <w:sz w:val="16"/>
                <w:szCs w:val="16"/>
              </w:rPr>
              <w:t xml:space="preserve">4. Fix/acknowledge issues</w:t>
            </w:r>
          </w:p>
          <w:p>
            <w:pPr>
              <w:spacing w:after="30"/>
            </w:pPr>
            <w:r>
              <w:rPr>
                <w:rFonts w:ascii="Arial" w:cs="Arial" w:eastAsia="Arial" w:hAnsi="Arial"/>
                <w:color w:val="333333"/>
                <w:sz w:val="16"/>
                <w:szCs w:val="16"/>
              </w:rPr>
              <w:t xml:space="preserve">5. Process and run batch NCA</w:t>
            </w:r>
          </w:p>
        </w:tc>
        <w:tc>
          <w:tcPr>
            <w:tcW w:type="dxa" w:w="31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DQ report: correct ERROR/WARNING for each issue; after fixes, NCA completes; results reflect BLQ handling</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DQ catches all issues; NCA runs after fixes</w:t>
            </w:r>
          </w:p>
        </w:tc>
        <w:tc>
          <w:tcPr>
            <w:tcW w:type="dxa" w:w="700"/>
            <w:tcBorders>
              <w:top w:val="single" w:color="999999" w:sz="1"/>
              <w:left w:val="single" w:color="999999" w:sz="1"/>
              <w:bottom w:val="single" w:color="999999" w:sz="1"/>
              <w:right w:val="single" w:color="999999" w:sz="1"/>
            </w:tcBorders>
            <w:shd w:fill="D5F5E3" w:val="clear"/>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PASS</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URS-DAT-02 to 06, URS-NCA-01,10</w:t>
            </w:r>
          </w:p>
        </w:tc>
        <w:tc>
          <w:tcPr>
            <w:tcW w:type="dxa" w:w="638"/>
            <w:tcBorders>
              <w:top w:val="single" w:color="999999" w:sz="1"/>
              <w:left w:val="single" w:color="999999" w:sz="1"/>
              <w:bottom w:val="single" w:color="999999" w:sz="1"/>
              <w:right w:val="single" w:color="999999" w:sz="1"/>
            </w:tcBorders>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
            </w:r>
          </w:p>
        </w:tc>
      </w:tr>
    </w:tbl>
    <w:p>
      <w:pPr>
        <w:spacing w:after="80"/>
      </w:pPr>
    </w:p>
    <w:p>
      <w:pPr>
        <w:spacing w:after="120"/>
        <w:jc w:val="left"/>
      </w:pPr>
      <w:r>
        <w:rPr>
          <w:rFonts w:ascii="Arial" w:cs="Arial" w:eastAsia="Arial" w:hAnsi="Arial"/>
          <w:b/>
          <w:bCs/>
          <w:i w:val="false"/>
          <w:iCs w:val="false"/>
          <w:color w:val="1B4F72"/>
          <w:sz w:val="22"/>
          <w:szCs w:val="22"/>
        </w:rPr>
        <w:t xml:space="preserve">Section Sign-off</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2000"/>
        <w:gridCol w:w="2000"/>
      </w:tblGrid>
      <w:tr>
        <w:tc>
          <w:tcPr>
            <w:tcW w:type="dxa" w:w="30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Result</w:t>
            </w:r>
          </w:p>
        </w:tc>
        <w:tc>
          <w:tcPr>
            <w:tcW w:type="dxa" w:w="30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Executed by</w:t>
            </w:r>
          </w:p>
        </w:tc>
        <w:tc>
          <w:tcPr>
            <w:tcW w:type="dxa" w:w="20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Signature</w:t>
            </w:r>
          </w:p>
        </w:tc>
        <w:tc>
          <w:tcPr>
            <w:tcW w:type="dxa" w:w="20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Date</w:t>
            </w:r>
          </w:p>
        </w:tc>
      </w:tr>
      <w:tr>
        <w:tc>
          <w:tcPr>
            <w:tcW w:type="dxa" w:w="3000"/>
            <w:tcBorders>
              <w:top w:val="single" w:color="999999" w:sz="1"/>
              <w:left w:val="single" w:color="999999" w:sz="1"/>
              <w:bottom w:val="single" w:color="999999" w:sz="1"/>
              <w:right w:val="single" w:color="999999" w:sz="1"/>
            </w:tcBorders>
            <w:shd w:fill="F2F4F4" w:val="clear"/>
            <w:tcMar>
              <w:top w:type="dxa" w:w="60"/>
              <w:left w:type="dxa" w:w="100"/>
              <w:bottom w:type="dxa" w:w="60"/>
              <w:right w:type="dxa" w:w="100"/>
            </w:tcMar>
          </w:tcPr>
          <w:p>
            <w:pPr>
              <w:spacing w:after="100" w:before="100"/>
            </w:pPr>
            <w:r>
              <w:rPr>
                <w:rFonts w:ascii="Arial" w:cs="Arial" w:eastAsia="Arial" w:hAnsi="Arial"/>
                <w:sz w:val="18"/>
                <w:szCs w:val="18"/>
              </w:rPr>
              <w:t xml:space="preserve">☐ All tests PASS   ☐ Deviations recorded</w:t>
            </w:r>
          </w:p>
        </w:tc>
        <w:tc>
          <w:tcPr>
            <w:tcW w:type="dxa" w:w="3000"/>
            <w:tcBorders>
              <w:top w:val="single" w:color="999999" w:sz="1"/>
              <w:left w:val="single" w:color="999999" w:sz="1"/>
              <w:bottom w:val="single" w:color="999999" w:sz="1"/>
              <w:right w:val="single" w:color="999999" w:sz="1"/>
            </w:tcBorders>
            <w:shd w:fill="F2F4F4" w:val="clear"/>
            <w:tcMar>
              <w:top w:type="dxa" w:w="60"/>
              <w:left w:type="dxa" w:w="100"/>
              <w:bottom w:type="dxa" w:w="60"/>
              <w:right w:type="dxa" w:w="100"/>
            </w:tcMar>
          </w:tcPr>
          <w:p>
            <w:pPr>
              <w:spacing w:after="100" w:before="100"/>
            </w:pPr>
            <w:r>
              <w:rPr>
                <w:rFonts w:ascii="Arial" w:cs="Arial" w:eastAsia="Arial" w:hAnsi="Arial"/>
                <w:sz w:val="18"/>
                <w:szCs w:val="18"/>
              </w:rPr>
              <w:t xml:space="preserve"/>
            </w:r>
          </w:p>
        </w:tc>
        <w:tc>
          <w:tcPr>
            <w:tcW w:type="dxa" w:w="2000"/>
            <w:tcBorders>
              <w:top w:val="single" w:color="999999" w:sz="1"/>
              <w:left w:val="single" w:color="999999" w:sz="1"/>
              <w:bottom w:val="single" w:color="999999" w:sz="1"/>
              <w:right w:val="single" w:color="999999" w:sz="1"/>
            </w:tcBorders>
            <w:shd w:fill="F2F4F4" w:val="clear"/>
            <w:tcMar>
              <w:top w:type="dxa" w:w="60"/>
              <w:left w:type="dxa" w:w="100"/>
              <w:bottom w:type="dxa" w:w="60"/>
              <w:right w:type="dxa" w:w="100"/>
            </w:tcMar>
          </w:tcPr>
          <w:p>
            <w:pPr>
              <w:spacing w:after="100" w:before="100"/>
            </w:pPr>
            <w:r>
              <w:rPr>
                <w:rFonts w:ascii="Arial" w:cs="Arial" w:eastAsia="Arial" w:hAnsi="Arial"/>
                <w:sz w:val="18"/>
                <w:szCs w:val="18"/>
              </w:rPr>
              <w:t xml:space="preserve"/>
            </w:r>
          </w:p>
        </w:tc>
        <w:tc>
          <w:tcPr>
            <w:tcW w:type="dxa" w:w="2000"/>
            <w:tcBorders>
              <w:top w:val="single" w:color="999999" w:sz="1"/>
              <w:left w:val="single" w:color="999999" w:sz="1"/>
              <w:bottom w:val="single" w:color="999999" w:sz="1"/>
              <w:right w:val="single" w:color="999999" w:sz="1"/>
            </w:tcBorders>
            <w:shd w:fill="F2F4F4" w:val="clear"/>
            <w:tcMar>
              <w:top w:type="dxa" w:w="60"/>
              <w:left w:type="dxa" w:w="100"/>
              <w:bottom w:type="dxa" w:w="60"/>
              <w:right w:type="dxa" w:w="100"/>
            </w:tcMar>
          </w:tcPr>
          <w:p>
            <w:pPr>
              <w:spacing w:after="100" w:before="100"/>
            </w:pPr>
            <w:r>
              <w:rPr>
                <w:rFonts w:ascii="Arial" w:cs="Arial" w:eastAsia="Arial" w:hAnsi="Arial"/>
                <w:sz w:val="18"/>
                <w:szCs w:val="18"/>
              </w:rPr>
              <w:t xml:space="preserve"/>
            </w:r>
          </w:p>
        </w:tc>
      </w:tr>
    </w:tbl>
    <w:p>
      <w:pPr>
        <w:sectPr>
          <w:headerReference w:type="default" r:id="rId13"/>
          <w:footerReference w:type="default" r:id="rId14"/>
          <w:pgSz w:w="16838" w:h="11906" w:orient="landscape"/>
          <w:pgMar w:top="1000" w:right="1000" w:bottom="1000" w:left="1000" w:header="708" w:footer="708" w:gutter="0"/>
          <w:pgNumType/>
          <w:docGrid w:linePitch="360"/>
        </w:sectPr>
      </w:pPr>
    </w:p>
    <w:p>
      <w:pPr>
        <w:pStyle w:val="Heading1"/>
        <w:spacing w:after="120" w:before="200"/>
      </w:pPr>
      <w:r>
        <w:rPr>
          <w:rFonts w:ascii="Arial" w:cs="Arial" w:eastAsia="Arial" w:hAnsi="Arial"/>
        </w:rPr>
        <w:t xml:space="preserve">5. Overall Qualification Summary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276"/>
        <w:gridCol w:w="3276"/>
      </w:tblGrid>
      <w:tr>
        <w:tc>
          <w:tcPr>
            <w:tcW w:type="dxa" w:w="2808"/>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Phase</w:t>
            </w:r>
          </w:p>
        </w:tc>
        <w:tc>
          <w:tcPr>
            <w:tcW w:type="dxa" w:w="3276"/>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Tests</w:t>
            </w:r>
          </w:p>
        </w:tc>
        <w:tc>
          <w:tcPr>
            <w:tcW w:type="dxa" w:w="3276"/>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Status</w:t>
            </w:r>
          </w:p>
        </w:tc>
      </w:tr>
      <w:tr>
        <w:tc>
          <w:tcPr>
            <w:tcW w:type="dxa" w:w="2808"/>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80" w:before="80"/>
            </w:pPr>
            <w:r>
              <w:rPr>
                <w:rFonts w:ascii="Arial" w:cs="Arial" w:eastAsia="Arial" w:hAnsi="Arial"/>
                <w:b/>
                <w:bCs/>
                <w:sz w:val="20"/>
                <w:szCs w:val="20"/>
              </w:rPr>
              <w:t xml:space="preserve">Installation Qualification (IQ)</w:t>
            </w:r>
          </w:p>
        </w:tc>
        <w:tc>
          <w:tcPr>
            <w:tcW w:type="dxa" w:w="3276"/>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80" w:before="80"/>
            </w:pPr>
            <w:r>
              <w:rPr>
                <w:rFonts w:ascii="Arial" w:cs="Arial" w:eastAsia="Arial" w:hAnsi="Arial"/>
                <w:b w:val="false"/>
                <w:bCs w:val="false"/>
                <w:sz w:val="20"/>
                <w:szCs w:val="20"/>
              </w:rPr>
              <w:t xml:space="preserve">11 tests</w:t>
            </w:r>
          </w:p>
        </w:tc>
        <w:tc>
          <w:tcPr>
            <w:tcW w:type="dxa" w:w="3276"/>
            <w:tcBorders>
              <w:top w:val="single" w:color="999999" w:sz="1"/>
              <w:left w:val="single" w:color="999999" w:sz="1"/>
              <w:bottom w:val="single" w:color="999999" w:sz="1"/>
              <w:right w:val="single" w:color="999999" w:sz="1"/>
            </w:tcBorders>
            <w:shd w:fill="F2F4F4" w:val="clear"/>
            <w:tcMar>
              <w:top w:type="dxa" w:w="60"/>
              <w:left w:type="dxa" w:w="100"/>
              <w:bottom w:type="dxa" w:w="60"/>
              <w:right w:type="dxa" w:w="100"/>
            </w:tcMar>
          </w:tcPr>
          <w:p>
            <w:pPr>
              <w:spacing w:after="80" w:before="80"/>
            </w:pPr>
            <w:r>
              <w:rPr>
                <w:rFonts w:ascii="Arial" w:cs="Arial" w:eastAsia="Arial" w:hAnsi="Arial"/>
                <w:b w:val="false"/>
                <w:bCs w:val="false"/>
                <w:sz w:val="20"/>
                <w:szCs w:val="20"/>
              </w:rPr>
              <w:t xml:space="preserve">☐ PASS  ☐ FAIL</w:t>
            </w:r>
          </w:p>
        </w:tc>
      </w:tr>
      <w:tr>
        <w:tc>
          <w:tcPr>
            <w:tcW w:type="dxa" w:w="2808"/>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80" w:before="80"/>
            </w:pPr>
            <w:r>
              <w:rPr>
                <w:rFonts w:ascii="Arial" w:cs="Arial" w:eastAsia="Arial" w:hAnsi="Arial"/>
                <w:b/>
                <w:bCs/>
                <w:sz w:val="20"/>
                <w:szCs w:val="20"/>
              </w:rPr>
              <w:t xml:space="preserve">Operational Qualification (OQ)</w:t>
            </w:r>
          </w:p>
        </w:tc>
        <w:tc>
          <w:tcPr>
            <w:tcW w:type="dxa" w:w="3276"/>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80" w:before="80"/>
            </w:pPr>
            <w:r>
              <w:rPr>
                <w:rFonts w:ascii="Arial" w:cs="Arial" w:eastAsia="Arial" w:hAnsi="Arial"/>
                <w:b w:val="false"/>
                <w:bCs w:val="false"/>
                <w:sz w:val="20"/>
                <w:szCs w:val="20"/>
              </w:rPr>
              <w:t xml:space="preserve">78 tests</w:t>
            </w:r>
          </w:p>
        </w:tc>
        <w:tc>
          <w:tcPr>
            <w:tcW w:type="dxa" w:w="3276"/>
            <w:tcBorders>
              <w:top w:val="single" w:color="999999" w:sz="1"/>
              <w:left w:val="single" w:color="999999" w:sz="1"/>
              <w:bottom w:val="single" w:color="999999" w:sz="1"/>
              <w:right w:val="single" w:color="999999" w:sz="1"/>
            </w:tcBorders>
            <w:shd w:fill="F2F4F4" w:val="clear"/>
            <w:tcMar>
              <w:top w:type="dxa" w:w="60"/>
              <w:left w:type="dxa" w:w="100"/>
              <w:bottom w:type="dxa" w:w="60"/>
              <w:right w:type="dxa" w:w="100"/>
            </w:tcMar>
          </w:tcPr>
          <w:p>
            <w:pPr>
              <w:spacing w:after="80" w:before="80"/>
            </w:pPr>
            <w:r>
              <w:rPr>
                <w:rFonts w:ascii="Arial" w:cs="Arial" w:eastAsia="Arial" w:hAnsi="Arial"/>
                <w:b w:val="false"/>
                <w:bCs w:val="false"/>
                <w:sz w:val="20"/>
                <w:szCs w:val="20"/>
              </w:rPr>
              <w:t xml:space="preserve">☐ PASS  ☐ FAIL</w:t>
            </w:r>
          </w:p>
        </w:tc>
      </w:tr>
      <w:tr>
        <w:tc>
          <w:tcPr>
            <w:tcW w:type="dxa" w:w="2808"/>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80" w:before="80"/>
            </w:pPr>
            <w:r>
              <w:rPr>
                <w:rFonts w:ascii="Arial" w:cs="Arial" w:eastAsia="Arial" w:hAnsi="Arial"/>
                <w:b/>
                <w:bCs/>
                <w:sz w:val="20"/>
                <w:szCs w:val="20"/>
              </w:rPr>
              <w:t xml:space="preserve">Performance Qualification (PQ)</w:t>
            </w:r>
          </w:p>
        </w:tc>
        <w:tc>
          <w:tcPr>
            <w:tcW w:type="dxa" w:w="3276"/>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80" w:before="80"/>
            </w:pPr>
            <w:r>
              <w:rPr>
                <w:rFonts w:ascii="Arial" w:cs="Arial" w:eastAsia="Arial" w:hAnsi="Arial"/>
                <w:b w:val="false"/>
                <w:bCs w:val="false"/>
                <w:sz w:val="20"/>
                <w:szCs w:val="20"/>
              </w:rPr>
              <w:t xml:space="preserve">5 tests</w:t>
            </w:r>
          </w:p>
        </w:tc>
        <w:tc>
          <w:tcPr>
            <w:tcW w:type="dxa" w:w="3276"/>
            <w:tcBorders>
              <w:top w:val="single" w:color="999999" w:sz="1"/>
              <w:left w:val="single" w:color="999999" w:sz="1"/>
              <w:bottom w:val="single" w:color="999999" w:sz="1"/>
              <w:right w:val="single" w:color="999999" w:sz="1"/>
            </w:tcBorders>
            <w:shd w:fill="F2F4F4" w:val="clear"/>
            <w:tcMar>
              <w:top w:type="dxa" w:w="60"/>
              <w:left w:type="dxa" w:w="100"/>
              <w:bottom w:type="dxa" w:w="60"/>
              <w:right w:type="dxa" w:w="100"/>
            </w:tcMar>
          </w:tcPr>
          <w:p>
            <w:pPr>
              <w:spacing w:after="80" w:before="80"/>
            </w:pPr>
            <w:r>
              <w:rPr>
                <w:rFonts w:ascii="Arial" w:cs="Arial" w:eastAsia="Arial" w:hAnsi="Arial"/>
                <w:b w:val="false"/>
                <w:bCs w:val="false"/>
                <w:sz w:val="20"/>
                <w:szCs w:val="20"/>
              </w:rPr>
              <w:t xml:space="preserve">☐ PASS  ☐ FAIL</w:t>
            </w:r>
          </w:p>
        </w:tc>
      </w:tr>
      <w:tr>
        <w:tc>
          <w:tcPr>
            <w:tcW w:type="dxa" w:w="2808"/>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80" w:before="80"/>
            </w:pPr>
            <w:r>
              <w:rPr>
                <w:rFonts w:ascii="Arial" w:cs="Arial" w:eastAsia="Arial" w:hAnsi="Arial"/>
                <w:b/>
                <w:bCs/>
                <w:sz w:val="20"/>
                <w:szCs w:val="20"/>
              </w:rPr>
              <w:t xml:space="preserve">Overall</w:t>
            </w:r>
          </w:p>
        </w:tc>
        <w:tc>
          <w:tcPr>
            <w:tcW w:type="dxa" w:w="3276"/>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80" w:before="80"/>
            </w:pPr>
            <w:r>
              <w:rPr>
                <w:rFonts w:ascii="Arial" w:cs="Arial" w:eastAsia="Arial" w:hAnsi="Arial"/>
                <w:b w:val="false"/>
                <w:bCs w:val="false"/>
                <w:sz w:val="20"/>
                <w:szCs w:val="20"/>
              </w:rPr>
              <w:t xml:space="preserve">94 tests</w:t>
            </w:r>
          </w:p>
        </w:tc>
        <w:tc>
          <w:tcPr>
            <w:tcW w:type="dxa" w:w="3276"/>
            <w:tcBorders>
              <w:top w:val="single" w:color="999999" w:sz="1"/>
              <w:left w:val="single" w:color="999999" w:sz="1"/>
              <w:bottom w:val="single" w:color="999999" w:sz="1"/>
              <w:right w:val="single" w:color="999999" w:sz="1"/>
            </w:tcBorders>
            <w:shd w:fill="F2F4F4" w:val="clear"/>
            <w:tcMar>
              <w:top w:type="dxa" w:w="60"/>
              <w:left w:type="dxa" w:w="100"/>
              <w:bottom w:type="dxa" w:w="60"/>
              <w:right w:type="dxa" w:w="100"/>
            </w:tcMar>
          </w:tcPr>
          <w:p>
            <w:pPr>
              <w:spacing w:after="80" w:before="80"/>
            </w:pPr>
            <w:r>
              <w:rPr>
                <w:rFonts w:ascii="Arial" w:cs="Arial" w:eastAsia="Arial" w:hAnsi="Arial"/>
                <w:b w:val="false"/>
                <w:bCs w:val="false"/>
                <w:sz w:val="20"/>
                <w:szCs w:val="20"/>
              </w:rPr>
              <w:t xml:space="preserve">☐ QUALIFIED  ☐ NOT QUALIFIED</w:t>
            </w:r>
          </w:p>
        </w:tc>
      </w:tr>
    </w:tbl>
    <w:p>
      <w:pPr>
        <w:spacing w:after="80"/>
      </w:pPr>
    </w:p>
    <w:p>
      <w:pPr>
        <w:spacing w:after="80"/>
      </w:pPr>
    </w:p>
    <w:p>
      <w:pPr>
        <w:pStyle w:val="Heading2"/>
        <w:spacing w:after="120" w:before="200"/>
      </w:pPr>
      <w:r>
        <w:rPr>
          <w:rFonts w:ascii="Arial" w:cs="Arial" w:eastAsia="Arial" w:hAnsi="Arial"/>
        </w:rPr>
        <w:t xml:space="preserve">5.1 Deviations</w:t>
      </w:r>
    </w:p>
    <w:p>
      <w:pPr>
        <w:spacing w:after="120"/>
        <w:jc w:val="left"/>
      </w:pPr>
      <w:r>
        <w:rPr>
          <w:rFonts w:ascii="Arial" w:cs="Arial" w:eastAsia="Arial" w:hAnsi="Arial"/>
          <w:b w:val="false"/>
          <w:bCs w:val="false"/>
          <w:i w:val="false"/>
          <w:iCs w:val="false"/>
          <w:color w:val="333333"/>
          <w:sz w:val="20"/>
          <w:szCs w:val="20"/>
        </w:rPr>
        <w:t xml:space="preserve">☐ No deviations occurred during qualification.</w:t>
      </w:r>
    </w:p>
    <w:p>
      <w:pPr>
        <w:spacing w:after="120"/>
        <w:jc w:val="left"/>
      </w:pPr>
      <w:r>
        <w:rPr>
          <w:rFonts w:ascii="Arial" w:cs="Arial" w:eastAsia="Arial" w:hAnsi="Arial"/>
          <w:b w:val="false"/>
          <w:bCs w:val="false"/>
          <w:i w:val="false"/>
          <w:iCs w:val="false"/>
          <w:color w:val="333333"/>
          <w:sz w:val="20"/>
          <w:szCs w:val="20"/>
        </w:rPr>
        <w:t xml:space="preserve">☐ Deviations occurred and are documented below:</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400"/>
        <w:gridCol w:w="2300"/>
        <w:gridCol w:w="2300"/>
        <w:gridCol w:w="2360"/>
      </w:tblGrid>
      <w:tr>
        <w:tc>
          <w:tcPr>
            <w:tcW w:type="dxa" w:w="9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Dev. #</w:t>
            </w:r>
          </w:p>
        </w:tc>
        <w:tc>
          <w:tcPr>
            <w:tcW w:type="dxa" w:w="14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Test ID</w:t>
            </w:r>
          </w:p>
        </w:tc>
        <w:tc>
          <w:tcPr>
            <w:tcW w:type="dxa" w:w="23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Description</w:t>
            </w:r>
          </w:p>
        </w:tc>
        <w:tc>
          <w:tcPr>
            <w:tcW w:type="dxa" w:w="230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Root Cause</w:t>
            </w:r>
          </w:p>
        </w:tc>
        <w:tc>
          <w:tcPr>
            <w:tcW w:type="dxa" w:w="236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Resolution</w:t>
            </w:r>
          </w:p>
        </w:tc>
      </w:tr>
      <w:tr>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200" w:before="200"/>
            </w:pPr>
            <w:r>
              <w:rPr>
                <w:rFonts w:ascii="Arial" w:cs="Arial" w:eastAsia="Arial" w:hAnsi="Arial"/>
                <w:sz w:val="18"/>
                <w:szCs w:val="18"/>
              </w:rPr>
              <w:t xml:space="preserve"/>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200" w:before="200"/>
            </w:pPr>
            <w:r>
              <w:rPr>
                <w:rFonts w:ascii="Arial" w:cs="Arial" w:eastAsia="Arial" w:hAnsi="Arial"/>
                <w:sz w:val="18"/>
                <w:szCs w:val="18"/>
              </w:rPr>
              <w:t xml:space="preserve"/>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200" w:before="200"/>
            </w:pPr>
            <w:r>
              <w:rPr>
                <w:rFonts w:ascii="Arial" w:cs="Arial" w:eastAsia="Arial" w:hAnsi="Arial"/>
                <w:sz w:val="18"/>
                <w:szCs w:val="18"/>
              </w:rPr>
              <w:t xml:space="preserve"/>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200" w:before="200"/>
            </w:pPr>
            <w:r>
              <w:rPr>
                <w:rFonts w:ascii="Arial" w:cs="Arial" w:eastAsia="Arial" w:hAnsi="Arial"/>
                <w:sz w:val="18"/>
                <w:szCs w:val="18"/>
              </w:rPr>
              <w:t xml:space="preserve"/>
            </w:r>
          </w:p>
        </w:tc>
        <w:tc>
          <w:tcPr>
            <w:tcW w:type="dxa" w:w="23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200" w:before="200"/>
            </w:pPr>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200" w:before="200"/>
            </w:pPr>
            <w:r>
              <w:rPr>
                <w:rFonts w:ascii="Arial" w:cs="Arial" w:eastAsia="Arial" w:hAnsi="Arial"/>
                <w:sz w:val="18"/>
                <w:szCs w:val="18"/>
              </w:rPr>
              <w:t xml:space="preserve"/>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200" w:before="200"/>
            </w:pPr>
            <w:r>
              <w:rPr>
                <w:rFonts w:ascii="Arial" w:cs="Arial" w:eastAsia="Arial" w:hAnsi="Arial"/>
                <w:sz w:val="18"/>
                <w:szCs w:val="18"/>
              </w:rPr>
              <w:t xml:space="preserve"/>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200" w:before="200"/>
            </w:pPr>
            <w:r>
              <w:rPr>
                <w:rFonts w:ascii="Arial" w:cs="Arial" w:eastAsia="Arial" w:hAnsi="Arial"/>
                <w:sz w:val="18"/>
                <w:szCs w:val="18"/>
              </w:rPr>
              <w:t xml:space="preserve"/>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200" w:before="200"/>
            </w:pPr>
            <w:r>
              <w:rPr>
                <w:rFonts w:ascii="Arial" w:cs="Arial" w:eastAsia="Arial" w:hAnsi="Arial"/>
                <w:sz w:val="18"/>
                <w:szCs w:val="18"/>
              </w:rPr>
              <w:t xml:space="preserve"/>
            </w:r>
          </w:p>
        </w:tc>
        <w:tc>
          <w:tcPr>
            <w:tcW w:type="dxa" w:w="23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200" w:before="200"/>
            </w:pPr>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200" w:before="200"/>
            </w:pPr>
            <w:r>
              <w:rPr>
                <w:rFonts w:ascii="Arial" w:cs="Arial" w:eastAsia="Arial" w:hAnsi="Arial"/>
                <w:sz w:val="18"/>
                <w:szCs w:val="18"/>
              </w:rPr>
              <w:t xml:space="preserve"/>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200" w:before="200"/>
            </w:pPr>
            <w:r>
              <w:rPr>
                <w:rFonts w:ascii="Arial" w:cs="Arial" w:eastAsia="Arial" w:hAnsi="Arial"/>
                <w:sz w:val="18"/>
                <w:szCs w:val="18"/>
              </w:rPr>
              <w:t xml:space="preserve"/>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200" w:before="200"/>
            </w:pPr>
            <w:r>
              <w:rPr>
                <w:rFonts w:ascii="Arial" w:cs="Arial" w:eastAsia="Arial" w:hAnsi="Arial"/>
                <w:sz w:val="18"/>
                <w:szCs w:val="18"/>
              </w:rPr>
              <w:t xml:space="preserve"/>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200" w:before="200"/>
            </w:pPr>
            <w:r>
              <w:rPr>
                <w:rFonts w:ascii="Arial" w:cs="Arial" w:eastAsia="Arial" w:hAnsi="Arial"/>
                <w:sz w:val="18"/>
                <w:szCs w:val="18"/>
              </w:rPr>
              <w:t xml:space="preserve"/>
            </w:r>
          </w:p>
        </w:tc>
        <w:tc>
          <w:tcPr>
            <w:tcW w:type="dxa" w:w="23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200" w:before="200"/>
            </w:pPr>
            <w:r>
              <w:rPr>
                <w:rFonts w:ascii="Arial" w:cs="Arial" w:eastAsia="Arial" w:hAnsi="Arial"/>
                <w:sz w:val="18"/>
                <w:szCs w:val="18"/>
              </w:rPr>
              <w:t xml:space="preserve"/>
            </w:r>
          </w:p>
        </w:tc>
      </w:tr>
    </w:tbl>
    <w:p>
      <w:pPr>
        <w:spacing w:after="80"/>
      </w:pPr>
    </w:p>
    <w:p>
      <w:pPr>
        <w:spacing w:after="80"/>
      </w:pPr>
    </w:p>
    <w:p>
      <w:pPr>
        <w:pStyle w:val="Heading2"/>
        <w:spacing w:after="120" w:before="200"/>
      </w:pPr>
      <w:r>
        <w:rPr>
          <w:rFonts w:ascii="Arial" w:cs="Arial" w:eastAsia="Arial" w:hAnsi="Arial"/>
        </w:rPr>
        <w:t xml:space="preserve">5.2 Final Approval</w:t>
      </w:r>
    </w:p>
    <w:p>
      <w:pPr>
        <w:spacing w:after="120"/>
        <w:jc w:val="left"/>
      </w:pPr>
      <w:r>
        <w:rPr>
          <w:rFonts w:ascii="Arial" w:cs="Arial" w:eastAsia="Arial" w:hAnsi="Arial"/>
          <w:b w:val="false"/>
          <w:bCs w:val="false"/>
          <w:i w:val="false"/>
          <w:iCs w:val="false"/>
          <w:color w:val="333333"/>
          <w:sz w:val="20"/>
          <w:szCs w:val="20"/>
        </w:rPr>
        <w:t xml:space="preserve">NCA Assistant v1.0 has been qualified in accordance with this IQ/OQ/PQ protocol and the User Requirement Specification (URS v1.0). The system is approved for use in pharmacokinetic non-compartmental analysis, bioequivalence assessment, and study planning.</w:t>
      </w:r>
    </w:p>
    <w:p>
      <w:pPr>
        <w:spacing w:after="80"/>
      </w:pPr>
    </w:p>
    <w:p>
      <w:pPr>
        <w:pStyle w:val="Heading2"/>
        <w:spacing w:after="120" w:before="200"/>
      </w:pPr>
      <w:r>
        <w:rPr>
          <w:rFonts w:ascii="Arial" w:cs="Arial" w:eastAsia="Arial" w:hAnsi="Arial"/>
        </w:rPr>
        <w:t xml:space="preserve">5.3 Revalidation</w:t>
      </w:r>
    </w:p>
    <w:p>
      <w:pPr>
        <w:spacing w:after="120"/>
        <w:jc w:val="left"/>
      </w:pPr>
      <w:r>
        <w:rPr>
          <w:rFonts w:ascii="Arial" w:cs="Arial" w:eastAsia="Arial" w:hAnsi="Arial"/>
          <w:b w:val="false"/>
          <w:bCs w:val="false"/>
          <w:i w:val="false"/>
          <w:iCs w:val="false"/>
          <w:color w:val="333333"/>
          <w:sz w:val="20"/>
          <w:szCs w:val="20"/>
        </w:rPr>
        <w:t xml:space="preserve">This qualification is valid for NCA Assistant v1.0 with the package versions locked in renv.lock at the time of execution. Revalidation is required when: (1) R is upgraded to a new major or minor version; (2) any computational package (NonCompart, PowerTOST, nlme) is updated; (3) application code affecting computations, data handling, or export logic is modified; (4) the application is deployed to a new hosting environment. Revalidation scope (full or partial re-execution) shall be determined by change impact assessment as defined in URS Section 7.2. Annual periodic review is recommended.</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808"/>
        <w:gridCol w:w="2340"/>
        <w:gridCol w:w="1872"/>
      </w:tblGrid>
      <w:tr>
        <w:tc>
          <w:tcPr>
            <w:tcW w:type="dxa" w:w="234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Role</w:t>
            </w:r>
          </w:p>
        </w:tc>
        <w:tc>
          <w:tcPr>
            <w:tcW w:type="dxa" w:w="2808"/>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Name</w:t>
            </w:r>
          </w:p>
        </w:tc>
        <w:tc>
          <w:tcPr>
            <w:tcW w:type="dxa" w:w="2340"/>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Signature</w:t>
            </w:r>
          </w:p>
        </w:tc>
        <w:tc>
          <w:tcPr>
            <w:tcW w:type="dxa" w:w="1872"/>
            <w:tcBorders>
              <w:top w:val="single" w:color="999999" w:sz="1"/>
              <w:left w:val="single" w:color="999999" w:sz="1"/>
              <w:bottom w:val="single" w:color="999999" w:sz="1"/>
              <w:right w:val="single" w:color="999999"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Date</w:t>
            </w:r>
          </w:p>
        </w:tc>
      </w:tr>
      <w:tr>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150" w:before="150"/>
            </w:pPr>
            <w:r>
              <w:rPr>
                <w:rFonts w:ascii="Arial" w:cs="Arial" w:eastAsia="Arial" w:hAnsi="Arial"/>
                <w:sz w:val="20"/>
                <w:szCs w:val="20"/>
              </w:rPr>
              <w:t xml:space="preserve">Qualification Lead</w:t>
            </w:r>
          </w:p>
        </w:tc>
        <w:tc>
          <w:tcPr>
            <w:tcW w:type="dxa" w:w="2808"/>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150" w:before="150"/>
            </w:pPr>
            <w:r>
              <w:rPr>
                <w:rFonts w:ascii="Arial" w:cs="Arial" w:eastAsia="Arial" w:hAnsi="Arial"/>
                <w:sz w:val="20"/>
                <w:szCs w:val="20"/>
              </w:rPr>
              <w:t xml:space="preserve"/>
            </w:r>
          </w:p>
        </w:tc>
        <w:tc>
          <w:tcPr>
            <w:tcW w:type="dxa" w:w="2340"/>
            <w:tcBorders>
              <w:top w:val="single" w:color="999999" w:sz="1"/>
              <w:left w:val="single" w:color="999999" w:sz="1"/>
              <w:bottom w:val="single" w:color="999999" w:sz="1"/>
              <w:right w:val="single" w:color="999999" w:sz="1"/>
            </w:tcBorders>
            <w:shd w:fill="F2F4F4" w:val="clear"/>
            <w:tcMar>
              <w:top w:type="dxa" w:w="60"/>
              <w:left w:type="dxa" w:w="100"/>
              <w:bottom w:type="dxa" w:w="60"/>
              <w:right w:type="dxa" w:w="100"/>
            </w:tcMar>
          </w:tcPr>
          <w:p>
            <w:pPr>
              <w:spacing w:after="150" w:before="150"/>
            </w:pPr>
            <w:r>
              <w:rPr>
                <w:rFonts w:ascii="Arial" w:cs="Arial" w:eastAsia="Arial" w:hAnsi="Arial"/>
                <w:sz w:val="20"/>
                <w:szCs w:val="20"/>
              </w:rPr>
              <w:t xml:space="preserve"/>
            </w:r>
          </w:p>
        </w:tc>
        <w:tc>
          <w:tcPr>
            <w:tcW w:type="dxa" w:w="1872"/>
            <w:tcBorders>
              <w:top w:val="single" w:color="999999" w:sz="1"/>
              <w:left w:val="single" w:color="999999" w:sz="1"/>
              <w:bottom w:val="single" w:color="999999" w:sz="1"/>
              <w:right w:val="single" w:color="999999" w:sz="1"/>
            </w:tcBorders>
            <w:shd w:fill="F2F4F4" w:val="clear"/>
            <w:tcMar>
              <w:top w:type="dxa" w:w="60"/>
              <w:left w:type="dxa" w:w="100"/>
              <w:bottom w:type="dxa" w:w="60"/>
              <w:right w:type="dxa" w:w="100"/>
            </w:tcMar>
          </w:tcPr>
          <w:p>
            <w:pPr>
              <w:spacing w:after="150" w:before="150"/>
            </w:pPr>
            <w:r>
              <w:rPr>
                <w:rFonts w:ascii="Arial" w:cs="Arial" w:eastAsia="Arial" w:hAnsi="Arial"/>
                <w:sz w:val="20"/>
                <w:szCs w:val="20"/>
              </w:rPr>
              <w:t xml:space="preserve"/>
            </w:r>
          </w:p>
        </w:tc>
      </w:tr>
      <w:tr>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150" w:before="150"/>
            </w:pPr>
            <w:r>
              <w:rPr>
                <w:rFonts w:ascii="Arial" w:cs="Arial" w:eastAsia="Arial" w:hAnsi="Arial"/>
                <w:sz w:val="20"/>
                <w:szCs w:val="20"/>
              </w:rPr>
              <w:t xml:space="preserve">Quality Assurance</w:t>
            </w:r>
          </w:p>
        </w:tc>
        <w:tc>
          <w:tcPr>
            <w:tcW w:type="dxa" w:w="2808"/>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150" w:before="150"/>
            </w:pPr>
            <w:r>
              <w:rPr>
                <w:rFonts w:ascii="Arial" w:cs="Arial" w:eastAsia="Arial" w:hAnsi="Arial"/>
                <w:sz w:val="20"/>
                <w:szCs w:val="20"/>
              </w:rPr>
              <w:t xml:space="preserve"/>
            </w:r>
          </w:p>
        </w:tc>
        <w:tc>
          <w:tcPr>
            <w:tcW w:type="dxa" w:w="2340"/>
            <w:tcBorders>
              <w:top w:val="single" w:color="999999" w:sz="1"/>
              <w:left w:val="single" w:color="999999" w:sz="1"/>
              <w:bottom w:val="single" w:color="999999" w:sz="1"/>
              <w:right w:val="single" w:color="999999" w:sz="1"/>
            </w:tcBorders>
            <w:shd w:fill="F2F4F4" w:val="clear"/>
            <w:tcMar>
              <w:top w:type="dxa" w:w="60"/>
              <w:left w:type="dxa" w:w="100"/>
              <w:bottom w:type="dxa" w:w="60"/>
              <w:right w:type="dxa" w:w="100"/>
            </w:tcMar>
          </w:tcPr>
          <w:p>
            <w:pPr>
              <w:spacing w:after="150" w:before="150"/>
            </w:pPr>
            <w:r>
              <w:rPr>
                <w:rFonts w:ascii="Arial" w:cs="Arial" w:eastAsia="Arial" w:hAnsi="Arial"/>
                <w:sz w:val="20"/>
                <w:szCs w:val="20"/>
              </w:rPr>
              <w:t xml:space="preserve"/>
            </w:r>
          </w:p>
        </w:tc>
        <w:tc>
          <w:tcPr>
            <w:tcW w:type="dxa" w:w="1872"/>
            <w:tcBorders>
              <w:top w:val="single" w:color="999999" w:sz="1"/>
              <w:left w:val="single" w:color="999999" w:sz="1"/>
              <w:bottom w:val="single" w:color="999999" w:sz="1"/>
              <w:right w:val="single" w:color="999999" w:sz="1"/>
            </w:tcBorders>
            <w:shd w:fill="F2F4F4" w:val="clear"/>
            <w:tcMar>
              <w:top w:type="dxa" w:w="60"/>
              <w:left w:type="dxa" w:w="100"/>
              <w:bottom w:type="dxa" w:w="60"/>
              <w:right w:type="dxa" w:w="100"/>
            </w:tcMar>
          </w:tcPr>
          <w:p>
            <w:pPr>
              <w:spacing w:after="150" w:before="150"/>
            </w:pPr>
            <w:r>
              <w:rPr>
                <w:rFonts w:ascii="Arial" w:cs="Arial" w:eastAsia="Arial" w:hAnsi="Arial"/>
                <w:sz w:val="20"/>
                <w:szCs w:val="20"/>
              </w:rPr>
              <w:t xml:space="preserve"/>
            </w:r>
          </w:p>
        </w:tc>
      </w:tr>
      <w:tr>
        <w:tc>
          <w:tcPr>
            <w:tcW w:type="dxa" w:w="234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150" w:before="150"/>
            </w:pPr>
            <w:r>
              <w:rPr>
                <w:rFonts w:ascii="Arial" w:cs="Arial" w:eastAsia="Arial" w:hAnsi="Arial"/>
                <w:sz w:val="20"/>
                <w:szCs w:val="20"/>
              </w:rPr>
              <w:t xml:space="preserve">System Owner / Approver</w:t>
            </w:r>
          </w:p>
        </w:tc>
        <w:tc>
          <w:tcPr>
            <w:tcW w:type="dxa" w:w="2808"/>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150" w:before="150"/>
            </w:pPr>
            <w:r>
              <w:rPr>
                <w:rFonts w:ascii="Arial" w:cs="Arial" w:eastAsia="Arial" w:hAnsi="Arial"/>
                <w:sz w:val="20"/>
                <w:szCs w:val="20"/>
              </w:rPr>
              <w:t xml:space="preserve"/>
            </w:r>
          </w:p>
        </w:tc>
        <w:tc>
          <w:tcPr>
            <w:tcW w:type="dxa" w:w="2340"/>
            <w:tcBorders>
              <w:top w:val="single" w:color="999999" w:sz="1"/>
              <w:left w:val="single" w:color="999999" w:sz="1"/>
              <w:bottom w:val="single" w:color="999999" w:sz="1"/>
              <w:right w:val="single" w:color="999999" w:sz="1"/>
            </w:tcBorders>
            <w:shd w:fill="F2F4F4" w:val="clear"/>
            <w:tcMar>
              <w:top w:type="dxa" w:w="60"/>
              <w:left w:type="dxa" w:w="100"/>
              <w:bottom w:type="dxa" w:w="60"/>
              <w:right w:type="dxa" w:w="100"/>
            </w:tcMar>
          </w:tcPr>
          <w:p>
            <w:pPr>
              <w:spacing w:after="150" w:before="150"/>
            </w:pPr>
            <w:r>
              <w:rPr>
                <w:rFonts w:ascii="Arial" w:cs="Arial" w:eastAsia="Arial" w:hAnsi="Arial"/>
                <w:sz w:val="20"/>
                <w:szCs w:val="20"/>
              </w:rPr>
              <w:t xml:space="preserve"/>
            </w:r>
          </w:p>
        </w:tc>
        <w:tc>
          <w:tcPr>
            <w:tcW w:type="dxa" w:w="1872"/>
            <w:tcBorders>
              <w:top w:val="single" w:color="999999" w:sz="1"/>
              <w:left w:val="single" w:color="999999" w:sz="1"/>
              <w:bottom w:val="single" w:color="999999" w:sz="1"/>
              <w:right w:val="single" w:color="999999" w:sz="1"/>
            </w:tcBorders>
            <w:shd w:fill="F2F4F4" w:val="clear"/>
            <w:tcMar>
              <w:top w:type="dxa" w:w="60"/>
              <w:left w:type="dxa" w:w="100"/>
              <w:bottom w:type="dxa" w:w="60"/>
              <w:right w:type="dxa" w:w="100"/>
            </w:tcMar>
          </w:tcPr>
          <w:p>
            <w:pPr>
              <w:spacing w:after="150" w:before="150"/>
            </w:pPr>
            <w:r>
              <w:rPr>
                <w:rFonts w:ascii="Arial" w:cs="Arial" w:eastAsia="Arial" w:hAnsi="Arial"/>
                <w:sz w:val="20"/>
                <w:szCs w:val="20"/>
              </w:rPr>
              <w:t xml:space="preserve"/>
            </w:r>
          </w:p>
        </w:tc>
      </w:tr>
    </w:tbl>
    <w:p>
      <w:pPr>
        <w:spacing w:after="80"/>
      </w:pPr>
    </w:p>
    <w:p>
      <w:pPr>
        <w:spacing w:after="80"/>
      </w:pPr>
    </w:p>
    <w:p>
      <w:pPr>
        <w:spacing w:after="120"/>
        <w:jc w:val="center"/>
      </w:pPr>
      <w:r>
        <w:rPr>
          <w:rFonts w:ascii="Arial" w:cs="Arial" w:eastAsia="Arial" w:hAnsi="Arial"/>
          <w:b w:val="false"/>
          <w:bCs w:val="false"/>
          <w:i/>
          <w:iCs/>
          <w:color w:val="999999"/>
          <w:sz w:val="20"/>
          <w:szCs w:val="20"/>
        </w:rPr>
        <w:t xml:space="preserve">— End of Document —</w:t>
      </w:r>
    </w:p>
    <w:sectPr>
      <w:headerReference w:type="default" r:id="rId15"/>
      <w:footerReference w:type="default" r:id="rId16"/>
      <w:pgSz w:w="11906" w:h="16838" w:orient="portrait"/>
      <w:pgMar w:top="1440" w:right="1273" w:bottom="1440"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6"/>
        <w:szCs w:val="16"/>
      </w:rPr>
      <w:t xml:space="preserve">NCA Assistant — IQ/OQ/PQ Protocol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6"/>
        <w:szCs w:val="16"/>
      </w:rPr>
      <w:t xml:space="preserve">NCA Assistant — IQ/OQ/PQ Protocol</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6"/>
        <w:szCs w:val="16"/>
      </w:rPr>
      <w:t xml:space="preserve">NCA Assistant — IQ/OQ/PQ Protocol</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6"/>
        <w:szCs w:val="16"/>
      </w:rPr>
      <w:t xml:space="preserve">NCA Assistant — IQ/OQ/PQ Protocol</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6"/>
        <w:szCs w:val="16"/>
      </w:rPr>
      <w:t xml:space="preserve">NCA Assistant — IQ/OQ/PQ Protocol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00"/>
      <w:outlineLvl w:val="0"/>
    </w:pPr>
    <w:rPr>
      <w:rFonts w:ascii="Arial" w:cs="Arial" w:eastAsia="Arial" w:hAnsi="Arial"/>
      <w:b/>
      <w:bCs/>
      <w:color w:val="1B4F72"/>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1B4F72"/>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2026-04-06T19:20:17.235Z</dcterms:created>
  <dcterms:modified xsi:type="dcterms:W3CDTF">2026-04-06T19:20:17.235Z</dcterms:modified>
</cp:coreProperties>
</file>

<file path=docProps/custom.xml><?xml version="1.0" encoding="utf-8"?>
<Properties xmlns="http://schemas.openxmlformats.org/officeDocument/2006/custom-properties" xmlns:vt="http://schemas.openxmlformats.org/officeDocument/2006/docPropsVTypes"/>
</file>