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2C3E50"/>
          <w:sz w:val="48"/>
          <w:szCs w:val="48"/>
        </w:rPr>
        <w:t xml:space="preserve">NCA Assistant</w:t>
      </w:r>
    </w:p>
    <w:p>
      <w:pPr>
        <w:spacing w:after="100"/>
        <w:jc w:val="center"/>
      </w:pPr>
      <w:r>
        <w:rPr>
          <w:rFonts w:ascii="Arial" w:cs="Arial" w:eastAsia="Arial" w:hAnsi="Arial"/>
          <w:color w:val="2C3E50"/>
          <w:sz w:val="36"/>
          <w:szCs w:val="36"/>
        </w:rPr>
        <w:t xml:space="preserve">User Requirement Specification</w:t>
      </w:r>
    </w:p>
    <w:p>
      <w:pPr>
        <w:spacing w:after="400"/>
        <w:jc w:val="center"/>
      </w:pPr>
      <w:r>
        <w:rPr>
          <w:rFonts w:ascii="Arial" w:cs="Arial" w:eastAsia="Arial" w:hAnsi="Arial"/>
          <w:color w:val="7F8C8D"/>
          <w:sz w:val="28"/>
          <w:szCs w:val="28"/>
        </w:rPr>
        <w:t xml:space="preserve">Draft — adapt for local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Document ID</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NCA-URS-001</w:t>
            </w:r>
          </w:p>
        </w:tc>
      </w:tr>
      <w:tr>
        <w:tc>
          <w:tcPr>
            <w:tcW w:type="dxa" w:w="30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Draft</w:t>
            </w:r>
          </w:p>
        </w:tc>
      </w:tr>
      <w:tr>
        <w:tc>
          <w:tcPr>
            <w:tcW w:type="dxa" w:w="30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Author</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Radboud Applied Pharmacometrics</w:t>
            </w:r>
          </w:p>
        </w:tc>
      </w:tr>
      <w:tr>
        <w:tc>
          <w:tcPr>
            <w:tcW w:type="dxa" w:w="30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September 2026</w:t>
            </w:r>
          </w:p>
        </w:tc>
      </w:tr>
      <w:tr>
        <w:tc>
          <w:tcPr>
            <w:tcW w:type="dxa" w:w="30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Classification</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GAMP 5 Category 5</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Purpose</w:t>
      </w:r>
    </w:p>
    <w:p>
      <w:pPr>
        <w:spacing w:after="120"/>
      </w:pPr>
      <w:r>
        <w:rPr>
          <w:rFonts w:ascii="Arial" w:cs="Arial" w:eastAsia="Arial" w:hAnsi="Arial"/>
          <w:sz w:val="22"/>
          <w:szCs w:val="22"/>
        </w:rPr>
        <w:t>This User Requirement Specification defines the functional and quality requirements for NCA Assistant v1.8.0, an open-source R/Shiny application for pharmacokinetic non-compartmental analysis, bioequivalence testing, data visualization, and study planning.</w:t>
      </w:r>
    </w:p>
    <w:p>
      <w:pPr>
        <w:spacing w:after="120"/>
      </w:pPr>
      <w:r>
        <w:rPr>
          <w:rFonts w:ascii="Arial" w:cs="Arial" w:eastAsia="Arial" w:hAnsi="Arial"/>
          <w:sz w:val="22"/>
          <w:szCs w:val="22"/>
        </w:rPr>
        <w:t>This URS covers 95 requirements across 9 categories: General (8), Data Handling (9), NCA (15), Bioequivalence (15), Power (6), Export (8), Usability (5), Visualization (9) and Controlled mode (20). The Controlled mode requirements (URS-GXP) apply only to a controlled installation (section 2); all other requirements apply to both modes.</w:t>
      </w:r>
    </w:p>
    <w:p>
      <w:pPr>
        <w:pStyle w:val="Heading1"/>
      </w:pPr>
      <w:r>
        <w:rPr>
          <w:rFonts w:ascii="Arial" w:cs="Arial" w:eastAsia="Arial" w:hAnsi="Arial"/>
        </w:rPr>
        <w:t xml:space="preserve">2. System Description</w:t>
      </w:r>
    </w:p>
    <w:p>
      <w:pPr>
        <w:spacing w:after="120"/>
      </w:pPr>
      <w:r>
        <w:rPr>
          <w:rFonts w:ascii="Arial" w:cs="Arial" w:eastAsia="Arial" w:hAnsi="Arial"/>
          <w:sz w:val="22"/>
          <w:szCs w:val="22"/>
        </w:rPr>
        <w:t>NCA Assistant v1.8.0 provides six workflow paths accessible from a central hub: (1) Plan a Study, (2) Upload &amp; Check Data (flat files, or CDISC ADNCA datasets through a separate upload option), (3) Visualize Data, (4) Analyze One Subject at a Time, (5) Analyze All Subjects, (6) Bioequivalence Testing. Paths 4, 5 and 6 also report partial AUCs over intervals entered by the user, and path 6 compares them. The data-processing pipeline (R/pipeline.R) is shared by the app, the validation script and the reproduction scripts shipped in every Analysis Record. GAMP 5 Category 5 custom application. Average bioequivalence for every design, plus EMA ABEL and FDA RSABE for replicate designs. The FDA scaled test for narrow therapeutic index drugs is for planning only. It is not affiliated with, endorsed by, or certified by CDISC.</w:t>
      </w:r>
    </w:p>
    <w:p>
      <w:pPr>
        <w:spacing w:after="120"/>
      </w:pPr>
      <w:r>
        <w:rPr>
          <w:rFonts w:ascii="Arial" w:cs="Arial" w:eastAsia="Arial" w:hAnsi="Arial"/>
          <w:sz w:val="22"/>
          <w:szCs w:val="22"/>
        </w:rPr>
        <w:t>Two modes. In open mode (the default, and the public instance) the app keeps nothing between sessions and has no user accounts. Controlled mode is switched on by the environment variable NCA_GXP_DIR on an organisation-run server: Shiny Server, behind nginx with HTTPS, on a network reached through two-factor sign-in. It adds sign-in with personal accounts (shinymanager, encrypted SQLite store users.sqlite), an append-only, hash-chained audit trail (audit.sqlite, through DBI and RSQLite), read-only copies of every Analysis Record and Figure Record (records/), review signatures, a Records page and an Audit trail page. Roles: analyst (runs analyses and creates records), reviewer (also approves or rejects records made by others and signs audit trail reviews) and inspector (read-only access to records, the trail and the user overview). The system owner has no app role and manages accounts and archives with gxp/manage_users.R on the server. If gxp/CONTROLLED exists in the app folder, the app does not start without controlled mode.</w:t>
      </w:r>
    </w:p>
    <w:p>
      <w:pPr>
        <w:spacing w:after="120"/>
      </w:pPr>
      <w:r>
        <w:rPr>
          <w:rFonts w:ascii="Arial" w:cs="Arial" w:eastAsia="Arial" w:hAnsi="Arial"/>
          <w:sz w:val="22"/>
          <w:szCs w:val="22"/>
        </w:rPr>
        <w:t>Outside the app, and the responsibility of the organisation: the server, its operating system and root access, nginx, two-factor authentication, backups, monitoring of the system log, and the procedures listed in the user manual's chapter on regulated use.</w:t>
      </w:r>
    </w:p>
    <w:p>
      <w:pPr>
        <w:spacing w:after="120"/>
      </w:pPr>
      <w:r>
        <w:rPr>
          <w:rFonts w:ascii="Arial" w:cs="Arial" w:eastAsia="Arial" w:hAnsi="Arial"/>
          <w:sz w:val="22"/>
          <w:szCs w:val="22"/>
        </w:rPr>
        <w:t>Intended use: non-compartmental analysis, bioequivalence testing and study planning by pharmacokineticists. Average bioequivalence for every design, plus EMA ABEL and FDA RSABE for replicate designs. The FDA scaled test for narrow therapeutic index drugs is for planning only. The public instance and a standard installation have no audit trail, electronic signature or access control; a controlled installation (above) adds them. The public instance on shinyapps.io is for evaluation and training with synthetic or pseudonymised data and is outside the scope of this URS; regulated use requires a tagged release installed and qualified on the user's own system, and for records under 21 CFR Part 11 or EU GMP Annex 11 a controlled installation. Intended environment of a controlled installation: two-factor authentication is standard for reaching the server, and users work on managed devices whose browsers do not save passwords (EMA/INS/GCP/112288/2023, Annex 4, A4.12 to A4.14). Controlled mode is meant for analyses after unblinding; records and the audit trail show treatment codes and are not for blinded staff. A local installation can run controlled mode for training but is not a qualified setup. Not for dosing decisions for individual patients.</w:t>
      </w:r>
    </w:p>
    <w:p>
      <w:pPr>
        <w:pStyle w:val="Heading1"/>
      </w:pPr>
      <w:r>
        <w:rPr>
          <w:rFonts w:ascii="Arial" w:cs="Arial" w:eastAsia="Arial" w:hAnsi="Arial"/>
        </w:rPr>
        <w:t xml:space="preserve">3. Supplier Assessment</w:t>
      </w:r>
    </w:p>
    <w:p>
      <w:pPr>
        <w:spacing w:after="120"/>
      </w:pPr>
      <w:r>
        <w:rPr>
          <w:rFonts w:ascii="Arial" w:cs="Arial" w:eastAsia="Arial" w:hAnsi="Arial"/>
          <w:sz w:val="22"/>
          <w:szCs w:val="22"/>
        </w:rPr>
        <w:t>Critical R packages: NonCompart (NCA computation, including the terminal-slope selection), PowerTOST (sample size/power), nlme (mixed-effects BE models), ggplot2/plotly (visualization), digest (SHA-256 hashing). Validation only: replicateBE (reference implementation for replicate designs). All CRAN-hosted, peer-reviewed, widely adopted. CDISC parameter codes come from one pinned, dated release of CDISC SDTM Controlled Terminology (2026-03-27), stored in the repository with its source hash. Known limitations of NonCompart 0.8.0 are corrected in the app's pipeline and each has a regression test: no area for a log-down fall to zero (REL-01), no C0 back-extrapolation for an IV bolus with a time-0 sample (REL-05), predicted Clast with chosen half-life points (REL-33) and Tlag with a zero inside the profile (REL-34). Package versions of each release are fixed in validation/renv.lock.</w:t>
      </w:r>
    </w:p>
    <w:p>
      <w:pPr>
        <w:spacing w:after="120"/>
      </w:pPr>
      <w:r>
        <w:rPr>
          <w:rFonts w:ascii="Arial" w:cs="Arial" w:eastAsia="Arial" w:hAnsi="Arial"/>
          <w:sz w:val="22"/>
          <w:szCs w:val="22"/>
        </w:rPr>
        <w:t>Controlled mode adds three CRAN packages, loaded only in controlled mode: shinymanager 1.1.0 (GPL-3; sign-in, encrypted user store with scrypt password hashes, password expiry, lockout, inactivity timeout), and DBI and RSQLite (LGPL-2.1 or later, r-dbi project; database interface and SQLite). Their behaviour was checked in the source before use: shinymanager's forced password change (pwd_mngt$must_change), its password-change screen, which does not ask for the current password and is therefore not used from within a session, the lockout counter, which check_credentials() does not raise, and check_credentials(), which reads the user table once. RSQLite by default turns off synchronous writes; the audit trail sets them to FULL. The audit trail itself is code of this application (R/gxp_audit.R), validated in section GXP; the package regulog was assessed and not used (two sessions writing to one file fail its own verification). Shiny Server and nginx are infrastructure, qualified by the organisation.</w:t>
      </w:r>
    </w:p>
    <w:p>
      <w:pPr>
        <w:pStyle w:val="Heading1"/>
      </w:pPr>
      <w:r>
        <w:rPr>
          <w:rFonts w:ascii="Arial" w:cs="Arial" w:eastAsia="Arial" w:hAnsi="Arial"/>
        </w:rPr>
        <w:t xml:space="preserve">4. Risk Assessment (FMEA per ICH Q9)</w:t>
      </w:r>
    </w:p>
    <w:p>
      <w:pPr>
        <w:pStyle w:val="Heading1"/>
      </w:pPr>
      <w:r>
        <w:rPr>
          <w:rFonts w:ascii="Arial" w:cs="Arial" w:eastAsia="Arial" w:hAnsi="Arial"/>
        </w:rPr>
        <w:t>Each hazard is scored for its residual risk, with the listed controls in place. Severity (S): 1 cosmetic, 3 a wrong value that a reviewer would notice, 5 a wrong conclusion or a plausible-looking wrong value. Occurrence (O): 1 not expected with the controls in place, 5 expected in routine use. Detection (D): 1 the app refuses the data or flags the result, 5 no signal to the user. RPN = S x O x D. A residual RPN of 24 or less is accepted; a higher RPN needs the justification given in the table. Every hazard with S = 5 is verified by at least one CRITICAL automated test. An adopting organisation should review the scores for its own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60"/>
        <w:gridCol w:w="800"/>
        <w:gridCol w:w="800"/>
        <w:gridCol w:w="800"/>
        <w:gridCol w:w="800"/>
        <w:gridCol w:w="1800"/>
      </w:tblGrid>
      <w:tr>
        <w:tc>
          <w:tcPr>
            <w:tcW w:type="dxa" w:w="1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FM ID</w:t>
            </w:r>
          </w:p>
        </w:tc>
        <w:tc>
          <w:tcPr>
            <w:tcW w:type="dxa" w:w="31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Hazard and effect</w:t>
            </w:r>
          </w:p>
        </w:tc>
        <w:tc>
          <w:tcPr>
            <w:tcW w:type="dxa" w:w="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Sev</w:t>
            </w:r>
          </w:p>
        </w:tc>
        <w:tc>
          <w:tcPr>
            <w:tcW w:type="dxa" w:w="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Occ</w:t>
            </w:r>
          </w:p>
        </w:tc>
        <w:tc>
          <w:tcPr>
            <w:tcW w:type="dxa" w:w="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Det</w:t>
            </w:r>
          </w:p>
        </w:tc>
        <w:tc>
          <w:tcPr>
            <w:tcW w:type="dxa" w:w="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RPN</w:t>
            </w:r>
          </w:p>
        </w:tc>
        <w:tc>
          <w:tcPr>
            <w:tcW w:type="dxa" w:w="1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Controls and verifying tests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FM-01</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Wrong column mapped (e.g. time since first dose instead of time after dose, a Visit column as Period): every parameter of the affected profiles is wrong</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Auto-detection shows the chosen column and its alternatives and prefers time after dose; profiles that do not start near zero, clock times and stacked profiles are refused; unmapped Period in a multi-period file is flagged. Tests: DAT-AD-STA-T, IL-T0-01, IL-TIME-01, IL-STACK-01, REL-12, REL-24</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FM-02</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Numbers read at the wrong magnitude (thousands separator in a decimal-comma file, text cells, Excel rows after row 1000, file encoding): concentrations off by a factor of 1000 or lost</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 point is a thousands separator in decimal-comma files and any other point is refused; Excel and CSV are read as text first; Latin-1 fallback for non-UTF-8 files. Tests: IL-DEC-01, IL-DEC-02, REL-07, REL-08, REL-21, REL-54, DSR-01, DSR-08</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FM-03</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Wrong or mixed units (unit chosen in the app contradicts the file, mass and molar mixed): CL and V off by a constant factor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Units stated in the data are pre-selected and a contradicting choice is refused; more than one unit is refused; molar conversion needs a molecular weight; exports carry the units of the run. Tests: IL-UNIT-01, REG-UNIT-01, REG-UNIT-03, REL-22, REL-38, REC-02</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FM-04</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Profiles merged or split (subject IDs restarting in each sequence, two periods in one profile, replicate administrations pooled): wrong NCA and wrong bioequivalence model</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 profile is subject x treatment x period; a subject in two sequences and restarting IDs are errors; stacked profiles refused; two periods in one profile flagged. Tests: REP-PC-01, REP-PC-03, REL-09, REL-10, REL-24, REV-07, DSR-05</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FM-05</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Wrong BLQ handling (rule applied across profiles or out of time order, imputed values used for the half-life, values imputed after the last measurable concentration): biased AUC and half-life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Rules applied per profile in time order; values set by a rule are not used for lambda-z (ICH M13A); Rule 4 leaves values after the last measurable concentration missing; pre-dose BLQ is 0; the rule is recorded. Tests: DAT-BLQ-01, DAT-BLQ-04, REG-BLQ-01, REG-BLQ-02, REL-17, REL-18, REL-58, ADV-02, ADV-03</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FM-06</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AUC calculated wrongly (log-down fall to a zero concentration, IV bolus with a time-0 sample, partial AUC cutoffs): exposure and everything derived from it wrong</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Corrections around known NonCompart limitations; analytical ground truth; an independent trapezoid calculation for every theophylline profile; hand-calculated partial AUCs. Tests: NCA-GT-04, NCA-TR-01, REL-01, REL-03, REL-05, REL-30, PAUC-02, DSR-04</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FM-07</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Unreliable terminal phase (poor fit, points chosen by hand in error): wrong half-life, AUC0-inf, CL and V</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Parameters from lambda-z are left empty below the adjusted R-squared threshold (0.70); the review shows the fit the results use; manual selections are checked (positive slope, at least 2 points) and recorded in the Analysis Record. Tests: NCA-LZ-02, REV3-03, REV3-05, OQ-81, NCA-OV-02, REL-33, REL-42, ADV-02</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FM-08</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Wrong dose for a profile (matched by position, varying dose between periods): wrong CL/F, V/F and dose-normalised values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Doses matched by profile, never by position; an ambiguous dose vector is refused; varying doses give a warning. Tests: REG-DOSE-01, REG-DOSE-02, REG-DOSE-03, REV-01, REL-48, ADV-05, DSR-07</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FM-09</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Steady-state parameters wrong (no dosing interval, AUCtau not 0 to tau, single-dose Vss and MRT reported): wrong exposure and clearance at steady state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Tau is required; AUCtau runs from 0 to tau; CL and V use AUCtau; single-dose Vss and MRT are left empty; a missing pre-dose sample is reported. Tests: REV4-01, REV4-02, REV4-03, REL-35, REL-50, ADV-06</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FM-10</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Wrong Reference treatment: the ratio is inverted and the conclusion can change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Reference is chosen explicitly; the compared treatments are named in the results and the record. Tests: REV2-01, REV2-02, BE-AN-01</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FM-11</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Wrong model for the design (crossover without Period, parallel data under a crossover design, replicate data under a 2x2 model): wrong confidence interval</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design detected at upload is pre-selected and checked against the data; a crossover without Period gets no verdict; the model follows the design registry. Tests: REP-DES-03, REP-DES-04, REP-AN-01, REL-11, REL-44</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FM-12</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pre-specified mixed model fails and another model is used without notice: a post-hoc change of analysis (ICH M13A)</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8</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fitted model is shown per metric; when the pre-specified mixed model fails there is no verdict. Tests: REV-05, BE-MX-01, REL-29</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FM-13</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Wrong acceptance rule (widened limits applied to AUC, verdict from a 95% interval, unrounded limits, point-estimate constraint missing): a false YES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Widened limits apply to Cmax only unless all metrics are chosen; a verdict only for the 90% interval; limits rounded to two decimals; point estimate within 80.00-125.00% for widened limits. Tests: REG-BE-PE-01, REV-04, REL-16, REL-40, BE-NE-01</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FM-14</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 verdict where none is justified (a metric with zero values, a supportive metric, half-life, Tmax, pre-dose above 5% of Cmax, fewer than 12 subjects, low AUC coverage): an unsupported conclusion</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Zero values suppress that metric; supportive metrics, half-life and Tmax get no verdict; ICH M13A checks are listed with the results. Tests: PAUC-12, REV3-14, REG-BE-UT-01, REL-19, DSR-02, DSR-03</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FM-15</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Wrong sample size (wrong CV type for the design, wrong method, CV of another analysis): an under- or overpowered study</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Sample size and power come from PowerTOST with the design and method named; the CV type follows the design; results are cleared when an input changes. Tests: PWR-SS-01, REV2-04, REV2-05, REL-14, REL-23, REL-28, ADV-12</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FM-16</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Stale results (shown after the data or a setting changed, or settings lost when leaving a page): a result reported with settings it was not computed with</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Settings are kept across pages; results are cleared when data, profile or a setting change; a new upload clears the previous analysis. Tests: REV3-01, REV3-06, REL-13, REL-15, REL-46</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FM-17</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An Analysis Record that does not reproduce or has been altered: the record misrepresents the analysis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record ships the pipeline and runs the reproduction at creation; three-way SHA-256 manifest; a changed file or a parameter on one side only is DIFFERENT. Tests: REC-01, REC-05, EXP-CMP-01, EXP-MN-01, REL-26, ADV-10</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FM-18</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installation differs from the validated release (a changed file, other package versions, the hosted instance updated by its provider): unqualified results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Release manifest and package lockfile with IQ checks; app and package versions in every record; the hosted instance is outside the validation scope. Tests: IQ-APP-02, IQ-REL-01, IQ-REL-02, EXP-VR-03, REL-31, ADV-08, ADV-11</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FM-19</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Identifiable or confidential data uploaded to the public instance: data processed by a third party outside the user's control</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32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Data notice on the About and Upload pages; no persistent storage; records in private temporary folders. Residual RPN 32 accepted: the control is procedural, and regulated use requires a local installation (URS-GEN-07). Tests: UI-NS-01, REL-27, ADV-04</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FM-20</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Use outside the intended use (a scaled-bioequivalence verdict expected, individual dosing decisions): conclusions the app does not support</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Intended-use statement; the replicate variability and implied EMA limits are marked for information only, without a scaled verdict. Tests: REP-CV-03, REG-BE-D5-01, REL-27</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FM-21</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Text that contradicts the code (Methods page, help): wrong methods reported in a study report or publication</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18</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Wording checks for the Methods page and help texts against the implementation. Tests: REV3-10, REV4-07, REL-43, REL-53</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FM-22</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Results misread on screen (low contrast, codes instead of words, no keyboard access, page wider than a phone)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8</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Theme colours meet WCAG AA; hub and help work from the keyboard; labels instead of codes; the navbar wraps. Tests: UI-AB-01, REL-32, REL-47, REL-57</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FM-23</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 figure that misrepresents the data (lines drawn per subject across periods, arithmetic mean labelled as geometric, clipped log-scale bars)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8</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Lines per profile; geometric statistics by default and arithmetic ones labelled; values of zero or below counted and reported. Tests: VIZ-02, VIZ-03, REL-25, REL-41, DSR-06</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FM-24</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Unhandled error (malformed file, edge-case profile, invalid input): no result or a partial state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Read errors in plain words; edge cases return results or a message; data quality errors block processing. Tests: NCA-ED-01, NCA-ED-05, UI-BLK-01, UI-ERR-01, REL-45</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FM-25</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ADNCA dataset converted wrongly (wrong time variable, derived records counted twice, records outside the analysis set): wrong input data</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8</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time variable must be chosen; DTYPE records and unsupported structures are refused; ANL01FL applied; the choices are recorded. Tests: CONV-02, CONV-03, CONV-04, EQV-01, ADNCA-02, DSR-09</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FM-26</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Labels or units lost in a non-UTF-8 locale (micro sign, special characters): results shown or exported without the right unit</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8</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Byte-level unit handling and escaped labels, tested in the C locale. Tests: REL-49, EXP-FM-02</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FM-27</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An audit entry cannot be written (disk full, write error, read-only file): an action happens without a record of it</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Fail closed: the entry is written before the action; if it fails the action does not happen and a dialog says so. Tests: GXP-08, GXP-10, GXP-25, MAN-GXP-10</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FM-28</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Someone with file access on the server (root) changes, removes or rebuilds audit entries: a false history</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Hash chain and sequence check; triggers refuse UPDATE and DELETE; anchors outside the server (signature sheets, the filed trail head, backups); controlled directory owned by the service account; the system owner's sudo rule allows only manage_users.R; root only for IT. Tests: GXP-04, GXP-05, GXP-06. Residual risk: tamper-evident, not tamper-proof against root (4.1)</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FM-29</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 new or reset account is taken over with the starting password admin before its owner signs in: work and signatures under another person's name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30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Forced change at first sign-in (admin refused as a new password); accounts created or reset only when the user signs in at once; first sign-in and password change in the trail; the user reports at once if admin does not work. Tests: GXP-16, GXP-19, GXP-37, MAN-GXP-03. RPN above 24: accepted residual risk (4.1)</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FM-30</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Shared passwords, or a signature made for someone else: actions not attributable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Personal accounts; user ID and password at every signature; two-factor sign-in to the network; written policy and training (procedure). Tests: GXP-19, GXP-28, ADV-07, ADV-09</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FM-31</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Server clock wrong or set back: times and order of entries wrong</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UTC from an NTP-synchronised server (IQ); verification warns when an entry is earlier than the one before; Exceptions lists it. Tests: GXP-09, GXP-33</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FM-32</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controlled directory on a network or cloud-synced share: SQLite locking fails and the trail is damaged</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8</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Setup instructions and an IQ check require local disk; any damage is found by chain verification. Tests: GXP-05, IQ check</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FM-33</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Controlled mode switched off on the qualified server: analyses go unrecorded</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gxp/CONTROLLED stops the app without controlled mode; app starts and stops are logged and gaps appear in Exceptions; configuration under IT change control; periodic check (procedure). Tests: GXP-13, GXP-33</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FM-34</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 reviewer approves a record without seeing earlier runs on the same data or changed settings: selective reporting passes review</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Review panel lists earlier runs with the settings that changed and flags more than one run; the approval text names the audit trail; Exceptions query. Tests: GXP-33, GXP-35</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FM-35</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 typing error in data entered by hand (or in a file typed from paper): wrong data analysed</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Typed-in data logged as such and flagged in the review panel; the reviewer checks each value against the source (checklist in the manual). Tests: GXP-24, MAN-GXP-09</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FM-36</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Signed out for inactivity while reading results: work lost, pressure to lengthen the timeout</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Mouse, keyboard and scrolling count as activity; warning two minutes before; records stored when created. Test: MAN-GXP-05</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FM-37</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An archive cannot be verified or brought back to use later: records unusable after the server is retired</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8</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archive holds the trail, records, running app files, renv.lock, validation files, restore steps and a SHA-256 manifest, read-only; verification of an archived copy without the app; restore test in the IQ. Tests: GXP-17, MAN-GXP-01</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FM-38</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 stored record changes after it was signed: the signature appears to cover a different record</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stored copy's SHA-256 is checked wherever a signature is shown (INVALID in red), in Exceptions and before signing; Verify a record file checks any copy. Tests: GXP-31, GXP-32</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FM-39</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Attempts to guess a password or misuse a signature are not noticed in time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Lockout after 5 failures; three failed signatures or password changes end the session; alerts to the system log for the security unit; Exceptions. Tests: GXP-12, GXP-23, GXP-29</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FM-40</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An analyst or inspector acts beyond the role (signs, reads the trail) by manipulating the page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Every capability is checked on the server, not only by hiding buttons. Tests: GXP-28, GXP-38, MAN-GXP-12</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FM-41</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Markup or script in the data file (for example in a column name) is copied into a record's HTML summary and runs when a recipient opens it outside the app: a record becomes a carrier of code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Text from the data file is escaped in the Analysis Record and Figure Record summaries; in controlled mode the Records page shows the summary in a sandboxed frame. Test: ADV-01</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FM-42</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Data are left out because the result looked unfavourable (a results-driven exclusion), which biases the bioequivalence conclusion</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 reason from a fixed list is required, with a detail where the list asks for one; an exclusion made after bioequivalence results is marked; the comparison is repeated without the exclusions; the ICH M13A checks use the data before exclusions. Tests: EXC-07, EXC-08</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FM-43</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An exclusion is undocumented or lost (after new data or a changed column mapping), so a result cannot be traced or reproduced</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register goes into the downloads and the Analysis Record and is reproduced from it; an exclusion that no longer matches is reported; loading new data asks first and offers a download; in controlled mode each change is audited first. Tests: EXC-03, EXC-05, EXC-09, EXC-10, ARV-08, ARV-09</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FM-44</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Leaving out a sample changes results in an unexpected way (BLQ rule, pre-dose sample, partial AUC across the excluded time)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An excluded sample is treated as never collected, before the BLQ rule; the dialog names a Cmax, Tlast or pre-dose sample and asks to confirm a pre-dose one. Tests: EXC-01, EXC-02, EXC-06</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FM-45</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 half-life flag misleads: a poor fit goes unflagged, or a flag is taken as a reason to leave data out</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Rule limits are tested at their boundaries; flags never change a value or exclude data; the rules in force are recorded. Tests: HLF-01 to HLF-06, ARV-06</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FM-46</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 Dose column in another unit than the analysis assumes (a dose per kg read as mg) gives CL/F, Vz/F and dose-normalised values that are wrong by that factor yet look plausible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Dose panel states the unit it assumes and shows no confirmation; it warns when the file has a body-weight column and every dose is below 20; a dose per kg is converted with a mapped weight column. Tests: ARV-01 to ARV-03</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FM-47</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At steady state with actual sampling times, Cτ is lost (trough not at exactly τ) or AUCτ and Cavg rest partly on extrapolation without the reader knowing</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Cτ is the sample nearest to τ within a trough window, with its time and a note when there is none; the extrapolated share of AUCτ is a column, a note and a flag. Tests: ARV-05, ARV-06</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FM-48</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In a 2×2 crossover the mixed model (Method B) uses a subject's single remaining period, so the ratio and interval differ from the complete-case analysis the guideline asks for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Subjects without both treatments leave both models before fitting and are counted in the table. Tests: ARV-04, REV-06</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FM-49</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 variable measured after dosing, or a covariate chosen after the results were seen, is used for the adjustment: the treatment effect is biased or the interval is picked</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40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choice is the declaration: the selector, the help and the manual say baseline only and before the results; the covariates, types and transforms are in the settings, the Excel report and the audit event; the balance card says covariates are not to be chosen after seeing it. Residual risk accepted: the app cannot know when a value was measured or when the choice was made. Tests: COV-12, COV-13, DOC-04, MAN-54, MAN-56</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FM-50</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 subject is dropped, or a value imputed, for a missing covariate without the analyst knowing</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run stops and names the subjects; nothing is dropped or imputed. Tests: COV-06, COV-07, MAN-55</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FM-51</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 categorical variable coded as numbers is used as a number, or text with a unit is read as a number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line under the selector shows how each column was read before the run; text with a unit and a decimal comma are refused; Advanced options treat numeric codes as categories. Tests: COV-06, COV-04, MAN-55</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FM-52</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scaled approach is chosen, or switched, after the variability was seen</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40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approach is an explicit selector that defaults to Standard; the app never switches by itself; the approach and its constants are in the record and the audit event. Residual risk accepted: the protocol, not the app, fixes the choice in advance. Tests: RSA-08, RSA-11, RSA-12, MAN-57</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FM-53</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Two within-subject SDs are confused: the EMA model estimate and the FDA contrast estimate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table, the Methods page and the manual name the estimator and define both apart. Tests: DOC-02, DOC-03</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FM-54</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 metric takes the wrong route at the switch (sWR 0.294) or at the point-estimate limits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Constants come from one place in the code; synthetic studies with exact sWR just below and above 0.294 and point estimates at four significant figures; the Route column shows the route. Tests: RSA-04, RSA-07, MAN-58</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FM-55</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An unsupported design is used with a scaled approach (2×2×3 with RSABE, 2×2×2 or parallel with ABEL)</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selector offers only supported approaches and the assessment refuses the rest in plain words. Tests: RSA-06, ABL-03, MAN-57</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FM-56</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Fewer than 24 subjects, or subjects lacking a period, leave the scaled statistic unnoticed</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18</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 warning below 24, a note on subjects left out of the contrasts, and the subjects used in the downloads. Tests: RSA-05, RSA-10, MAN-60</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FM-57</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type I error of the FDA method is inflated near the switch</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 property of the FDA method, stated in the Methods page and the manual; planner and assessment use the same criterion. Residual risk accepted. Tests: RSA-03, DOC-02</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FM-58</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 setting left over from another mode or an earlier study changes the analysis unseen: the point-estimate box, advanced covariate options, an approach from another study, or an excluded profile that still feeds the limits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10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ABEL forces the point-estimate condition; advanced options clear when unticked; a stale approach is ignored and given no warning; excluded profiles leave CVwR; a scaled result is withheld at other confidence levels. Tests: RSA-13, RSA-14, ABL-04, MAN-64</w:t>
            </w:r>
          </w:p>
        </w:tc>
      </w:tr>
    </w:tbl>
    <w:p>
      <w:pPr>
        <w:pStyle w:val="Heading2"/>
      </w:pPr>
      <w:r>
        <w:rPr>
          <w:rFonts w:ascii="Arial" w:cs="Arial" w:eastAsia="Arial" w:hAnsi="Arial"/>
        </w:rPr>
        <w:t>4.1 Controlled mode: accepted residual risks and justifications</w:t>
      </w:r>
    </w:p>
    <w:p>
      <w:pPr>
        <w:spacing w:after="120"/>
      </w:pPr>
      <w:r>
        <w:rPr>
          <w:rFonts w:ascii="Arial" w:cs="Arial" w:eastAsia="Arial" w:hAnsi="Arial"/>
          <w:sz w:val="22"/>
          <w:szCs w:val="22"/>
        </w:rPr>
        <w:t>Accepted by the product owner. FM-29, the shared starting password admin: until the owner's first sign-in the account can be taken over (21 CFR 11.200(a)(3) and EMA A4.16 are not fully met in that window). The product owner chose to keep admin; adopting organisations are told in the manual and decide for themselves. The design handoff for controlled mode is not under document control; this URS, the IQ/OQ/PQ protocol and the user manual, under version control in the repository, are the controlled documents.</w:t>
      </w:r>
    </w:p>
    <w:p>
      <w:pPr>
        <w:spacing w:after="120"/>
      </w:pPr>
      <w:r>
        <w:rPr>
          <w:rFonts w:ascii="Arial" w:cs="Arial" w:eastAsia="Arial" w:hAnsi="Arial"/>
          <w:sz w:val="22"/>
          <w:szCs w:val="22"/>
        </w:rPr>
        <w:t>Assumption. Two-factor authentication and managed browsers are part of the intended environment (section 2) and are checked in the IQ; the app does not implement two-factor authentication itself.</w:t>
      </w:r>
    </w:p>
    <w:p>
      <w:pPr>
        <w:spacing w:after="120"/>
      </w:pPr>
      <w:r>
        <w:rPr>
          <w:rFonts w:ascii="Arial" w:cs="Arial" w:eastAsia="Arial" w:hAnsi="Arial"/>
          <w:sz w:val="22"/>
          <w:szCs w:val="22"/>
        </w:rPr>
        <w:t>Justifications. Back-end changes are detected (hash chain, anchors) rather than prevented by encryption; the database administrator (root, IT) is not the application administrator (system owner); preventing changes would need a database server with add-only rights (EMA A4.19). Controlled mode can only be switched off by someone with root access; that is a configuration change under IT change control, and the gap between app stop and start is visible in the trail (EMA 6.2.1). Control of data (EMA 6.6) does not apply: the app analyses data received from the laboratory, whose originals stay there. Device and token checks (21 CFR 11.10(h), 11.300(e)) do not apply: no devices or tokens are used by the app. Mouse, keyboard and scrolling count as activity for the inactivity sign-out, which users cannot change or switch off (EMA A4.17).</w:t>
      </w:r>
    </w:p>
    <w:p>
      <w:r>
        <w:br w:type="page"/>
      </w:r>
    </w:p>
    <w:p>
      <w:pPr>
        <w:pStyle w:val="Heading1"/>
      </w:pPr>
      <w:r>
        <w:rPr>
          <w:rFonts w:ascii="Arial" w:cs="Arial" w:eastAsia="Arial" w:hAnsi="Arial"/>
        </w:rPr>
        <w:t xml:space="preserve">5. Requirements</w:t>
      </w:r>
    </w:p>
    <w:p>
      <w:pPr>
        <w:pStyle w:val="Heading2"/>
      </w:pPr>
      <w:r>
        <w:rPr>
          <w:rFonts w:ascii="Arial" w:cs="Arial" w:eastAsia="Arial" w:hAnsi="Arial"/>
        </w:rPr>
        <w:t xml:space="preserve">5.1 General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960"/>
        <w:gridCol w:w="800"/>
        <w:gridCol w:w="800"/>
      </w:tblGrid>
      <w:tr>
        <w:tc>
          <w:tcPr>
            <w:tcW w:type="dxa" w:w="1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36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9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Acceptance Criterion</w:t>
            </w:r>
          </w:p>
        </w:tc>
        <w:tc>
          <w:tcPr>
            <w:tcW w:type="dxa" w:w="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FMEA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URS-GEN-01</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system shall be accessible via a standard web browser without local installation beyond R and required packages.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App launches via shiny::runApp() and renders in Chrome/Firefox/Edge; the fonts are served by the app, so the page loads nothing from other hosts.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Low</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FM-18</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URS-GEN-03</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A statistical methods page shall document all formulas, algorithms, and references used, as implemented, including partial AUCs and how they are calculated, interpolated and compared.</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Methods page accessible from navigation; its statements on slope selection, R² threshold, acceptance limits, rounding and simulations match the code.</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Low</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FM-21</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URS-GEN-04</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In open mode, the system shall not persistently store user data between sessions.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No database or persistent storage beyond the R session outside the controlled-mode code (R/gxp_*.R); a record's folder in the temporary directory is removed also when creating the record fails.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Low</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FM-19</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URS-GEN-05</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The system shall display the current application version.</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APP_VERSION displayed in UI and included in exports.</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Low</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FM-18</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URS-GEN-06</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Results, downloads and Analysis Records shall list the official CDISC PK parameter code (PPTESTCD/PPTEST) for each parameter from one pinned, dated release of CDISC SDTM Controlled Terminology, and state the release. Parameters without a code in that release shall be marked as such, not given an invented code.</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Codes taken from release 2026-03-27 (codelists C85839/C85493); release date and source hash stated; mapping depends on route and steady state; results are not described as SDTM PP datasets. Partial AUC columns map to AUCINT, with the interval start and end named for PPSTINT/PPENINT.</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Low</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FM-25</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URS-GEN-07</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system shall state its intended use and where uploaded data are processed.</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About page gives the intended use (average bioequivalence for every design, plus EMA ABEL and FDA RSABE for replicate designs; the FDA scaled test for narrow therapeutic index drugs for planning only; no audit trail, public instance for evaluation and training, not for individual dosing) and the data notice, which asks for synthetic, example or anonymised data on the public instance; the upload page repeats the data notice.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Medium</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FM-19, FM-20</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URS-GEN-08</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An installation shall be verifiable against the validated release.</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Every file the app runs on matches the SHA-256 in validation/release_manifest.csv for the same app version; installed package versions match validation/renv.lock, a difference needing a risk assessment, and the differing packages are listed; the validation script installs no packages; the pipeline fingerprint is shown on the About page.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High</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FM-18</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URS-GEN-09</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 result shall belong to the data and settings it was computed with.</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Settings stay when the user leaves and returns to a page; a change of data, profile or any setting that affects the result clears the result; a new upload clears the previous analysis in every path.</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High</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FM-16</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5.2 Data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960"/>
        <w:gridCol w:w="800"/>
        <w:gridCol w:w="800"/>
      </w:tblGrid>
      <w:tr>
        <w:tc>
          <w:tcPr>
            <w:tcW w:type="dxa" w:w="1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36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9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Acceptance Criterion</w:t>
            </w:r>
          </w:p>
        </w:tc>
        <w:tc>
          <w:tcPr>
            <w:tcW w:type="dxa" w:w="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FMEA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URS-DAT-01</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system shall accept CSV and Excel (.xlsx/.xls) flat-file uploads (comma or semicolon separator, point or comma decimal mark) and, through a separate upload option, CDISC ADNCA-shaped datasets.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Flat files load without error and decimal-comma numbers stored as text are read; an ADNCA dataset is converted only with an explicit time variable (NRRLT, ARRLT or MRRLT; AFRLT refused), ANL01FL applied, derived records (DTYPE) refused, one analyte and matrix, and the choices recorded; the standalone converter uses the same code; in a decimal-comma file a point value that cannot be a thousands separator (0.250, 0.25) is refused; a UTF-8 byte-order mark is not part of the first column name; an ADNCA dataset without APERIOD converts.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FM-02, FM-25</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URS-DAT-02</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The system shall auto-detect Subject, Time, and Concentration columns from common naming conventions.</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7 naming conventions correctly detected for all 3 required columns.</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High</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FM-01</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URS-DAT-03</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system shall perform more than 30 data quality checks with severity levels (ERROR/WARNING/INFO/OK), including interlocks that refuse data it cannot analyse safely.</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run_data_quality_check returns structured findings; ERRORs block processing; CDISC-shaped flat files, mixed units, dates or clock times as time, profiles not starting near time zero, stacked profiles, subject IDs that restart per sequence, a subject in two sequences, a decimal point in a decimal-comma file and a negative concentration without an LLOQ are refused; a second dose inside a profile and an unmapped Period give a warning; an empty LLOQ is reported, not a crash; negative times, except one pre-dose sample per profile no earlier than 10% of the profile's duration before the dose (analysed at 0, the uploaded time kept), and an unmapped Analyte, PARAMCD or Matrix column that changes within a subject are ERRORs.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FM-01, FM-02, FM-04</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URS-DAT-04</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The system shall implement 6 BLQ handling rules, applied per profile (subject x treatment x period) in time order. Text '&lt;x', BLQ, BQL, BLOQ, ND and NQ shall be handled as BLQ when an LLOQ is set; NS, N/A and missing shall stay missing. Values set by a rule shall not be used for lambda-z.</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All 6 rules produce the specified values per profile regardless of file order; under Rule 4 BLQ before or between measurable values is LLOQ/2 and after the last measurable value missing, and a pre-dose BLQ is 0 under Rules 4 and 6; no rule-set value enters the terminal fit or ends the lag time; under Rule 6 a profile without any quantifiable value stays 0; '&lt;x' entries with different limits give no suggested LLOQ, and the limits are listed with a warning.</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High</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FM-05</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URS-DAT-05</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system shall block analysis when ERROR-severity data quality issues are present.</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Processing halts with notification when qc$pass == FALSE.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FM-01, FM-04</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URS-DAT-06</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The system shall handle file read errors gracefully with user notification.</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Malformed files produce error notification, not R crash.</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Medium</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FM-02, FM-24</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URS-DAT-07</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system shall auto-detect study design (single-arm, parallel, crossover) from data structure.</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detect_study_design correctly identifies all design types.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FM-04, FM-11</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URS-DAT-08</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Units stated in the data shall be used and checked.</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Units found in the file are pre-selected; a selection that contradicts them is refused; exported results carry the units of the run; a half-life is labelled in the time unit of the data.</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High</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FM-03, FM-26</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URS-DAT-09</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system shall let the user leave out a sample or a whole profile only with a documented reason, and keep every exclusion traceable and reversible.</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 reason from a fixed list is required, with a detail for Other, protocol, dosing and adverse-event reasons; an excluded sample gives the result of deleting it from the file under every BLQ rule; exclusions are matched by profile and time, and one that no longer matches the data is reported, never dropped; a profile exclusion keeps its NCA result and leaves the profile out of summaries, mean curves and bioequivalence; exclusions can be restored and nothing is deleted; the register is in the downloads and the Analysis Record and is reproduced from it; in controlled mode each change is written to the audit trail first; the register can be downloaded and loaded again for the same data, keeping who made each exclusion and when, and a loaded or new exclusion is marked as made after bioequivalence results when results for these data were already shown (in controlled mode also in an earlier session); the page warns before it is closed with changes not downloaded; the ICH M13A checks use the data before exclusions.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High</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FM-42, FM-43, FM-44</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5.3 NCA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960"/>
        <w:gridCol w:w="800"/>
        <w:gridCol w:w="800"/>
      </w:tblGrid>
      <w:tr>
        <w:tc>
          <w:tcPr>
            <w:tcW w:type="dxa" w:w="1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36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9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Acceptance Criterion</w:t>
            </w:r>
          </w:p>
        </w:tc>
        <w:tc>
          <w:tcPr>
            <w:tcW w:type="dxa" w:w="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FMEA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URS-NCA-01</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system shall compute standard NCA parameters (Cmax, Tmax, AUClast, AUCinf, t½, λz, CL, Vz) using NonCompart.</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IV bolus ground truth (C0 100, k 0.1 per h, dose 500): Cmax within 0.1%, lambda-z within 1%, half-life within 0.05 h, AUC0-inf within 0.5%, CL and Vz within 2%. Theophylline AUClast and Cmax equal an independent trapezoid calculation (relative difference below 1e-6) in all 12 subjects.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FM-06</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URS-NCA-02</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The system shall support 3 administration routes: extravascular, IV bolus, IV infusion.</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Route selection determines parameter names (CL vs CL/F); for an IV bolus, samples at or before time 0 are set aside and C0 is back-extrapolated, so a time-0 row does not change the result.</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High</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FM-03, FM-06</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URS-NCA-03</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system shall support 2 trapezoidal methods: linear and linear-up/log-down.</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Both methods equal hand-calculated trapezoids (relative difference below 1e-6); with linear-up/log-down a fall to a zero concentration is integrated linearly (AUClast 113.574 in the REL-01 case).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FM-06</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URS-NCA-04</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The system shall estimate λz with NonCompart's best-fit adjusted R² selection. When the selected automatic fit is below the configurable threshold (default 0.70), λz and all parameters derived from it (t½, AUCinf, %extrapolated, AUMCinf, MRT, CL, Vz) shall not be reported for that profile, with a note. The half-life review shall show the same fit as the results.</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λz matches analytical value; fits below the threshold give missing λz-dependent parameters (manual selections exempt; CL kept at steady state); review panel half-life and points equal NonCompart's.</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Critical</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FM-05, FM-07</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URS-NCA-05</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system shall provide single-subject NCA with interactive concentration-time plot. A result shall belong to the profile it was computed for.</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sNCA produces valid results; plot is interactive; the result is cleared when the profile, data source or data change.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FM-16</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URS-NCA-06</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The system shall perform batch NCA across all profiles (subject × treatment × period) with summary statistics.</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tblNCA returns one row per profile; replicate administrations are separate profiles; summary statistics are given per treatment on screen, in the Excel download and in the Analysis Record; a profile with one measurable concentration gets Cmax, Tmax and AUClast.</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High</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FM-04</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URS-NCA-07</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system shall support steady-state NCA with a user-entered dosing interval (τ).</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AUCτ is the AUC from 0 to τ (extrapolated when the last sample precedes τ); Cavg, Cmin, Cτ (observed at τ, empty without a sample there), fluctuation and swing are reported in all paths, with Cmax and Cmin taken from 0 to τ and a note when the highest concentration lies after τ; parameters extrapolated to infinity and single-dose Vss and MRT are left empty; CL/F and Vz/F use AUCτ; Cτ is the observed sample nearest to τ within a trough window (default ±10% of τ, at most 1 time unit), with its time, never interpolated, and a note when there is none; the share of AUCτ extrapolated past the last sample is reported with a note; analysis refuses to run without τ.</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FM-09, FM-47</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URS-NCA-08</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The system shall compute dose-normalized parameters, each profile divided by its own dose.</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CMAX_DN = CMAX/dose of that profile; all expected DN columns created; at steady state AUCtau, Cavg, Cmin and Ctau are dose-normalised too.</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Medium</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FM-08</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URS-NCA-09</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system shall support dosing from a data column, per profile, so that a subject may receive different doses in different periods.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Different doses per subject and per period produce the corresponding CL values; doses matched by profile, never by position; a profile without a dose stops the analysis and the subject is named; a Dose column per kg is multiplied by a mapped body-weight column; the Dose panel states the unit it assumes, and warns when the doses look per kg.</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FM-08, FM-46</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URS-NCA-10</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The system shall handle edge cases without crashing.</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No R crash on any edge case input.</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High</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FM-24</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URS-NCA-11</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system shall parse manually entered time/concentration data from text input.</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Times and concentrations typed one per line (LF or CRLF line ends, blank lines ignored) are read in order; unequal counts, non-numeric entries and fewer than 3 points are refused with a message.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FM-24</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URS-NCA-12</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The system shall allow manual selection of terminal phase data points for λz estimation with validation guards (minimum 2 points, positive slope) and user notification. All dependent parameters shall be recomputed by NonCompart from the selected points.</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Recalculated λz matches manual regression; CL/V use NonCompart's unit conversion; negative slope rejected; 2-point warning displayed; selections kept when the analysis is run again; values set by a BLQ rule are not offered and never fitted.</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High</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FM-07</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URS-NCA-13</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The system shall calculate partial AUCs over intervals entered by the user, with an end at a time or at the last measurable concentration (t), using the trapezoidal method of the analysis. A partial AUC that would need data after the last measurable concentration shall not be reported. Optionally the highest observed concentration within an interval and its time shall be reported.</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Values equal hand-calculated trapezoids for both trapezoidal methods; an interval ending at t equals AUC0-t minus the AUC from 0 to the start, per profile; nothing is reported past the last measurable concentration, whatever the lambda-z fit; batch, single-profile and bioequivalence paths agree.</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Critical</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FM-06</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URS-NCA-14</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At steady state the system shall refuse partial AUC intervals that do not lie within 0 to the dosing interval (tau).</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An interval ending after tau, or at the last measurable concentration, is refused with a message and no analysis is produced; a 0-tau interval equals AUCtau when tau lies within the sampled profile.</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Medium</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FM-09</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URS-NCA-15</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The system shall flag half-life fits that break quality rules the user can edit, without changing any value.</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By default a fit is flagged when its points span less than 2 half-lives, when AUC to infinity is more than 20% extrapolated (not at steady state) or, after an IV bolus, more than 20% back-extrapolated; at steady state the extrapolation rule applies to the share of AUCτ extrapolated; the limits themselves pass; a profile without flags says none, no half-life or rules off; rules can be switched off or changed, and are recorded and reproduced; fits on points chosen by hand are flagged too; flags are counted in summaries and bioequivalence and exclude nothing.</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Medium</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FM-45</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5.4 BE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960"/>
        <w:gridCol w:w="800"/>
        <w:gridCol w:w="800"/>
      </w:tblGrid>
      <w:tr>
        <w:tc>
          <w:tcPr>
            <w:tcW w:type="dxa" w:w="1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36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9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Acceptance Criterion</w:t>
            </w:r>
          </w:p>
        </w:tc>
        <w:tc>
          <w:tcPr>
            <w:tcW w:type="dxa" w:w="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FMEA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URS-BE-01</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system shall perform ANOVA-based average bioequivalence analysis on log-transformed PK parameters, with Sequence, Subject, Period and Treatment as factors (EMA Method A), and the Reference treatment chosen by the user.</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Correct model per design; MSE &gt; 0; ratio is Test/Reference for the chosen Reference whatever the treatment names; the compared treatments are shown in the results; in a 2×2 crossover and the paired comparison, subjects without both treatments leave both models and are counted. In parallel groups the pooled-variance 90% CI and point estimate equal the published reference values (Fuglsang et al. 2015, 11 datasets),; the Welch interval and its degrees of freedom are shown beside them as supplementary information, and the verdict stays with the pooled interval.</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FM-10, FM-48</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URS-BE-02</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The system shall support the designs of the shared design registry: 2×2×2 crossover, 2×2×3 and 2×2×4 full replicate, 2×3×3 partial replicate, parallel groups, and paired comparison (single sequence; no verdict).</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Each design produces valid results; replicate administrations enter the model once each; results agree with replicateBE method A on its 30 reference data sets; paired df = N−1; a single treatment order is analysed as paired.</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High</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FM-04, FM-11</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URS-BE-03</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system shall compute 90% confidence intervals for the geometric mean ratio.</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90% CI limits equal exp(estimate +/- t x SE) from lm() within 1e-8 on the percent scale (df = 3n - 4 for a 2x2x3 design), and agree with replicateBE method A within 1e-8 on its 30 reference data sets.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FM-13</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URS-BE-04</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The system shall determine the BE conclusion (YES/NO) from the confidence interval, rounded to two decimals, against the acceptance limits. With limits wider than 80–125% the point estimate shall also lie within 80.00–125.00% unless the user switches this off. Half-life shall be reported as a ratio with its confidence interval without a verdict; untransformed parameters, Tmax and paired comparisons shall receive no verdict.</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BE=YES when the rounded CI is within the limits (and the point estimate, when required); widened limits apply to Cmax only unless all metrics are chosen; a verdict only for the 90% CI; difference scale and paired comparisons report 'no verdict'.</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Critical</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FM-13, FM-14</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URS-BE-05</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system shall support both fixed-effects and mixed-effects (nlme) models, and report which model was fitted.</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Method B point estimate and CI agree with replicateBE method.B (option 2) within 1e-6 on its 30 reference data sets; a failed mixed fit is reported in the Model column and gives no verdict when the mixed model was pre-specified.</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FM-12</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URS-BE-06</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The system shall generate a forest plot of BE results.</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Forest plot displays point estimates and CI bars.</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Low</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FM-23</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URS-BE-07</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system shall allow configurable CI level and acceptance limits.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Default 90% CI and 80.00-125.00% limits; the user can change both; column labels follow the chosen level; any level other than 90% gives the interval without a verdict.</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Low</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FM-13</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URS-BE-08</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The system shall provide individual concentration-time profiles per subject in the BE module, with treatment overlay and log-scale option.</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Per-subject faceted plot renders for crossover data with treatment colour coding.</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Low</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FM-23</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URS-BE-09</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For replicate designs the system shall report the within-subject variability of the Reference (and of the Test where replicated) and the EMA expanded limits it would imply, for information. A scaled verdict is given only when the analyst chooses ABEL or RSABE (URS-BE-14, URS-BE-15).</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CVwR and CVwT from the period-adjusted model on subjects with the treatment at least twice; ABEL limits match PowerTOST scABEL; values agree with replicateBE method A.</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Low</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FM-20</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URS-BE-10</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The system shall compare partial AUCs, and the maximum concentration within an interval, in the bioequivalence analysis. A verdict shall be given only for intervals marked pivotal, and no estimate and no verdict when any profile in the comparison has a value of zero.</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The confidence interval equals lm() on the log values and agrees with replicateBE for a replicate design; supportive metrics show ratio and CI without a verdict; a zero suppresses that metric only, which keeps its row with the counts of zero and missing profiles per treatment; a partial AUC that is missing because the interval passes a profile's last measurable concentration gives no estimate and no verdict.</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Critical</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FM-14</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URS-BE-11</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The bioequivalence analysis shall follow ICH M13A where it applies to average bioequivalence.</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Cmax and AUC0-t are compared by default; a pre-dose value above 5% of Cmax, fewer than 12 evaluable subjects and AUC0-t below 80% of AUC0-inf are listed; no verdict for a crossover without a mapped Period, for a CI level other than 90%, or when the pre-specified mixed model fails; widened limits apply to Cmax only by default; profiles without an NCA result are counted as missing and named, periods with AUC0-t below 5% of the geometric mean are flagged, and a verdict that includes a period M13A excludes is said not to be the M13A primary analysis; widened limits can apply to Cmax only, to Cmax and the partial AUCs, or to all metrics.</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Critical</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FM-11, FM-12, FM-13, FM-14</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URS-BE-12</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When data are excluded, the system shall repeat the bioequivalence analysis without the exclusions as a sensitivity analysis.</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The comparison without exclusions is shown next to the primary result, a note says when the ICH M13A checks would differ with the exclusions, and both are in the downloads and the Analysis Record.</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High</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FM-42</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URS-BE-13</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For parallel-group studies the system shall let the analyst adjust the treatment comparison for baseline covariates chosen before the run, with the adjusted interval as the primary result and the unadjusted pooled interval beside it, and shall stop rather than drop or impute subjects.</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Model ln(PK) = Treatment + covariates (main effects, ordinary least squares, pooled variance). Adjusted interval, point estimate, df and MSE equal Python statsmodels and matrix algebra to 7 significant figures; invariant to centering, rescaling, row order and factor-level order; without covariates the output is unchanged (COV-00). The run stops, naming the problem, for a missing value, text with a unit, a decimal comma, two values for one subject, a constant, aliased or treatment-identical covariate, more than 5 covariates, fewer than 12 subjects per group and fewer than 10 residual df. Not offered in crossover designs. Covariates, types and transforms are in the settings, the Excel sheets BE_Covariates and Covariate_Balance and the audit event.</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Critical</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FM-49, FM-50, FM-51, FM-58</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URS-BE-14</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For the 2×3×3 and 2×2×4 designs the system shall, when the analyst chooses FDA RSABE, assess each log-transformed metric as in Appendix G of the FDA guidance (May 2026): the scaled route when sWR is 0.294 or higher, otherwise the ordinary test with the chosen model; refuse the 2×2×3 design; report the subjects used; and record the approach and its constants.</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Point estimate, limits, sWR, df, x, boundx, y, boundy and criterion bound equal two independent implementations (Python and R) to 9 significant figures on 13 replicateBE data sets. The pass rate equals PowerTOST power.RSABE within Monte Carlo error. The switch at 0.294 and the point-estimate limits at four significant figures are exact on synthetic data. The number of subjects used is reported; a warning appears below 24 subjects; at a confidence level other than 90% there is no scaled interval; a supportive or refused metric stays without a verdict; approach and constants are in the record and the audit event.</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Critical</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FM-52, FM-53, FM-54, FM-55, FM-56, FM-57</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URS-BE-15</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When the analyst chooses EMA ABEL for a replicate design, the system shall widen the limits for Cmax only from CVwR of the run (EMA 2010, section 4.1.10), cap them at CVwR 50%, require the point estimate within 80.00–125.00%, and judge every other metric against 80.00–125.00%.</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Verdict, limits and sWR equal replicateBE method.A on its 30 reference data sets; 69.84–143.19% at the cap; the 2×2×3, 2×3×3 and 2×2×4 designs accepted, 2×2×2 and parallel groups refused; the point-estimate condition cannot be switched off; excluded profiles do not enter CVwR; the approach is recorded.</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Critical</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FM-52, FM-53, FM-54, FM-55, FM-58</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5.5 Power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960"/>
        <w:gridCol w:w="800"/>
        <w:gridCol w:w="800"/>
      </w:tblGrid>
      <w:tr>
        <w:tc>
          <w:tcPr>
            <w:tcW w:type="dxa" w:w="1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36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9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Acceptance Criterion</w:t>
            </w:r>
          </w:p>
        </w:tc>
        <w:tc>
          <w:tcPr>
            <w:tcW w:type="dxa" w:w="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FMEA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URS-PWR-01</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system shall compute sample sizes using PowerTOST for average bioequivalence (TOST), EMA ABEL (scABEL), FDA RSABE and FDA NTID. Scaled methods shall use the within-subject CVs of both Test and Reference.</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Sample size and power equal direct PowerTOST calls with the same inputs; scaled methods pass c(CVwT, CVwR); the help text states that a pivotal partial AUC is planned with its own within-subject CV; the simulation-based methods fix the random seed, so the same inputs give the same result.</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FM-15</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URS-PWR-02</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The system shall compute power at a given sample size.</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power.TOST returns probability; power increases with N.</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Medium</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FM-15</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URS-PWR-03</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system shall support 5 study designs for sample size calculation, from the same design registry as the bioequivalence analysis.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All 5 designs return valid N; planner and analysis offer the same designs under the same names. The default expected ratio follows the method (95%, 90% for ABEL/RSABE, 97.5% for NTID); parallel designs ask for the total CV.</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FM-15</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URS-PWR-04</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The system shall display power curves showing power vs. sample size.</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Power curve rendered with target power line.</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Low</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FM-15</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URS-PWR-05</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system shall offer the within-subject CV estimated by the bioequivalence analysis of the current data as input for power calculations.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CV = 100·√(exp(MSE) − 1) from the log-scale BE model; not offered from between-subject spread; cleared when new data are processed.</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FM-15</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URS-PWR-06</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The system shall validate power/sample size inputs.</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CV=0 causes caught error; extreme CV still computes.</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Medium</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FM-15, FM-24</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5.6 Export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960"/>
        <w:gridCol w:w="800"/>
        <w:gridCol w:w="800"/>
      </w:tblGrid>
      <w:tr>
        <w:tc>
          <w:tcPr>
            <w:tcW w:type="dxa" w:w="1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36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9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Acceptance Criterion</w:t>
            </w:r>
          </w:p>
        </w:tc>
        <w:tc>
          <w:tcPr>
            <w:tcW w:type="dxa" w:w="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FMEA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URS-EXP-01</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system shall generate a Complete Analysis Record as a ZIP file.</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Available from One Subject, All Subjects and Bioequivalence, and as a Figure Record from Visualize Data. ZIP contains results.xlsx, app_results_reference.csv, settings JSON, the shipped pipeline (nca_pipeline.R), repro script, reproduction check, three-way integrity manifest, summary, and a copy of the source data. The batch and bioequivalence records hold the data quality findings and the analysis notes (Checks), and state when they hold a rewritten copy of the data. Text taken from the data file (column names, units, subject IDs) appears in the HTML summaries as text, never as markup.</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FM-17</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URS-EXP-02</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The system shall generate a standalone reproducibility R script that uses the app's own data-processing code.</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Script parses as valid R; sources the shipped pipeline; re-verifies the source-data SHA-256; compares its output with the app results (MATCH when the largest relative difference is below 1e-6); a changed source file or a parameter present on one side only is DIFFERENT; the app runs it when the record is created and reports the outcome; the script says whether R and the package versions are those of the record.</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High</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FM-17</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URS-EXP-03</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system shall export analysis settings as JSON.</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JSON includes app version, R version, column mapping, read settings, dose source, and for BE the design selected and analysed, Reference treatment, model, CI level, limits and point-estimate constraint.</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FM-17</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URS-EXP-04</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The system shall compute SHA-256 hashes for data integrity.</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digest::digest returns 64-character hex string. data_integrity.txt provides a three-way SHA-256 manifest over source data, analysis settings, and results.</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High</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FM-17</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URS-EXP-05</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system shall include BE results in the export when performed.</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BE CI table and ANOVA tables in results.xlsx.</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FM-17</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URS-EXP-06</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The system shall include application and package version information.</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APP_VERSION and core package versions included.</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Medium</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FM-18</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URS-EXP-07</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When manual λz overrides are applied, the Complete Analysis Record shall log profile identifiers, original and adjusted values.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Settings JSON contains lz_overrides. Repro script applies overrides. HTML shows override table.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FM-07, FM-17</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URS-EXP-08</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Analysis Record shall store the partial AUC intervals with their roles and the BLQ share used for the note, and the reproducibility script shall recalculate the partial AUCs.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analysis_settings.json holds the intervals, roles and partial_auc_blq_fraction; the shipped script reproduces the partial AUCs (MATCH); a changed interval is reported as DIFFERENT.</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High</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FM-17</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5.7 Usability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960"/>
        <w:gridCol w:w="800"/>
        <w:gridCol w:w="800"/>
      </w:tblGrid>
      <w:tr>
        <w:tc>
          <w:tcPr>
            <w:tcW w:type="dxa" w:w="1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36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9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Acceptance Criterion</w:t>
            </w:r>
          </w:p>
        </w:tc>
        <w:tc>
          <w:tcPr>
            <w:tcW w:type="dxa" w:w="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FMEA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URS-UI-01</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All PK parameter abbreviations shall have plain-language labels and contextual help.</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Every NCA output column has a plain-language label, and a unit where it has a dimension; help topics defined; error messages stay until closed, and notifications are passed to screen readers; generated partial AUC column names are shown as plain-language labels with units.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Low</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FM-21, FM-26</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URS-UI-02</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A Data Preparation Guide shall be accessible.</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Guide with scenario tabs and example downloads, including a file with BLQ results; the examples also load in one click on the Upload page and can be downloaded unchanged there; only bundled files can be loaded or downloaded by name; a record made from an example says so.</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Low</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FM-01</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URS-UI-03</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application shall provide a central hub with clear workflow paths.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Landing page shows 6 workflow paths with descriptions.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Low</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FM-22</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URS-UI-04</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The system shall provide actionable error messages for invalid inputs.</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validate_mapping returns specific missing field names.</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Medium</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FM-24</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URS-UI-05</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The interface shall be usable without a mouse, with sufficient contrast, and on a phone.</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All theme colours reach a 4.5:1 contrast ratio with white text (WCAG AA); hub cards and help buttons work from the keyboard; the navbar wraps at phone width without horizontal scrolling.</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Low</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FM-22</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5.8 Visualization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960"/>
        <w:gridCol w:w="800"/>
        <w:gridCol w:w="800"/>
      </w:tblGrid>
      <w:tr>
        <w:tc>
          <w:tcPr>
            <w:tcW w:type="dxa" w:w="1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36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9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Acceptance Criterion</w:t>
            </w:r>
          </w:p>
        </w:tc>
        <w:tc>
          <w:tcPr>
            <w:tcW w:type="dxa" w:w="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FMEA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URS-VIZ-01</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Visualization module shall be inaccessible until a valid dataset has been uploaded and processed. Navigation before upload shall not produce an error.</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Data gate card displayed; no R error; no plot rendered.</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Low</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FM-23</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URS-VIZ-02</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The module shall provide an individual profiles plot (spaghetti plot) with colour-by options (Subject, Treatment, Period, Sequence). Unmapped columns shall not appear. A 'None' option shall always be available.</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Colour-by dropdown restricted to mapped columns; all options render correctly.</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Low</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FM-23</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URS-VIZ-03</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module shall provide a summary plot with geometric mean and geometric SD error bars. Arithmetic mean shall be available with a visible warning.</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GM &lt; AM (Jensen's inequality); error bars render; warning for arithmetic mean.</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Low</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FM-23</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URS-VIZ-04</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When two or more treatment levels are present, the summary plot shall overlay each treatment group as a distinct coloured series with a legend.</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Treatment overlay renders automatically for crossover data.</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Low</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FM-23</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URS-VIZ-05</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Observations with concentration ≤ 0 shall be excluded from geometric mean/SD computation. The count of excluded observations shall be displayed.</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Exclusion count shown; GM computed on positives only; a time point where more than half of the concentrations are &lt;= 0 gets no geometric mean, and differing sampling times between profiles are reported.</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Low</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FM-23</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URS-VIZ-06</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The module shall support static export in PNG, PDF, and SVG with configurable dimensions (2–20 in) and resolution (150/300/600 DPI). Invalid values shall be rejected.</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Export produces valid files; out-of-range values rejected with message.</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Low</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FM-23</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URS-VIZ-07</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 log10 Y-axis toggle shall be available. Observations with concentration ≤ 0 shall be silently omitted with an informational note.</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Log scale renders without error; note displayed for omitted values.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Low</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FM-23</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URS-VIZ-08</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A dose-normalisation option (C/Dose) shall be offered when a Dose column is mapped. Zero/NA doses shall produce NA, not Inf/NaN.</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Option appears only when dose mapped; zero/NA doses handled as NA.</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Low</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FM-23</w:t>
            </w:r>
          </w:p>
        </w:tc>
      </w:tr>
      <w:tr>
        <w:tc>
          <w:tcPr>
            <w:tcW w:type="dxa" w:w="12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URS-VIZ-09</w:t>
            </w:r>
          </w:p>
        </w:tc>
        <w:tc>
          <w:tcPr>
            <w:tcW w:type="dxa" w:w="36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The Visualize module shall produce a Figure Record: the exported figure, the figure settings, a standalone script that rebuilds the figure from the source data with the shipped pipeline, an integrity manifest and an HTML summary. Partial AUC intervals shaded on the figure shall be reproduced by that script.</w:t>
            </w:r>
          </w:p>
        </w:tc>
        <w:tc>
          <w:tcPr>
            <w:tcW w:type="dxa" w:w="29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The record contains the figure, figure_settings.json, reproduce_figure.R, nca_pipeline.R, the integrity manifest and the HTML summary; running the script rebuilds the figure, including the shaded intervals.</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Low</w:t>
            </w:r>
          </w:p>
        </w:tc>
        <w:tc>
          <w:tcPr>
            <w:tcW w:type="dxa" w:w="8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FM-17, FM-23</w:t>
            </w:r>
          </w:p>
        </w:tc>
      </w:tr>
    </w:tbl>
    <w:p>
      <w:pPr>
        <w:pStyle w:val="Heading2"/>
      </w:pPr>
      <w:r>
        <w:rPr>
          <w:rFonts w:ascii="Arial" w:cs="Arial" w:eastAsia="Arial" w:hAnsi="Arial"/>
        </w:rPr>
        <w:t>5.9 Controlled Mode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960"/>
        <w:gridCol w:w="800"/>
        <w:gridCol w:w="800"/>
      </w:tblGrid>
      <w:tr>
        <w:tc>
          <w:tcPr>
            <w:tcW w:type="dxa" w:w="1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36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9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Acceptance Criterion</w:t>
            </w:r>
          </w:p>
        </w:tc>
        <w:tc>
          <w:tcPr>
            <w:tcW w:type="dxa" w:w="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FMEA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URS-GXP-01</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Controlled mode shall be active only when configured, and the app shall not start half-configured.</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Open mode unchanged and without the controlled-mode packages; start refused when NCA_GXP_DIR is set but unusable, when NCA_GXP_KEY or NCA_GXP_ORG is missing, or when gxp/CONTROLLED exists without controlled mode.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High</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FM-33</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URS-GXP-02</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Only authenticated, active users shall use the app in controlled mode; nothing shall run before sign-in.</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app server starts after sign-in and after a forced password change; records name the signed-in analyst; signing out also ends the sign-in on the server.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Critical</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FM-40</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URS-GXP-03</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Passwords shall be protected and governed by a policy enforced by the system.</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scrypt hashes; at least 12 characters with digit, lower and upper case, never admin; starting password changed at first sign-in; own change needs the current password; every change logged; lockout after 5 failures; expiry after 90 days, counted in UTC; inactivity sign-out after 15 minutes with a warning 2 minutes before.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Critical</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FM-29, FM-30, FM-36, FM-39</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URS-GXP-04</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User IDs shall be unique and never reused; account changes shall be recorded.</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No delete; add refuses an ID ever used; each change logged with the person (SUDO_USER), a reason and old and new values; concurrent changes both kept.</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High</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FM-30</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URS-GXP-05</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audit trail shall record who, with which role and organisation, did what, when (UTC) and on which data, for every sign-in, data load, analysis run, download, record, signature, password or account change, security alert and trail check, and shall not be changeable through the app.</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Every data load, analysis run, download, record, signature and account and security event logged; triggers refuse UPDATE and DELETE; three concurrent writers give one intact chain; overhead below 100 ms per entry.</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Critical</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FM-27, FM-28</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URS-GXP-06</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Changes, insertions, deletions and truncation of the audit trail shall be detected.</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Verification names the first broken entry for a changed, deleted, inserted or reordered entry; truncation found against an anchor.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Critical</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FM-28</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URS-GXP-07</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An action shall not happen when its audit entry cannot be written.</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No results shown, no file handed over, no signature saved; a plain dialog explains why.</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Critical</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FM-27</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URS-GXP-08</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 review signature shall require user ID and password, state its meaning, show printed name and UTC time, and be bound to the record's SHA-256.</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dialog shows what is signed; wrong or locked credentials refused and logged; three failures end the session; a password changed during the session counts.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Critical</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FM-30, FM-38, FM-39</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URS-GXP-09</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Records shall be stored read-only on the server under their SHA-256.</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Copy in records/ with mode 0444 and record_created in the trail; status line under the record button; data_integrity.txt says which mode the record was made in.</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High</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FM-38</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URS-GXP-10</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Only reviewers shall sign; nobody shall review their own record; a record shall be reviewed once.</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Checked on the server for every capability; a closed record cannot be signed again.</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Critical</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FM-40</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URS-GXP-11</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Reviewers and inspectors shall view, filter, verify and export the audit trail in readable form; analysts shall not see the trail.</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Plain-language events, filters, Verify chain, CSV export with the verification line; no trail output for an analyst, even when a page asks for it.</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High</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FM-28, FM-40</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URS-GXP-12</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trail and records shall be archived together, and an archived copy shall be verifiable without the app.</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manage_users.R archive writes a read-only folder with a SHA-256 manifest; verify accepts it in a fresh R session.</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High</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FM-37</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URS-GXP-13</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Before approving a record, the reviewer shall see the audit history of its data.</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Earlier runs on the same data with the settings that changed between them; a flag when there was more than one run.</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High</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FM-34</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URS-GXP-14</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 review of the audit trail shall be signable, and the trail shall be reviewable by exception.</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Signed trail review with period and trail head; Exceptions view with its fixed queries (sign-in failures and alerts, refused signatures, rejections, invalid records, repeated runs, runs without record, unclean starts, configuration changes, clock, working hours, concurrent sessions).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High</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FM-31, FM-33, FM-34</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URS-GXP-15</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Data typed in by hand shall be recorded as such and flagged.</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data_loaded with source typed in and the SHA-256 of the values; flag in the review panel.</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High</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FM-35</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URS-GXP-16</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Attempted misuse shall be reported at once.</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Lockout, the third failed signature or password change in a session, and 10 failed sign-ins in an hour write to the system log and to the trail.</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High</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FM-39</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URS-GXP-17</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Inspectors shall have read-only access.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Records, data history, trail, users overview visible; signing and trail review refused on the server.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High</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FM-40</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URS-GXP-18</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 change to a signed record shall make the signature visibly invalid, and every copy shall be checkable.</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Validity line on every display; signed records download with their signature sheet; Verify a record file finds a stored record and not an altered copy.</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Critical</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FM-38</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URS-GXP-19</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An archive shall allow the system to be restored.</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The archive holds the running app files, renv.lock, the release manifest, the validation files and restore steps; restore on a clean machine (manual test).</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Medium</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FM-37</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URS-GXP-20</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An overview of current and previous access shall be available from the system.</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Users tab and manage_users.R list: roles, status, creation, deactivation and role history.</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Medium</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FM-30</w:t>
            </w:r>
          </w:p>
        </w:tc>
      </w:tr>
    </w:tbl>
    <w:p>
      <w:pPr>
        <w:spacing w:after="120"/>
      </w:pPr>
      <w:r>
        <w:rPr>
          <w:rFonts w:ascii="Arial" w:cs="Arial" w:eastAsia="Arial" w:hAnsi="Arial"/>
          <w:sz w:val="22"/>
          <w:szCs w:val="22"/>
        </w:rPr>
        <w:t xml:space="preserve"/>
      </w:r>
    </w:p>
    <w:p>
      <w:r>
        <w:br w:type="page"/>
      </w:r>
    </w:p>
    <w:p>
      <w:pPr>
        <w:pStyle w:val="Heading1"/>
      </w:pPr>
      <w:r>
        <w:rPr>
          <w:rFonts w:ascii="Arial" w:cs="Arial" w:eastAsia="Arial" w:hAnsi="Arial"/>
        </w:rPr>
        <w:t xml:space="preserve">6. Traceability</w:t>
      </w:r>
    </w:p>
    <w:p>
      <w:pPr>
        <w:spacing w:after="120"/>
      </w:pPr>
      <w:r>
        <w:rPr>
          <w:rFonts w:ascii="Arial" w:cs="Arial" w:eastAsia="Arial" w:hAnsi="Arial"/>
          <w:sz w:val="22"/>
          <w:szCs w:val="22"/>
        </w:rPr>
        <w:t>Each requirement is tested by one or more tests in validation/validation.R (run: Rscript validation/validation.R). The run reports how many requirements are covered by automated tests and which only by manual tests; the traceability matrix in the IQ/OQ/PQ protocol lists the tests per requirement.</w:t>
      </w:r>
    </w:p>
    <w:p>
      <w:pPr>
        <w:spacing w:after="120"/>
      </w:pPr>
      <w:r>
        <w:rPr>
          <w:rFonts w:ascii="Arial" w:cs="Arial" w:eastAsia="Arial" w:hAnsi="Arial"/>
          <w:sz w:val="22"/>
          <w:szCs w:val="22"/>
        </w:rPr>
        <w:t>The URS-GXP requirements are tested in section GXP of validation.R and by the MAN-GXP manual tests, which need a test server set up as in the user manual's appendix on controlled installations. Test code for section GXP was written with the implementation and must be reviewed by a person other than its author before the protocol is approved.</w:t>
      </w:r>
    </w:p>
    <w:p>
      <w:pPr>
        <w:pStyle w:val="Heading1"/>
      </w:pPr>
      <w:r>
        <w:rPr>
          <w:rFonts w:ascii="Arial" w:cs="Arial" w:eastAsia="Arial" w:hAnsi="Arial"/>
        </w:rPr>
        <w:t xml:space="preserve">7. Configuration Management</w:t>
      </w:r>
    </w:p>
    <w:p>
      <w:pPr>
        <w:spacing w:after="120"/>
      </w:pPr>
      <w:r>
        <w:rPr>
          <w:rFonts w:ascii="Arial" w:cs="Arial" w:eastAsia="Arial" w:hAnsi="Arial"/>
          <w:sz w:val="22"/>
          <w:szCs w:val="22"/>
        </w:rPr>
        <w:t>Source: github.com/robterheine/ncaassistant. Each release is tagged; validation/release_manifest.csv and validation/renv.lock fix its files and package versions. Category A: cosmetic (no revalidation). Category B: functional within scope (targeted revalidation of the affected requirements). Category C: new functionality (full revalidation). A change of R or of a package version is at least Category B.</w:t>
      </w:r>
    </w:p>
    <w:p>
      <w:pPr>
        <w:spacing w:after="120"/>
      </w:pPr>
      <w:r>
        <w:rPr>
          <w:rFonts w:ascii="Arial" w:cs="Arial" w:eastAsia="Arial" w:hAnsi="Arial"/>
          <w:sz w:val="22"/>
          <w:szCs w:val="22"/>
        </w:rPr>
        <w:t>Configuration items of a controlled installation, under the organisation's change control: the environment variables (NCA_GXP_DIR, NCA_GXP_KEY, NCA_GXP_ORG, NCA_GXP_WORK_HOURS), the policy values recorded at every app start, gxp/CONTROLLED, the sudoers rule for manage_users.R, and the Shiny Server and nginx configuration. An update of shinymanager, DBI or RSQLite is at least Category B. The format of the audit trail (table trail, the fields of an entry) is changed only with a validated migration plan; a trail continued in a new file starts with an entry that carries the head of the old file, and both are archived together.</w:t>
      </w:r>
    </w:p>
    <w:p>
      <w:pPr>
        <w:pStyle w:val="Heading1"/>
      </w:pPr>
      <w:r>
        <w:rPr>
          <w:rFonts w:ascii="Arial" w:cs="Arial" w:eastAsia="Arial" w:hAnsi="Arial"/>
        </w:rPr>
        <w:t xml:space="preserve">8. Regulatory References</w:t>
      </w:r>
    </w:p>
    <w:p>
      <w:pPr>
        <w:spacing w:after="120"/>
      </w:pPr>
      <w:r>
        <w:rPr>
          <w:rFonts w:ascii="Arial" w:cs="Arial" w:eastAsia="Arial" w:hAnsi="Arial"/>
          <w:sz w:val="22"/>
          <w:szCs w:val="22"/>
        </w:rPr>
        <w:t xml:space="preserve">ISPE GAMP 5, 2nd Edition (2022)</w:t>
      </w:r>
    </w:p>
    <w:p>
      <w:pPr>
        <w:spacing w:after="120"/>
      </w:pPr>
      <w:r>
        <w:rPr>
          <w:rFonts w:ascii="Arial" w:cs="Arial" w:eastAsia="Arial" w:hAnsi="Arial"/>
          <w:sz w:val="22"/>
          <w:szCs w:val="22"/>
        </w:rPr>
        <w:t xml:space="preserve">ICH Q9(R1): Quality Risk Management (2023)</w:t>
      </w:r>
    </w:p>
    <w:p>
      <w:pPr>
        <w:spacing w:after="120"/>
      </w:pPr>
      <w:r>
        <w:rPr>
          <w:rFonts w:ascii="Arial" w:cs="Arial" w:eastAsia="Arial" w:hAnsi="Arial"/>
          <w:sz w:val="22"/>
          <w:szCs w:val="22"/>
        </w:rPr>
        <w:t>FDA Bioavailability/Bioequivalence Guidance (2014); FDA Statistical Approaches to Establishing Bioequivalence (2026)</w:t>
      </w:r>
    </w:p>
    <w:p>
      <w:pPr>
        <w:spacing w:after="120"/>
      </w:pPr>
      <w:r>
        <w:rPr>
          <w:rFonts w:ascii="Arial" w:cs="Arial" w:eastAsia="Arial" w:hAnsi="Arial"/>
          <w:sz w:val="22"/>
          <w:szCs w:val="22"/>
        </w:rPr>
        <w:t xml:space="preserve">EMA Bioequivalence Guideline CPMP/EWP/QWP/1401/98 Rev. 1 (2010)</w:t>
      </w:r>
    </w:p>
    <w:p>
      <w:pPr>
        <w:spacing w:after="120"/>
      </w:pPr>
      <w:r>
        <w:rPr>
          <w:rFonts w:ascii="Arial" w:cs="Arial" w:eastAsia="Arial" w:hAnsi="Arial"/>
          <w:sz w:val="22"/>
          <w:szCs w:val="22"/>
        </w:rPr>
        <w:t xml:space="preserve">21 CFR Part 320</w:t>
      </w:r>
    </w:p>
    <w:p>
      <w:pPr>
        <w:spacing w:after="120"/>
      </w:pPr>
      <w:r>
        <w:rPr>
          <w:rFonts w:ascii="Arial" w:cs="Arial" w:eastAsia="Arial" w:hAnsi="Arial"/>
          <w:sz w:val="22"/>
          <w:szCs w:val="22"/>
        </w:rPr>
        <w:t>EU GMP Annex 11: Computerised Systems (2011); CDISC SDTM Controlled Terminology, release 2026-03-27</w:t>
      </w:r>
    </w:p>
    <w:p>
      <w:pPr>
        <w:spacing w:after="120"/>
      </w:pPr>
      <w:r>
        <w:rPr>
          <w:rFonts w:ascii="Arial" w:cs="Arial" w:eastAsia="Arial" w:hAnsi="Arial"/>
          <w:sz w:val="22"/>
          <w:szCs w:val="22"/>
        </w:rPr>
        <w:t>FDA product-specific guidances defining partial AUC metrics; Hopefl R et al., Clin Pharmacol Ther 2025;117:1185-93</w:t>
      </w:r>
    </w:p>
    <w:p>
      <w:pPr>
        <w:spacing w:after="120"/>
      </w:pPr>
      <w:r>
        <w:rPr>
          <w:rFonts w:ascii="Arial" w:cs="Arial" w:eastAsia="Arial" w:hAnsi="Arial"/>
          <w:sz w:val="22"/>
          <w:szCs w:val="22"/>
        </w:rPr>
        <w:t>EMA Guideline on the pharmacokinetic and clinical evaluation of modified release dosage forms, EMA/CHMP/EWP/280/96 Rev1 (2014)</w:t>
      </w:r>
    </w:p>
    <w:p>
      <w:pPr>
        <w:spacing w:after="120"/>
      </w:pPr>
      <w:r>
        <w:rPr>
          <w:rFonts w:ascii="Arial" w:cs="Arial" w:eastAsia="Arial" w:hAnsi="Arial"/>
          <w:sz w:val="22"/>
          <w:szCs w:val="22"/>
        </w:rPr>
        <w:t>ICH M13A: Bioequivalence for Immediate-Release Solid Oral Dosage Forms (2024)</w:t>
      </w:r>
    </w:p>
    <w:p>
      <w:pPr>
        <w:spacing w:after="120"/>
      </w:pPr>
      <w:r>
        <w:rPr>
          <w:rFonts w:ascii="Arial" w:cs="Arial" w:eastAsia="Arial" w:hAnsi="Arial"/>
          <w:sz w:val="22"/>
          <w:szCs w:val="22"/>
        </w:rPr>
        <w:t>Davit BM et al., AAPS J 2012;14:915-24 (FDA reference-scaled average bioequivalence); Tothfalusi L, Endrenyi L, AAPS J 2016;18:476-89; Tsiatis AA et al., Stat Med 2008;27:4658-77 (covariate adjustment); Fuglsang A et al., AAPS J 2015;17:400-4 (parallel-group reference datasets)</w:t>
      </w:r>
    </w:p>
    <w:p>
      <w:pPr>
        <w:spacing w:after="120"/>
      </w:pPr>
      <w:r>
        <w:rPr>
          <w:rFonts w:ascii="Arial" w:cs="Arial" w:eastAsia="Arial" w:hAnsi="Arial"/>
          <w:sz w:val="22"/>
          <w:szCs w:val="22"/>
        </w:rPr>
        <w:t>ICH E6(R3): Good Clinical Practice (2025)</w:t>
      </w:r>
    </w:p>
    <w:p>
      <w:pPr>
        <w:spacing w:after="120"/>
      </w:pPr>
      <w:r>
        <w:rPr>
          <w:rFonts w:ascii="Arial" w:cs="Arial" w:eastAsia="Arial" w:hAnsi="Arial"/>
          <w:sz w:val="22"/>
          <w:szCs w:val="22"/>
        </w:rPr>
        <w:t>EMA Guideline on computerised systems and electronic data in clinical trials, EMA/INS/GCP/112288/2023 (2023)</w:t>
      </w:r>
    </w:p>
    <w:p>
      <w:pPr>
        <w:spacing w:after="120"/>
      </w:pPr>
      <w:r>
        <w:rPr>
          <w:rFonts w:ascii="Arial" w:cs="Arial" w:eastAsia="Arial" w:hAnsi="Arial"/>
          <w:sz w:val="22"/>
          <w:szCs w:val="22"/>
        </w:rPr>
        <w:t>EudraLex Volume 4, Annex 11: Computerised Systems, draft revision for public consultation (2025)</w:t>
      </w:r>
    </w:p>
    <w:p>
      <w:pPr>
        <w:spacing w:after="120"/>
      </w:pPr>
      <w:r>
        <w:rPr>
          <w:rFonts w:ascii="Arial" w:cs="Arial" w:eastAsia="Arial" w:hAnsi="Arial"/>
          <w:sz w:val="22"/>
          <w:szCs w:val="22"/>
        </w:rPr>
        <w:t>W3C Web Content Accessibility Guidelines (WCAG) 2.1, level AA</w:t>
      </w:r>
    </w:p>
    <w:p>
      <w:pPr>
        <w:spacing w:after="120"/>
      </w:pPr>
      <w:r>
        <w:rPr>
          <w:rFonts w:ascii="Arial" w:cs="Arial" w:eastAsia="Arial" w:hAnsi="Arial"/>
          <w:sz w:val="22"/>
          <w:szCs w:val="22"/>
        </w:rPr>
        <w:t>21 CFR Part 11: Electronic Records; Electronic Signatures (11.10, 11.50, 11.70, 11.100, 11.200, 11.300)</w:t>
      </w:r>
    </w:p>
    <w:p>
      <w:pPr>
        <w:spacing w:after="120"/>
      </w:pPr>
      <w:r>
        <w:rPr>
          <w:rFonts w:ascii="Arial" w:cs="Arial" w:eastAsia="Arial" w:hAnsi="Arial"/>
          <w:sz w:val="22"/>
          <w:szCs w:val="22"/>
        </w:rPr>
        <w:t>FDA Guidance: Part 11, Electronic Records; Electronic Signatures, Scope and Application (2003); FDA Data Integrity and Compliance With Drug CGMP (2018)</w:t>
      </w:r>
    </w:p>
    <w:p>
      <w:pPr>
        <w:spacing w:after="120"/>
      </w:pPr>
      <w:r>
        <w:rPr>
          <w:rFonts w:ascii="Arial" w:cs="Arial" w:eastAsia="Arial" w:hAnsi="Arial"/>
          <w:sz w:val="22"/>
          <w:szCs w:val="22"/>
        </w:rPr>
        <w:t>PIC/S PI 041-1: Good Practices for Data Management and Integrity in Regulated GMP/GDP Environments (2021)</w:t>
      </w:r>
    </w:p>
    <w:p>
      <w:pPr>
        <w:spacing w:after="120"/>
      </w:pPr>
      <w:r>
        <w:rPr>
          <w:rFonts w:ascii="Arial" w:cs="Arial" w:eastAsia="Arial" w:hAnsi="Arial"/>
          <w:sz w:val="22"/>
          <w:szCs w:val="22"/>
        </w:rPr>
        <w:t>Regulation (EU) 2016/679 (GDPR), Articles 13 and 88</w:t>
      </w:r>
    </w:p>
    <w:p>
      <w:pPr>
        <w:pStyle w:val="Heading1"/>
      </w:pPr>
      <w:r>
        <w:rPr>
          <w:rFonts w:ascii="Arial" w:cs="Arial" w:eastAsia="Arial" w:hAnsi="Arial"/>
        </w:rPr>
        <w:t xml:space="preserve">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Term</w:t>
            </w:r>
          </w:p>
        </w:tc>
        <w:tc>
          <w:tcPr>
            <w:tcW w:type="dxa" w:w="73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ABEL</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Average bioequivalence with expanding limits (EMA): for Cmax, limits that widen with the within-subject variability of the Reference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ADNCA</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CDISC ADaM dataset structure for non-compartmental analysis</w:t>
            </w:r>
          </w:p>
        </w:tc>
      </w:tr>
      <w:tr>
        <w:tc>
          <w:tcPr>
            <w:tcW w:type="dxa" w:w="20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Anchor</w:t>
            </w:r>
          </w:p>
        </w:tc>
        <w:tc>
          <w:tcPr>
            <w:tcW w:type="dxa" w:w="73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The sequence number and hash of the last audit entry, filed outside the server, against which a later trail is checked</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AUC</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Area Under the Concentration-time Curve</w:t>
            </w:r>
          </w:p>
        </w:tc>
      </w:tr>
      <w:tr>
        <w:tc>
          <w:tcPr>
            <w:tcW w:type="dxa" w:w="20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Audit trail</w:t>
            </w:r>
          </w:p>
        </w:tc>
        <w:tc>
          <w:tcPr>
            <w:tcW w:type="dxa" w:w="73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The hash-chained record of who did what, when and on which data, kept by a controlled installation</w:t>
            </w:r>
          </w:p>
        </w:tc>
      </w:tr>
      <w:tr>
        <w:tc>
          <w:tcPr>
            <w:tcW w:type="dxa" w:w="20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BE</w:t>
            </w:r>
          </w:p>
        </w:tc>
        <w:tc>
          <w:tcPr>
            <w:tcW w:type="dxa" w:w="73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Bioequivalence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BLQ</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Below Limit of Quantification</w:t>
            </w:r>
          </w:p>
        </w:tc>
      </w:tr>
      <w:tr>
        <w:tc>
          <w:tcPr>
            <w:tcW w:type="dxa" w:w="20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CDISC</w:t>
            </w:r>
          </w:p>
        </w:tc>
        <w:tc>
          <w:tcPr>
            <w:tcW w:type="dxa" w:w="73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Clinical Data Interchange Standards Consortium</w:t>
            </w:r>
          </w:p>
        </w:tc>
      </w:tr>
      <w:tr>
        <w:tc>
          <w:tcPr>
            <w:tcW w:type="dxa" w:w="20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Controlled installation</w:t>
            </w:r>
          </w:p>
        </w:tc>
        <w:tc>
          <w:tcPr>
            <w:tcW w:type="dxa" w:w="73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An installation running in controlled mode on an organisation-run server, qualified for regulated use</w:t>
            </w:r>
          </w:p>
        </w:tc>
      </w:tr>
      <w:tr>
        <w:tc>
          <w:tcPr>
            <w:tcW w:type="dxa" w:w="20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Controlled mode</w:t>
            </w:r>
          </w:p>
        </w:tc>
        <w:tc>
          <w:tcPr>
            <w:tcW w:type="dxa" w:w="73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The mode with sign-in, audit trail, stored records and review signatures, switched on by NCA_GXP_DIR</w:t>
            </w:r>
          </w:p>
        </w:tc>
      </w:tr>
      <w:tr>
        <w:tc>
          <w:tcPr>
            <w:tcW w:type="dxa" w:w="20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Covariate</w:t>
            </w:r>
          </w:p>
        </w:tc>
        <w:tc>
          <w:tcPr>
            <w:tcW w:type="dxa" w:w="73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A baseline characteristic of a subject included in the model of a parallel-group comparison</w:t>
            </w:r>
          </w:p>
        </w:tc>
      </w:tr>
      <w:tr>
        <w:tc>
          <w:tcPr>
            <w:tcW w:type="dxa" w:w="20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CVwR / CVwT</w:t>
            </w:r>
          </w:p>
        </w:tc>
        <w:tc>
          <w:tcPr>
            <w:tcW w:type="dxa" w:w="73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Within-subject coefficient of variation of the Reference / Test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FMEA</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Failure Mode and Effects Analysis</w:t>
            </w:r>
          </w:p>
        </w:tc>
      </w:tr>
      <w:tr>
        <w:tc>
          <w:tcPr>
            <w:tcW w:type="dxa" w:w="20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GAMP</w:t>
            </w:r>
          </w:p>
        </w:tc>
        <w:tc>
          <w:tcPr>
            <w:tcW w:type="dxa" w:w="73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Good Automated Manufacturing Practice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GMR</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Geometric Mean Ratio</w:t>
            </w:r>
          </w:p>
        </w:tc>
      </w:tr>
      <w:tr>
        <w:tc>
          <w:tcPr>
            <w:tcW w:type="dxa" w:w="20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ICH M13A</w:t>
            </w:r>
          </w:p>
        </w:tc>
        <w:tc>
          <w:tcPr>
            <w:tcW w:type="dxa" w:w="73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ICH guideline on bioequivalence for immediate-release solid oral dosage forms</w:t>
            </w:r>
          </w:p>
        </w:tc>
      </w:tr>
      <w:tr>
        <w:tc>
          <w:tcPr>
            <w:tcW w:type="dxa" w:w="20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Inspector</w:t>
            </w:r>
          </w:p>
        </w:tc>
        <w:tc>
          <w:tcPr>
            <w:tcW w:type="dxa" w:w="73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Role with read-only access to records, the audit trail and the user overview</w:t>
            </w:r>
          </w:p>
        </w:tc>
      </w:tr>
      <w:tr>
        <w:tc>
          <w:tcPr>
            <w:tcW w:type="dxa" w:w="20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NCA</w:t>
            </w:r>
          </w:p>
        </w:tc>
        <w:tc>
          <w:tcPr>
            <w:tcW w:type="dxa" w:w="73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Non-Compartmental Analysis</w:t>
            </w:r>
          </w:p>
        </w:tc>
      </w:tr>
      <w:tr>
        <w:tc>
          <w:tcPr>
            <w:tcW w:type="dxa" w:w="20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Partial AUC</w:t>
            </w:r>
          </w:p>
        </w:tc>
        <w:tc>
          <w:tcPr>
            <w:tcW w:type="dxa" w:w="73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Area under the concentration-time curve over part of the profile, for example AUC from 0 to 30 min. The interval comes from the protocol or a product-specific guidance.</w:t>
            </w:r>
          </w:p>
        </w:tc>
      </w:tr>
      <w:tr>
        <w:tc>
          <w:tcPr>
            <w:tcW w:type="dxa" w:w="20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Pivotal metric</w:t>
            </w:r>
          </w:p>
        </w:tc>
        <w:tc>
          <w:tcPr>
            <w:tcW w:type="dxa" w:w="73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A bioequivalence metric that must meet the acceptance limits; it receives a verdict.</w:t>
            </w:r>
          </w:p>
        </w:tc>
      </w:tr>
      <w:tr>
        <w:tc>
          <w:tcPr>
            <w:tcW w:type="dxa" w:w="20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Reviewer</w:t>
            </w:r>
          </w:p>
        </w:tc>
        <w:tc>
          <w:tcPr>
            <w:tcW w:type="dxa" w:w="73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Role that approves or rejects records made by others and signs audit trail reviews</w:t>
            </w:r>
          </w:p>
        </w:tc>
      </w:tr>
      <w:tr>
        <w:tc>
          <w:tcPr>
            <w:tcW w:type="dxa" w:w="20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RPN</w:t>
            </w:r>
          </w:p>
        </w:tc>
        <w:tc>
          <w:tcPr>
            <w:tcW w:type="dxa" w:w="73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Risk priority number: Severity x Occurrence x Detection</w:t>
            </w:r>
          </w:p>
        </w:tc>
      </w:tr>
      <w:tr>
        <w:tc>
          <w:tcPr>
            <w:tcW w:type="dxa" w:w="20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RSABE</w:t>
            </w:r>
          </w:p>
        </w:tc>
        <w:tc>
          <w:tcPr>
            <w:tcW w:type="dxa" w:w="73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Reference-scaled average bioequivalence (FDA, Appendix G of the May 2026 guidance)</w:t>
            </w:r>
          </w:p>
        </w:tc>
      </w:tr>
      <w:tr>
        <w:tc>
          <w:tcPr>
            <w:tcW w:type="dxa" w:w="20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Signature sheet</w:t>
            </w:r>
          </w:p>
        </w:tc>
        <w:tc>
          <w:tcPr>
            <w:tcW w:type="dxa" w:w="73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The human-readable manifestation of a record's signatures: printed names, UTC times, meanings, audit entries and validity</w:t>
            </w:r>
          </w:p>
        </w:tc>
      </w:tr>
      <w:tr>
        <w:tc>
          <w:tcPr>
            <w:tcW w:type="dxa" w:w="20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Supportive metric</w:t>
            </w:r>
          </w:p>
        </w:tc>
        <w:tc>
          <w:tcPr>
            <w:tcW w:type="dxa" w:w="73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A bioequivalence metric reported with its ratio and confidence interval, without a verdict.</w:t>
            </w:r>
          </w:p>
        </w:tc>
      </w:tr>
      <w:tr>
        <w:tc>
          <w:tcPr>
            <w:tcW w:type="dxa" w:w="20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System owner</w:t>
            </w:r>
          </w:p>
        </w:tc>
        <w:tc>
          <w:tcPr>
            <w:tcW w:type="dxa" w:w="73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The person who administers accounts and archives on the server with manage_users.R; not an analyst or reviewer on the same studies</w:t>
            </w:r>
          </w:p>
        </w:tc>
      </w:tr>
      <w:tr>
        <w:tc>
          <w:tcPr>
            <w:tcW w:type="dxa" w:w="20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t (last measurable)</w:t>
            </w:r>
          </w:p>
        </w:tc>
        <w:tc>
          <w:tcPr>
            <w:tcW w:type="dxa" w:w="73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The time of the last measurable concentration of a profile; the end of an interval written as t.</w:t>
            </w:r>
          </w:p>
        </w:tc>
      </w:tr>
      <w:tr>
        <w:tc>
          <w:tcPr>
            <w:tcW w:type="dxa" w:w="20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Trail review</w:t>
            </w:r>
          </w:p>
        </w:tc>
        <w:tc>
          <w:tcPr>
            <w:tcW w:type="dxa" w:w="73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A signed statement by a reviewer that the audit trail was reviewed for a stated period</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URS</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User Requirement Specification</w:t>
            </w:r>
          </w:p>
        </w:tc>
      </w:tr>
      <w:tr>
        <w:tc>
          <w:tcPr>
            <w:tcW w:type="dxa" w:w="20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WCAG</w:t>
            </w:r>
          </w:p>
        </w:tc>
        <w:tc>
          <w:tcPr>
            <w:tcW w:type="dxa" w:w="73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Web Content Accessibility Guidelines</w:t>
            </w:r>
          </w:p>
        </w:tc>
      </w:tr>
      <w:tr>
        <w:tc>
          <w:tcPr>
            <w:tcW w:type="dxa" w:w="200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b/>
                <w:bCs/>
                <w:sz w:val="20"/>
                <w:szCs w:val="20"/>
              </w:rPr>
              <w:t xml:space="preserve">λz</w:t>
            </w:r>
          </w:p>
        </w:tc>
        <w:tc>
          <w:tcPr>
            <w:tcW w:type="dxa" w:w="7360"/>
            <w:tcBorders>
              <w:top w:val="single" w:color="999999" w:sz="1"/>
              <w:left w:val="single" w:color="999999" w:sz="1"/>
              <w:bottom w:val="single" w:color="999999" w:sz="1"/>
              <w:right w:val="single" w:color="999999" w:sz="1"/>
            </w:tcBorders>
            <w:shd w:fill="F7F9FC" w:val="clear"/>
            <w:tcMar>
              <w:top w:type="dxa" w:w="60"/>
              <w:left w:type="dxa" w:w="100"/>
              <w:bottom w:type="dxa" w:w="60"/>
              <w:right w:type="dxa" w:w="100"/>
            </w:tcMar>
          </w:tcPr>
          <w:p>
            <w:r>
              <w:rPr>
                <w:rFonts w:ascii="Arial" w:cs="Arial" w:eastAsia="Arial" w:hAnsi="Arial"/>
                <w:sz w:val="20"/>
                <w:szCs w:val="20"/>
              </w:rPr>
              <w:t xml:space="preserve">Terminal elimination rate constant</w:t>
            </w:r>
          </w:p>
        </w:tc>
      </w:tr>
    </w:tbl>
    <w:sectPr>
      <w:headerReference w:type="default" r:id="rId7"/>
      <w:footerReference w:type="default" r:id="rId8"/>
      <w:headerReference w:type="firs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NCA Assistant — User Requirement Specification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3E5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C3E50"/>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2026-04-09T15:52:32.153Z</dcterms:created>
  <dcterms:modified xsi:type="dcterms:W3CDTF">2026-04-09T15:52:32.202Z</dcterms:modified>
</cp:coreProperties>
</file>

<file path=docProps/custom.xml><?xml version="1.0" encoding="utf-8"?>
<Properties xmlns="http://schemas.openxmlformats.org/officeDocument/2006/custom-properties" xmlns:vt="http://schemas.openxmlformats.org/officeDocument/2006/docPropsVTypes"/>
</file>