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Arial" w:cs="Arial" w:eastAsia="Arial" w:hAnsi="Arial"/>
          <w:b/>
          <w:bCs/>
          <w:color w:val="2C3E50"/>
          <w:sz w:val="48"/>
          <w:szCs w:val="48"/>
        </w:rPr>
        <w:t xml:space="preserve">NCA Assistant</w:t>
      </w:r>
    </w:p>
    <w:p>
      <w:pPr>
        <w:spacing w:after="100"/>
        <w:jc w:val="center"/>
      </w:pPr>
      <w:r>
        <w:rPr>
          <w:rFonts w:ascii="Arial" w:cs="Arial" w:eastAsia="Arial" w:hAnsi="Arial"/>
          <w:color w:val="2C3E50"/>
          <w:sz w:val="36"/>
          <w:szCs w:val="36"/>
        </w:rPr>
        <w:t xml:space="preserve">User Requirement Specification</w:t>
      </w:r>
    </w:p>
    <w:p>
      <w:pPr>
        <w:spacing w:after="400"/>
        <w:jc w:val="center"/>
      </w:pPr>
      <w:r>
        <w:rPr>
          <w:rFonts w:ascii="Arial" w:cs="Arial" w:eastAsia="Arial" w:hAnsi="Arial"/>
          <w:color w:val="7F8C8D"/>
          <w:sz w:val="28"/>
          <w:szCs w:val="28"/>
        </w:rPr>
        <w:t xml:space="preserve">Draft — adapt for local 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 ID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NCA-URS-001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Author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Radboud Applied Pharmacometrics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September 2026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GAMP 5 Category 5</w:t>
            </w:r>
          </w:p>
        </w:tc>
      </w:tr>
    </w:tbl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Purpose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This User Requirement Specification defines the functional and quality requirements for NCA Assistant v1.4.0, an open-source R/Shiny application for pharmacokinetic non-compartmental analysis, bioequivalence testing, data visualization, and study planning.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This URS covers 58 requirements across 8 categories: General (5), Data Handling (7), NCA (12), Bioequivalence (9), Power (6), Export (7), Usability (4), and Visualization (8).</w:t>
      </w:r>
    </w:p>
    <w:p>
      <w:pPr>
        <w:pStyle w:val="Heading1"/>
      </w:pPr>
      <w:r>
        <w:rPr>
          <w:rFonts w:ascii="Arial" w:cs="Arial" w:eastAsia="Arial" w:hAnsi="Arial"/>
        </w:rPr>
        <w:t xml:space="preserve">2. System Description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NCA Assistant v1.4.0 provides six workflow paths accessible from a central hub: (1) Plan a Study, (2) Upload &amp; Check Data (flat files, or CDISC ADNCA datasets through a separate upload option), (3) Visualize Data, (4) Analyze One Subject at a Time, (5) Analyze All Subjects, (6) Bioequivalence Testing. The data-processing pipeline (R/pipeline.R) is shared by the app, the validation script and the reproduction scripts shipped in every Analysis Record. GAMP 5 Category 5 custom application. The app performs average bioequivalence only; it does not perform reference-scaled (ABEL, RSABE) or NTID analyses, which Plan a Study can plan. It is not affiliated with, endorsed by, or certified by CDISC.</w:t>
      </w:r>
    </w:p>
    <w:p>
      <w:pPr>
        <w:pStyle w:val="Heading1"/>
      </w:pPr>
      <w:r>
        <w:rPr>
          <w:rFonts w:ascii="Arial" w:cs="Arial" w:eastAsia="Arial" w:hAnsi="Arial"/>
        </w:rPr>
        <w:t xml:space="preserve">3. Supplier Assessment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Critical R packages: NonCompart (NCA computation, including the terminal-slope selection), PowerTOST (sample size/power), nlme (mixed-effects BE models), ggplot2/plotly (visualization), digest (SHA-256 hashing). Validation only: replicateBE (reference implementation for replicate designs). All CRAN-hosted, peer-reviewed, widely adopted. CDISC parameter codes come from one pinned, dated release of CDISC SDTM Controlled Terminology (2026-03-27), stored in the repository with its source hash.</w:t>
      </w:r>
    </w:p>
    <w:p>
      <w:pPr>
        <w:pStyle w:val="Heading1"/>
      </w:pPr>
      <w:r>
        <w:rPr>
          <w:rFonts w:ascii="Arial" w:cs="Arial" w:eastAsia="Arial" w:hAnsi="Arial"/>
        </w:rPr>
        <w:t xml:space="preserve">4. Risk Assessment (FMEA per ICH Q9)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160"/>
        <w:gridCol w:w="800"/>
        <w:gridCol w:w="800"/>
        <w:gridCol w:w="800"/>
        <w:gridCol w:w="800"/>
        <w:gridCol w:w="1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 ID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Failure Mode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Occ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RPN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Control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URS-GEN-01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URS-GEN-03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URS-GEN-04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URS-GEN-05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URS-GEN-06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URS-GEN-06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URS-DAT-07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URS-DAT-07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FM-NCA-09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URS-NCA-09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FM-NCA-10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URS-NCA-10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URS-NCA-10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URS-NCA-11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URS-NCA-12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URS-NCA-12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URS-BE-08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FM-BE-09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URS-BE-09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URS-BE-09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URS-PWR-01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URS-PWR-02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URS-PWR-03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URS-PWR-04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URS-PWR-05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URS-PWR-06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URS-PWR-06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URS-EXP-07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URS-EXP-07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URS-UI-01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URS-UI-02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URS-UI-03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URS-UI-04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URS-UI-04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FM-VIZ-01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URS-VIZ-01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FM-VIZ-02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URS-VIZ-02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FM-VIZ-03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URS-VIZ-03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FM-VIZ-04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URS-VIZ-04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FM-VIZ-05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URS-VIZ-05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FM-VIZ-06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URS-VIZ-06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FM-VIZ-07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URS-VIZ-07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FM-VIZ-08</w:t>
            </w:r>
          </w:p>
        </w:tc>
        <w:tc>
          <w:tcPr>
            <w:tcW w:type="dxa" w:w="3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URS-VIZ-08 not met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Validation tests for URS-VIZ-08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Requirements</w:t>
      </w:r>
    </w:p>
    <w:p>
      <w:pPr>
        <w:pStyle w:val="Heading2"/>
      </w:pPr>
      <w:r>
        <w:rPr>
          <w:rFonts w:ascii="Arial" w:cs="Arial" w:eastAsia="Arial" w:hAnsi="Arial"/>
        </w:rPr>
        <w:t xml:space="preserve">5.1 General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be accessible via a standard web browser without local installation beyond R and required packages.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 launches via shiny::runApp() and renders in Chrome/Firefox/Edge.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 statistical methods page shall document all formulas, algorithms, and references used, as implemented.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Methods page accessible from navigation; its statements on slope selection, R² threshold, acceptance limits, rounding and simulations match the code.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not persistently store user data between sessions.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database or persistent storage beyond the R session.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display the current application version.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APP_VERSION displayed in UI and included in exports.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URS-GEN-06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Results, downloads and Analysis Records shall list the official CDISC PK parameter code (PPTESTCD/PPTEST) for each parameter from one pinned, dated release of CDISC SDTM Controlled Terminology, and state the release. Parameters without a code in that release shall be marked as such, not given an invented code.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Codes taken from release 2026-03-27 (codelists C85839/C85493); release date and source hash stated; mapping depends on route and steady state; results are not described as SDTM PP datasets.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FM-GEN-05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5.2 Data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accept CSV and Excel (.xlsx/.xls) flat-file uploads (comma or semicolon separator, point or comma decimal mark) and, through a separate upload option, CDISC ADNCA-shaped datasets.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Flat files load without error and decimal-comma numbers stored as text are read; an ADNCA dataset is converted only with an explicit time variable (NRRLT, ARRLT or MRRLT; AFRLT refused), ANL01FL applied, derived records (DTYPE) refused, one analyte and matrix, and the choices recorded; the standalone converter uses the same code.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auto-detect Subject, Time, and Concentration columns from common naming conventions.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 naming conventions correctly detected for all 3 required columns.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perform 20+ data quality checks with severity levels (ERROR/WARNING/INFO/OK), including interlocks that refuse data it cannot analyse safely.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run_data_quality_check returns structured findings; ERRORs block processing; CDISC-shaped flat files, mixed units, dates or clock times as time, profiles not starting near time zero, and stacked profiles are refused; an empty LLOQ is reported, not a crash.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implement 6 BLQ handling rules compatible with WinNonlin conventions, applied per profile (subject × treatment × period) in time order. Text '&lt;x', BLQ, BQL, BLOQ, ND and NQ shall be handled as BLQ when an LLOQ is set; NS, N/A and missing shall stay missing.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All 6 rules produce correct output per profile regardless of file order; BLQ text handled as specified.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block analysis when ERROR-severity data quality issues are present.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Processing halts with notification when qc$pass == FALSE.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handle file read errors gracefully with user notification.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Malformed files produce error notification, not R crash.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URS-DAT-07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auto-detect study design (single-arm, parallel, crossover) from data structure.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detect_study_design correctly identifies all design types.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FM-DAT-07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5.3 NCA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standard NCA parameters (Cmax, Tmax, AUClast, AUCinf, t½, λz, CL, Vz) using NonCompart.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IV bolus analytical ground truth within tolerance.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3 administration routes: extravascular, IV bolus, IV infusion.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 selection determines parameter names (CL vs CL/F).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2 trapezoidal methods: linear and linear-up/log-down.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Both methods produce valid AUC; log-down more accurate for decay.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estimate λz with NonCompart's best-fit adjusted R² selection. When the selected automatic fit is below the configurable threshold (default 0.70), λz and all parameters derived from it (t½, AUCinf, %extrapolated, AUMCinf, MRT, CL, Vz) shall not be reported for that profile, with a note. The half-life review shall show the same fit as the results.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λz matches analytical value; fits below the threshold give missing λz-dependent parameters (manual selections exempt; CL kept at steady state); review panel half-life and points equal NonCompart's.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provide single-subject NCA with interactive concentration-time plot. A result shall belong to the profile it was computed for.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sNCA produces valid results; plot is interactive; the result is cleared when the profile, data source or data change.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perform batch NCA across all profiles (subject × treatment × period) with summary statistics.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tblNCA returns one row per profile; replicate administrations are separate profiles; summary statistics are given per treatment on screen, in the Excel download and in the Analysis Record.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support steady-state NCA parameters.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SS=TRUE changes CL/Vz calculations appropriately.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compute dose-normalized parameters, each profile divided by its own dose.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CMAX_DN = CMAX/dose of that profile; all expected DN columns created.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URS-NCA-09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support dosing from a data column, per profile, so that a subject may receive different doses in different periods.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Different doses per subject and per period produce the corresponding CL values; doses matched by profile, never by position.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FM-NCA-09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URS-NCA-10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handle edge cases without crashing.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R crash on any edge case input.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FM-NCA-10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parse manually entered time/concentration data from text input.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parse_manual handles all input variants correctly.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URS-NCA-12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allow manual selection of terminal phase data points for λz estimation with validation guards (minimum 2 points, positive slope) and user notification. All dependent parameters shall be recomputed by NonCompart from the selected points.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Recalculated λz matches manual regression; CL/V use NonCompart's unit conversion; negative slope rejected; 2-point warning displayed; selections kept when the analysis is run again.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FM-NCA-12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5.4 BE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perform ANOVA-based average bioequivalence analysis on log-transformed PK parameters, with Sequence, Subject, Period and Treatment as factors (EMA Method A), and the Reference treatment chosen by the user.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Correct model per design; MSE &gt; 0; ratio is Test/Reference for the chosen Reference whatever the treatment names; the compared treatments are shown in the results.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support the designs of the shared design registry: 2×2×2 crossover, 2×2×3 and 2×2×4 full replicate, 2×3×3 partial replicate, parallel groups, and paired comparison (single sequence; no verdict).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Each design produces valid results; replicate administrations enter the model once each; results agree with replicateBE method A on its 30 reference data sets; paired df = N−1; a single treatment order is analysed as paired.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90% confidence intervals for the geometric mean ratio.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 contains true ratio when data has known GMR.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determine the BE conclusion (YES/NO) from the confidence interval, rounded to two decimals, against the acceptance limits. With limits wider than 80–125% the point estimate shall also lie within 80.00–125.00% unless the user switches this off. Untransformed parameters, Tmax and paired comparisons shall receive no verdict.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BE=YES when the rounded CI is within the limits (and the point estimate, when required); difference scale and paired comparisons report 'no verdict'.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support both fixed-effects and mixed-effects (nlme) models, and report which model was fitted.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Mixed model converges; GMR agrees with fixed effects within 5%; a failed mixed fit is reported in the Model column.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generate a forest plot of BE results.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Forest plot displays point estimates and CI bars.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allow configurable CI level and acceptance limits.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Default 90% CI, 80–125% limits; user can modify; column labels follow the chosen level.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URS-BE-08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individual concentration-time profiles per subject in the BE module, with treatment overlay and log-scale option.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Per-subject faceted plot renders for crossover data with treatment colour coding.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FM-BE-08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URS-BE-09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For replicate designs the system shall report the within-subject variability of the Reference (and of the Test where replicated) and the EMA expanded limits it would imply, for information only, without a scaled verdict.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CVwR and CVwT from the period-adjusted model on subjects with the treatment at least twice; ABEL limits match PowerTOST scABEL; values agree with replicateBE method 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FM-BE-09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5.5 Power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compute sample sizes using PowerTOST for average bioequivalence (TOST), EMA ABEL (scABEL), FDA RSABE and FDA NTID. Scaled methods shall use the within-subject CVs of both Test and Reference.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All functions return valid sample sizes for standard inputs; scaled methods pass c(CVwT, CVwR).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power at a given sample size.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power.TOST returns probability; power increases with 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support 5 study designs for sample size calculation, from the same design registry as the bioequivalence analysis.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All 5 designs return valid N; planner and analysis offer the same designs under the same names.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display power curves showing power vs. sample size.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 curve rendered with target power line.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offer the within-subject CV estimated by the bioequivalence analysis of the current data as input for power calculations.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CV = 100·√(exp(MSE) − 1) from the log-scale BE model; not offered from between-subject spread; cleared when new data are processed.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URS-PWR-06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validate power/sample size inputs.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CV=0 causes caught error; extreme CV still computes.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FM-PWR-06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5.6 Export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generate a Complete Analysis Record as a ZIP file.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Available from One Subject, All Subjects and Bioequivalence, and as a Figure Record from Visualize Data. ZIP contains results.xlsx, app_results_reference.csv, settings JSON, the shipped pipeline (nca_pipeline.R), repro script, reproduction check, three-way integrity manifest, summary, and a copy of the source data.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generate a standalone reproducibility R script that uses the app's own data-processing code.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Script parses as valid R; sources the shipped pipeline; re-verifies the source-data SHA-256; compares its output with the app results (MATCH / DIFFERENT); the app runs it when the record is created and reports the outcome.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The system shall export analysis settings as JSON.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JSON includes app version, R version, column mapping, read settings, dose source, and for BE the design selected and analysed, Reference treatment, model, CI level, limits and point-estimate constraint.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compute SHA-256 hashes for data integrity.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digest::digest returns 64-character hex string. data_integrity.txt provides a three-way SHA-256 manifest over source data, analysis settings, and results.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include BE results in the export when performed.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 CI table and ANOVA tables in results.xlsx.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include application and package version information.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APP_VERSION and core package versions included.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URS-EXP-07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manual λz overrides are applied, the Complete Analysis Record shall log profile identifiers, original and adjusted values.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Settings JSON contains lz_overrides. Repro script applies overrides. HTML shows override table.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FM-EXP-07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5.7 Usability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PK parameter abbreviations shall have plain-language labels and contextual help.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&gt;80% of NCA output columns have friendly names; help topics defined.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Data Preparation Guide shall be accessible.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 with scenario tabs and example downloads.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application shall provide a central hub with clear workflow paths.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Landing page shows 6 workflow paths with descriptions.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URS-UI-04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system shall provide actionable error messages for invalid inputs.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validate_mapping returns specific missing field names.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FM-UI-04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5.8 Visualization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960"/>
        <w:gridCol w:w="800"/>
        <w:gridCol w:w="800"/>
      </w:tblGrid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Acceptance Criterion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FMEA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Visualization module shall be inaccessible until a valid dataset has been uploaded and processed. Navigation before upload shall not produce an error.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gate card displayed; no R error; no plot rendered.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FM-VIZ-01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provide an individual profiles plot (spaghetti plot) with colour-by options (Subject, Treatment, Period, Sequence). Unmapped columns shall not appear. A 'None' option shall always be available.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Colour-by dropdown restricted to mapped columns; all options render correctly.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FM-VIZ-02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provide a summary plot with geometric mean and geometric SD error bars. Arithmetic mean shall be available with a visible warning.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GM &lt; AM (Jensen's inequality); error bars render; warning for arithmetic mean.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FM-VIZ-03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When two or more treatment levels are present, the summary plot shall overlay each treatment group as a distinct coloured series with a legend.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Treatment overlay renders automatically for crossover data.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FM-VIZ-04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URS-VIZ-05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Observations with concentration ≤ 0 shall be excluded from geometric mean/SD computation. The count of excluded observations shall be displayed.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Exclusion count shown; GM computed on positives only.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FM-VIZ-05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URS-VIZ-06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module shall support static export in PNG, PDF, and SVG with configurable dimensions (2–20 in) and resolution (150/300/600 DPI). Invalid values shall be rejected.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produces valid files; out-of-range values rejected with message.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FM-VIZ-06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URS-VIZ-07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log10 Y-axis toggle shall be available. Observations with concentration ≤ 0 shall be silently omitted with an informational note.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scale renders without error; note displayed for omitted values.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FM-VIZ-07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URS-VIZ-08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dose-normalisation option (C/Dose) shall be offered when a Dose column is mapped. Zero/NA doses shall produce NA, not Inf/NaN.</w:t>
            </w:r>
          </w:p>
        </w:tc>
        <w:tc>
          <w:tcPr>
            <w:tcW w:type="dxa" w:w="29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 appears only when dose mapped; zero/NA doses handled as NA.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FM-VIZ-08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6. Traceability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Each requirement is tested by one or more tests in validation/validation.R. Run: Rscript validation/validation.R</w:t>
      </w:r>
    </w:p>
    <w:p>
      <w:pPr>
        <w:pStyle w:val="Heading1"/>
      </w:pPr>
      <w:r>
        <w:rPr>
          <w:rFonts w:ascii="Arial" w:cs="Arial" w:eastAsia="Arial" w:hAnsi="Arial"/>
        </w:rPr>
        <w:t xml:space="preserve">7. Configuration Management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Source: github.com/robterheine/ncaassistant. Category A: cosmetic (no revalidation). Category B: functional within scope (targeted). Category C: new functionality (full revalidation).</w:t>
      </w:r>
    </w:p>
    <w:p>
      <w:pPr>
        <w:pStyle w:val="Heading1"/>
      </w:pPr>
      <w:r>
        <w:rPr>
          <w:rFonts w:ascii="Arial" w:cs="Arial" w:eastAsia="Arial" w:hAnsi="Arial"/>
        </w:rPr>
        <w:t xml:space="preserve">8. Regulatory References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ISPE GAMP 5, 2nd Edition (2022)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ICH Q9(R1): Quality Risk Management (2023)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FDA Bioavailability/Bioequivalence Guidance (2014); FDA Statistical Approaches to Establishing Bioequivalence (2026)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EMA Bioequivalence Guideline CPMP/EWP/QWP/1401/98 Rev. 1 (2010)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21 CFR Part 320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>EU Annex 11: Computerised Systems (2011); CDISC SDTM Controlled Terminology, release 2026-03-27</w:t>
      </w:r>
    </w:p>
    <w:p>
      <w:pPr>
        <w:pStyle w:val="Heading1"/>
      </w:pPr>
      <w:r>
        <w:rPr>
          <w:rFonts w:ascii="Arial" w:cs="Arial" w:eastAsia="Arial" w:hAnsi="Arial"/>
        </w:rPr>
        <w:t xml:space="preserve">9.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Area Under the Concentration-time Curve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BE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Bioequivalence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BLQ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Below Limit of Quantification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ADNCA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CDISC ADaM dataset structure for non-compartmental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CDISC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Clinical Data Interchange Standards Consortium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CVwR / CVwT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Within-subject coefficient of variation of the Reference / Test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FMEA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Failure Mode and Effects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GAMP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Good Automated Manufacturing Practice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GMR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Geometric Mean Ratio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NCA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Non-Compartmental Analysis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URS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Requirement Specification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λz</w:t>
            </w:r>
          </w:p>
        </w:tc>
        <w:tc>
          <w:tcPr>
            <w:tcW w:type="dxa" w:w="7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Terminal elimination rate constant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NCA Assistant — User Requirement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C3E5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2026-04-09T15:52:32.153Z</dcterms:created>
  <dcterms:modified xsi:type="dcterms:W3CDTF">2026-04-09T15:52:32.202Z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