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89 requirements across 9 categories: General (8), Data Handling (8), NCA (14), Bioequivalence (11),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