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 xml:space="preserve">NCA Assistant v1.0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Version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1.2</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2026-04-08</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Repo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master (current HEAD at time of execution)</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 xml:space="preserve">This protocol defines the Installation Qualification (IQ), Operational Qualification (OQ), and Performance Qualification (PQ) procedures for NCA Assistant v1.0. It specifies every test to be executed, the expected results, and the acceptance criteria.</w:t>
      </w:r>
    </w:p>
    <w:p>
      <w:pPr>
        <w:spacing w:after="100"/>
      </w:pPr>
      <w:r>
        <w:rPr>
          <w:rFonts w:ascii="Arial" w:cs="Arial" w:eastAsia="Arial" w:hAnsi="Arial"/>
          <w:sz w:val="22"/>
          <w:szCs w:val="22"/>
        </w:rPr>
        <w:t xml:space="preserve">The validation uses a single-script architecture: all automated tests are executed by running Rscript validation/validation.R from the project root. The script generates a PDF validation report (Attachment A) containing full results, environment details, file integrity hashes, and the complete script source code.</w:t>
      </w:r>
    </w:p>
    <w:p>
      <w:pPr>
        <w:pStyle w:val="Heading2"/>
      </w:pPr>
      <w:r>
        <w:rPr>
          <w:rFonts w:ascii="Arial" w:cs="Arial" w:eastAsia="Arial" w:hAnsi="Arial"/>
        </w:rPr>
        <w:t xml:space="preserve">1.1 Deviation Handling</w:t>
      </w:r>
    </w:p>
    <w:p>
      <w:pPr>
        <w:spacing w:after="100"/>
      </w:pPr>
      <w:r>
        <w:rPr>
          <w:rFonts w:ascii="Arial" w:cs="Arial" w:eastAsia="Arial" w:hAnsi="Arial"/>
          <w:sz w:val="22"/>
          <w:szCs w:val="22"/>
        </w:rPr>
        <w:t xml:space="preserve">Any deviation from expected results shall be documented in the Deviations table (Section 7). CRITICAL test failures block qualification. SUPPORTIVE test failures require a documented risk assessment but do not block qualification.</w:t>
      </w:r>
    </w:p>
    <w:p>
      <w:pPr>
        <w:pStyle w:val="Heading2"/>
      </w:pPr>
      <w:r>
        <w:rPr>
          <w:rFonts w:ascii="Arial" w:cs="Arial" w:eastAsia="Arial" w:hAnsi="Arial"/>
        </w:rPr>
        <w:t xml:space="preserve">1.2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Start Date/Time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End Date/Time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Interruptions</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Observations</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pStyle w:val="Heading2"/>
      </w:pPr>
      <w:r>
        <w:rPr>
          <w:rFonts w:ascii="Arial" w:cs="Arial" w:eastAsia="Arial" w:hAnsi="Arial"/>
        </w:rPr>
        <w:t xml:space="preserve">1.3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Operating System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Institution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pStyle w:val="Heading2"/>
      </w:pPr>
      <w:r>
        <w:rPr>
          <w:rFonts w:ascii="Arial" w:cs="Arial" w:eastAsia="Arial" w:hAnsi="Arial"/>
        </w:rPr>
        <w:t xml:space="preserve">1.4 Document Control</w:t>
      </w:r>
    </w:p>
    <w:p>
      <w:pPr>
        <w:spacing w:after="100"/>
      </w:pPr>
      <w:r>
        <w:rPr>
          <w:rFonts w:ascii="Arial" w:cs="Arial" w:eastAsia="Arial" w:hAnsi="Arial"/>
          <w:sz w:val="22"/>
          <w:szCs w:val="22"/>
        </w:rPr>
        <w:t xml:space="preserve">The validated configuration corresponds to the master branch of the Git repository github.com/robterheine/ncaassistant at the time of execution. The exact commit hash should be recorded in the test environment table above.</w:t>
      </w:r>
    </w:p>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 xml:space="preserve">This section verifies that the application and its dependencies are correctly installed. 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R.version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IQ-02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NonCompart installed</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requireNamespace</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TRUE</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IQ-04</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nlme installed</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requireNamespace</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TRUE</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IQ-06</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app.R parses</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parse(file='app.R')</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No errors</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all automated tests by running from the project root: Rscript validation/validation.R</w:t>
      </w:r>
    </w:p>
    <w:p>
      <w:pPr>
        <w:spacing w:after="100"/>
      </w:pPr>
      <w:r>
        <w:rPr>
          <w:rFonts w:ascii="Arial" w:cs="Arial" w:eastAsia="Arial" w:hAnsi="Arial"/>
          <w:sz w:val="22"/>
          <w:szCs w:val="22"/>
        </w:rPr>
        <w:t xml:space="preserve">Attach the generated validation_report.pdf as Attachment A to this protocol.</w:t>
      </w:r>
    </w:p>
    <w:p>
      <w:pPr>
        <w:pStyle w:val="Heading2"/>
      </w:pPr>
      <w:r>
        <w:rPr>
          <w:rFonts w:ascii="Arial" w:cs="Arial" w:eastAsia="Arial" w:hAnsi="Arial"/>
        </w:rPr>
        <w:t xml:space="preserve">3.1 Data Handling (OQ) (44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DAT-DQ-02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DQ: All-NA conc ERROR</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All NA conc</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ERROR</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DAT-DQ-04</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DQ: Duplicate times ERROR</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Dup time=1</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ERROR duplicate</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DAT-DQ-06</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DQ: Sparse subject WARNING</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1 obs subject</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WARNING &lt;3</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DQ: Negative conc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Conc=-1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WARNING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DAT-DQ-08</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DQ: All-zero WARNING</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All zero</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WARNING all-zero</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DAT-DQ-10</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DQ: BLQ with LLOQ WARNING</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BLQ with lloq=0.5</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WARNING only</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DAT-DQ-12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DQ: Incomplete crossover WARNING</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Subject B missing R</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WARNING</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DAT-BLQ-01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BLQ Rule 1: pre=0 post=NA</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Rule 1 on 7-pt profile</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[0,0,5,10,4,NA,NA]</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DAT-BLQ-03</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BLQ Rule 3: all=NA</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Rule 3</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BLQ=NA</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BLQ Rule 4: all=LLOQ/2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BLQ=0.5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DAT-BLQ-05</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BLQ Rule 5: pre-Cmax=0 post=NA</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Rule 5</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Pre [0,0] post [NA,NA]</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BLQ Rule 6: pre=LLOQ/2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Pre [0.5,0.5]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DAT-BLQ-07</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BLQ: Multi-subject independent</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Two subjects Rule 1</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Independent processing</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DAT-DES-01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Design: single-arm</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No treatment col</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single_arm</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DAT-AD-STA-S</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Auto-detect subject: standard convention</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auto_detect_columns with standard naming</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Correct subject column detected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Auto-detect time: standard convention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auto_detect_columns with standard naming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Correct time column detected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DAT-AD-STA-C</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Auto-detect concentration: standard convention</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auto_detect_columns with standard naming</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Correct concentration column detected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Auto-detect subject: cdisc convention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auto_detect_columns with cdisc naming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Correct subject column detected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DAT-AD-CDI-T</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Auto-detect time: cdisc convention</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auto_detect_columns with cdisc naming</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Correct time column detected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Auto-detect concentration: cdisc convention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auto_detect_columns with cdisc naming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Correct concentration column detected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DAT-AD-WIN-S</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Auto-detect subject: winnonlin convention</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auto_detect_columns with winnonlin naming</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Correct subject column detected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DAT-AD-WIN-T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Auto-detect time: winnonlin convention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auto_detect_columns with winnonlin naming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Correct time column detected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DAT-AD-WIN-C</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Auto-detect concentration: winnonlin convention</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auto_detect_columns with winnonlin naming</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Correct concentration column detected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Auto-detect subject: dutch convention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auto_detect_columns with dutch naming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Correct subject column detected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DAT-AD-DUT-T</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Auto-detect time: dutch convention</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auto_detect_columns with dutch naming</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Correct time column detected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Auto-detect concentration: dutch convention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auto_detect_columns with dutch naming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Correct concentration column detected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DAT-AD-LOW-S</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Auto-detect subject: lowercase convention</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auto_detect_columns with lowercase naming</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Correct subject column detected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Auto-detect time: lowercase convention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auto_detect_columns with lowercase naming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Correct time column detected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DAT-AD-LOW-C</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Auto-detect concentration: lowercase convention</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auto_detect_columns with lowercase naming</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Correct concentration column detected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Auto-detect subject: abbrev convention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auto_detect_columns with abbrev naming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Correct subject column detected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DAT-AD-ABB-T</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Auto-detect time: abbrev convention</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auto_detect_columns with abbrev naming</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Correct time column detected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Auto-detect concentration: abbrev convention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auto_detect_columns with abbrev naming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Correct concentration column detected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DAT-AD-MIX-S</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Auto-detect subject: mixed convention</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auto_detect_columns with mixed naming</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Correct subject column detected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Auto-detect time: mixed convention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auto_detect_columns with mixed naming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Correct time column detected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DAT-AD-MIX-C</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Auto-detect concentration: mixed convention</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auto_detect_columns with mixed naming</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Correct concentration column detected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URS-DAT-02</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pStyle w:val="Heading2"/>
      </w:pPr>
      <w:r>
        <w:rPr>
          <w:rFonts w:ascii="Arial" w:cs="Arial" w:eastAsia="Arial" w:hAnsi="Arial"/>
        </w:rPr>
        <w:t xml:space="preserve">3.2 Non-Compartmental Analysis (OQ/PQ) (39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NCA-GT-02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IV Bolus: lz=0.1</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Analytical ke=0.1</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LAMZ=0.1</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NCA-GT-04</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IV Bolus: AUCinf=1000</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C0/ke=1000</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AUCIFO=1000</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NCA-GT-06</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IV Bolus: Vz=5</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CL/ke</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VZO=5</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NCA-TH-02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Theoph: Cmax&gt;0</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All CMAX&gt;0</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All positive</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NCA-TH-04</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Theoph: lz estimable</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Count valid LAMZ</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&gt;=10/12</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NCA-IN-02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Indometh: CLO present</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IV-&gt;CLO</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CLO present</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NCA-LZ-01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Lambda_z: best R2adj</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Mono-exp estimate_lambda_z</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lz=0.1 R2&gt;0.99</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NCA-TR-01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Trapezoidal: Linear triangle</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Triangle AUC last row=10</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10</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NCA-RT-01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Extravascular: CLFO</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EV-&gt;CLFO</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Present</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NCA-RT-03</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Dose affects CL not Cmax</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Double dose</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Cmax same CL diff</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NCA-DN-02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Dose norm: all DN cols</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Check DN columns</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All present</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NCA-SS-02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SS: AUCTAU absent when FALSE</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SS=FALSE</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AUCTAU absent</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NCA-ED-02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Edge: all zero</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All zero no crash</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Returns result</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Single obs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NCA-ED-04</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Edge: unsorted</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Unsorted-&gt;Cmax=10</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Correct Cmax</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NCA-ED-06</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Edge: large conc</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1e8 concentration</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Cmax=1e8</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NCA-ME-02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Manual: CRLF</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CRLF</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ok=TRUE</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NCA-ME-04</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Manual: mismatch</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3 vs 2</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ok=FALSE</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NCA-ME-06</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Manual: &lt;3 points</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2 points</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ok=FALSE</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NCA-XO-01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Crossover: composite key</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Crossover CSV</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Subject+Treatment cols</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pStyle w:val="Heading2"/>
      </w:pPr>
      <w:r>
        <w:rPr>
          <w:rFonts w:ascii="Arial" w:cs="Arial" w:eastAsia="Arial" w:hAnsi="Arial"/>
        </w:rPr>
        <w:t xml:space="preserve">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BE-AN-02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BE: CI contains 100%</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True GMR=1</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CI contains 100</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BE-AN-04</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BE: MSE&gt;0</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MSE check</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MSE&gt;0</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BE-MX-01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BE mixed: converges</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nlme::lme</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Not NULL</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BE-FO-01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BE fixed-order: paired</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Fixed-order vs paired</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Within 0.5%</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BE-PL-01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Pipeline: T/R counts</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CSV-&gt;NCA-&gt;T/R</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Equal</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pStyle w:val="Heading2"/>
      </w:pPr>
      <w:r>
        <w:rPr>
          <w:rFonts w:ascii="Arial" w:cs="Arial" w:eastAsia="Arial" w:hAnsi="Arial"/>
        </w:rPr>
        <w:t xml:space="preserve">3.4 Power &amp; Sample Size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exact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PWR-CV-01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Higher CV -&gt; larger N</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exact</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More subjects</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exact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PWR-PN-01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Power increases with N</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exact</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P40&gt;P20</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PWR-HV-02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RSABE works</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sampleN.RSABE</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Valid N</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PWR-DP-01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DP works</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sampleN.dp with doses</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Valid N</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PWR-DES-22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Design 2x2 computes sample size</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sampleN.TOST with design='2x2'</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Valid sample size &gt; 0</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URS-PWR-03</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Design 2x2x3 computes sample size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sampleN.TOST with design='2x2x3'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Valid sample size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PWR-DES-233</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Design 2x3x3 computes sample size</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sampleN.TOST with design='2x3x3'</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Valid sample size &gt; 0</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URS-PWR-03</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Design 2x2x4 computes sample size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sampleN.TOST with design='2x2x4'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Valid sample size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PWR-DES-parallel</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Design parallel computes sample size</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sampleN.TOST with design='parallel'</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Valid sample size &gt; 0</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URS-PWR-03</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pStyle w:val="Heading2"/>
      </w:pPr>
      <w:r>
        <w:rPr>
          <w:rFonts w:ascii="Arial" w:cs="Arial" w:eastAsia="Arial" w:hAnsi="Arial"/>
        </w:rPr>
        <w:t xml:space="preserve">3.5 Export &amp; Reproducibility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EXP-DT-02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Determinism: summary</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Summary twice</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Identical</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EXP-VR-02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APP_VERSION is 1.0</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=='1.0'</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1.0</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EXP-SH-01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SHA-256 computable</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digest SHA-256</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64-char hex</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EXP-RS-02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Repro script: key settings</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Check contents</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Key elements present</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EXP-SM-02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Summary: Mean&gt;0</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Mean Cmax</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&gt;0</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EXP-CD-01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CDISC names</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cdisc_pk_names()</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&gt;10 rows</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EXP-FM-02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fmt_pk: NA-&gt;dash</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fmt_pk(NA) returns UTF-8 em-dash bytes</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e2 80 94</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pStyle w:val="Heading2"/>
      </w:pPr>
      <w:r>
        <w:rPr>
          <w:rFonts w:ascii="Arial" w:cs="Arial" w:eastAsia="Arial" w:hAnsi="Arial"/>
        </w:rPr>
        <w:t xml:space="preserve">3.6 Usability &amp; Code Quality (OQ) (31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UI-VM-01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validate: missing-&gt;invalid</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No subject</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invalid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UI-VM-03</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validate: empty-&gt;invalid</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Empty subject</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invalid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UI-CQ-02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No browser()</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Grep browser()</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None</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No persistent storage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No database/persistent storage in app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UI-VER-01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APP_VERSION displayed (GEN-05)</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APP_VERSION referenced in UI rendering code</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Version in UI</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UI-ERR-01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File read errors handled (DAT-06)</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tryCatch and error notification in upload</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Error handling present</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UI-BEL-01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Configurable BE limits (BE-07)</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BE limits configurable via input</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be_lower/be_upper in code</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 CV bridge to power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Power module references NCA-derived CV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CV bridge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UI-JSN-01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Settings exported as JSON (EXP-03)</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JSON export in export_record.R</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toJSON present</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UI-HUB-01</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Landing page hub (UI-03)</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Hub/landing page in app.R</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Hub code present</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Help topic exists: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grep for help_data_format in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help_data_format 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UI-HLP-2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Help topic exists: help_column_mapping</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grep for help_column_mapping in help_system.R</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help_column_mapping defined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URS-UI-01</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Help topic exists: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grep for help_lloq in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help_lloq 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UI-HLP-4</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Help topic exists: help_blq_rules</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grep for help_blq_rules in help_system.R</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help_blq_rules defined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URS-UI-01</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Help topic exists: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grep for help_what_is_nca in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help_what_is_nca 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UI-HLP-6</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Help topic exists: help_admin_route</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grep for help_admin_route in help_system.R</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help_admin_route defined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URS-UI-01</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Help topic exists: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grep for help_trapezoidal in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help_trapezoidal 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UI-HLP-8</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Help topic exists: help_lambda_z</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grep for help_lambda_z in help_system.R</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help_lambda_z defined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URS-UI-01</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Help topic exists: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grep for help_r2adj in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help_r2adj 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UI-HLP-10</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Help topic exists: help_steady_state</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grep for help_steady_state in help_system.R</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help_steady_state defined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URS-UI-01</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Help topic exists: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grep for help_dose_norm in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help_dose_norm 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UI-HLP-12</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Help topic exists: help_what_is_be</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grep for help_what_is_be in help_system.R</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help_what_is_be defined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URS-UI-01</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Help topic exists: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grep for help_log_transform in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help_log_transform 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UI-HLP-14</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Help topic exists: help_ci_level</w:t>
            </w:r>
          </w:p>
        </w:tc>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grep for help_ci_level in help_system.R</w:t>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help_ci_level defined</w:t>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URS-UI-01</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Help topic exists: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grep for help_be_limits in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help_be_limits 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r>
        <w:br w:type="page"/>
      </w:r>
    </w:p>
    <w:p>
      <w:pPr>
        <w:pStyle w:val="Heading1"/>
      </w:pPr>
      <w:r>
        <w:rPr>
          <w:rFonts w:ascii="Arial" w:cs="Arial" w:eastAsia="Arial" w:hAnsi="Arial"/>
        </w:rPr>
        <w:t xml:space="preserve">4. Manual Tests (PQ)</w:t>
      </w:r>
    </w:p>
    <w:p>
      <w:pPr>
        <w:spacing w:after="100"/>
      </w:pPr>
      <w:r>
        <w:rPr>
          <w:rFonts w:ascii="Arial" w:cs="Arial" w:eastAsia="Arial" w:hAnsi="Arial"/>
          <w:sz w:val="22"/>
          <w:szCs w:val="22"/>
        </w:rPr>
        <w:t xml:space="preserve">The following tests require execution via the application UI. For each test, follow the procedure, record observations, and mark PASS or FAIL.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MAN-02</w:t>
            </w:r>
          </w:p>
        </w:tc>
        <w:tc>
          <w:tcPr>
            <w:tcW w:type="dxa" w:w="17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CSV upload</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MAN-04</w:t>
            </w:r>
          </w:p>
        </w:tc>
        <w:tc>
          <w:tcPr>
            <w:tcW w:type="dxa" w:w="17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Column auto-detect UI</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MAN-06</w:t>
            </w:r>
          </w:p>
        </w:tc>
        <w:tc>
          <w:tcPr>
            <w:tcW w:type="dxa" w:w="17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BLQ rule selection</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MAN-08</w:t>
            </w:r>
          </w:p>
        </w:tc>
        <w:tc>
          <w:tcPr>
            <w:tcW w:type="dxa" w:w="17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Lambda_z inspector</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MAN-10</w:t>
            </w:r>
          </w:p>
        </w:tc>
        <w:tc>
          <w:tcPr>
            <w:tcW w:type="dxa" w:w="17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Batch grid plot</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MAN-12</w:t>
            </w:r>
          </w:p>
        </w:tc>
        <w:tc>
          <w:tcPr>
            <w:tcW w:type="dxa" w:w="17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BE CI table</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MAN-14</w:t>
            </w:r>
          </w:p>
        </w:tc>
        <w:tc>
          <w:tcPr>
            <w:tcW w:type="dxa" w:w="17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Analysis Record</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MAN-16</w:t>
            </w:r>
          </w:p>
        </w:tc>
        <w:tc>
          <w:tcPr>
            <w:tcW w:type="dxa" w:w="17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Methods page</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MAN-18</w:t>
            </w:r>
          </w:p>
        </w:tc>
        <w:tc>
          <w:tcPr>
            <w:tcW w:type="dxa" w:w="17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Help popovers</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MAN-20</w:t>
            </w:r>
          </w:p>
        </w:tc>
        <w:tc>
          <w:tcPr>
            <w:tcW w:type="dxa" w:w="17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Responsive layout</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MAN-22</w:t>
            </w:r>
          </w:p>
        </w:tc>
        <w:tc>
          <w:tcPr>
            <w:tcW w:type="dxa" w:w="17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BE half-life review</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MAN-24</w:t>
            </w:r>
          </w:p>
        </w:tc>
        <w:tc>
          <w:tcPr>
            <w:tcW w:type="dxa" w:w="17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HTML summary override table</w:t>
            </w:r>
          </w:p>
        </w:tc>
        <w:tc>
          <w:tcPr>
            <w:tcW w:type="dxa" w:w="2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0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6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5. URS Traceability Matrix</w:t>
      </w:r>
    </w:p>
    <w:p>
      <w:pPr>
        <w:spacing w:after="100"/>
      </w:pPr>
      <w:r>
        <w:rPr>
          <w:rFonts w:ascii="Arial" w:cs="Arial" w:eastAsia="Arial" w:hAnsi="Arial"/>
          <w:sz w:val="22"/>
          <w:szCs w:val="22"/>
        </w:rPr>
        <w:t xml:space="preserve">Bidirectional traceability: every URS requirement maps to one or more tests, and every test references a URS requirement.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IDs (Automated)</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IQ-01, IQ-02, IQ-03, IQ-04, IQ-05, IQ-06, DAT-DQ-01, DAT-DQ-02, DAT-DQ-03, DAT-DQ-04, DAT-DQ-05, DAT-DQ-06, DAT-DQ-07, DAT-DQ-08, DAT-DQ-09, DAT-DQ-10, DAT-DQ-11, DAT-DQ-12, DAT-DQ-13, DAT-BLQ-01, DAT-BLQ-02, DAT-BLQ-03, DAT-BLQ-04, DAT-BLQ-05, DAT-BLQ-06, DAT-BLQ-07, DAT-BLQ-08, DAT-DES-01, DAT-DES-02, NCA-GT-01, NCA-GT-02, NCA-GT-03, NCA-GT-04, NCA-GT-05, NCA-GT-06, NCA-TH-01, NCA-TH-02, NCA-TH-03, NCA-TH-04, NCA-IN-01, NCA-IN-02, NCA-AG-01, NCA-LZ-01, NCA-LZ-02, NCA-TR-01, NCA-TR-02, NCA-RT-01, NCA-RT-02, NCA-RT-03, NCA-DN-01, NCA-DN-02, NCA-SS-01, NCA-SS-02, NCA-ED-01, NCA-ED-02, NCA-ED-03, NCA-ED-04, NCA-ED-05, NCA-ED-06, NCA-ME-01, NCA-ME-02, NCA-ME-03, NCA-ME-04, NCA-ME-05, NCA-ME-06, NCA-ME-07, NCA-XO-01, NCA-XO-02, BE-AN-01, BE-AN-02, BE-AN-03, BE-AN-04, BE-NE-01, BE-MX-01, BE-MX-02, BE-FO-01, BE-FO-02, BE-PL-01, OQ-79, OQ-80, OQ-81, OQ-82, OQ-83, OQ-84, PWR-SS-01, PWR-CV-01, PWR-CV-02, PWR-PN-01, PWR-HV-01, PWR-HV-02, PWR-NT-01, PWR-DP-01, PWR-IV-01, EXP-DT-01, EXP-DT-02, EXP-VR-01, EXP-VR-02, EXP-VR-03, EXP-SH-01, EXP-RS-01, EXP-RS-02, EXP-SM-01, EXP-SM-02, EXP-SM-03, EXP-CD-01, EXP-FM-01, EXP-FM-02, UI-AB-01, UI-VM-01, UI-VM-02, UI-VM-03, UI-CQ-01, UI-CQ-02, UI-NS-01, UI-VER-01, UI-BLK-01, UI-ERR-01, UI-PSD-01, UI-BEL-01, UI-CVB-01, UI-JSN-01, UI-BER-01, UI-HUB-01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MAN-01, MAN-02, MAN-03, MAN-04, MAN-05, MAN-06, MAN-07, MAN-08, MAN-09, MAN-10, MAN-11, MAN-12, MAN-13, MAN-14, MAN-15, MAN-16, MAN-17, MAN-18, MAN-19, MAN-20, MAN-21, MAN-22, MAN-23,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147</w:t>
            </w:r>
          </w:p>
        </w:tc>
      </w:tr>
      <w:tr>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URS-DAT-02</w:t>
            </w:r>
          </w:p>
        </w:tc>
        <w:tc>
          <w:tcPr>
            <w:tcW w:type="dxa" w:w="55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DAT-AD-STA-S, DAT-AD-STA-T, DAT-AD-STA-C, DAT-AD-CDI-S, DAT-AD-CDI-T, DAT-AD-CDI-C, DAT-AD-WIN-S, DAT-AD-WIN-T, DAT-AD-WIN-C, DAT-AD-DUT-S, DAT-AD-DUT-T, DAT-AD-DUT-C, DAT-AD-LOW-S, DAT-AD-LOW-T, DAT-AD-LOW-C, DAT-AD-ABB-S, DAT-AD-ABB-T, DAT-AD-ABB-C, DAT-AD-MIX-S, DAT-AD-MIX-T, DAT-AD-MIX-C</w:t>
            </w:r>
          </w:p>
        </w:tc>
        <w:tc>
          <w:tcPr>
            <w:tcW w:type="dxa" w:w="1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w:t>
            </w:r>
          </w:p>
        </w:tc>
        <w:tc>
          <w:tcPr>
            <w:tcW w:type="dxa" w:w="1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 xml:space="preserve">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PWR-DES-22, PWR-DES-223, PWR-DES-233, PWR-DES-224, PWR-DES-parallel</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5</w:t>
            </w:r>
          </w:p>
        </w:tc>
      </w:tr>
      <w:tr>
        <w:tc>
          <w:tcPr>
            <w:tcW w:type="dxa" w:w="18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URS-UI-01</w:t>
            </w:r>
          </w:p>
        </w:tc>
        <w:tc>
          <w:tcPr>
            <w:tcW w:type="dxa" w:w="556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UI-HLP-1, UI-HLP-2, UI-HLP-3, UI-HLP-4, UI-HLP-5, UI-HLP-6, UI-HLP-7, UI-HLP-8, UI-HLP-9, UI-HLP-10, UI-HLP-11, UI-HLP-12, UI-HLP-13, UI-HLP-14, UI-HLP-15</w:t>
            </w:r>
          </w:p>
        </w:tc>
        <w:tc>
          <w:tcPr>
            <w:tcW w:type="dxa" w:w="1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w:t>
            </w:r>
          </w:p>
        </w:tc>
        <w:tc>
          <w:tcPr>
            <w:tcW w:type="dxa" w:w="1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15</w:t>
            </w:r>
          </w:p>
        </w:tc>
      </w:tr>
    </w:tbl>
    <w:p>
      <w:r>
        <w:br w:type="page"/>
      </w:r>
    </w:p>
    <w:p>
      <w:pPr>
        <w:pStyle w:val="Heading1"/>
      </w:pPr>
      <w:r>
        <w:rPr>
          <w:rFonts w:ascii="Arial" w:cs="Arial" w:eastAsia="Arial" w:hAnsi="Arial"/>
        </w:rPr>
        <w:t xml:space="preserve">6. Deviations</w:t>
      </w:r>
    </w:p>
    <w:p>
      <w:pPr>
        <w:spacing w:after="100"/>
      </w:pPr>
      <w:r>
        <w:rPr>
          <w:rFonts w:ascii="Arial" w:cs="Arial" w:eastAsia="Arial" w:hAnsi="Arial"/>
          <w:sz w:val="22"/>
          <w:szCs w:val="22"/>
        </w:rPr>
        <w:t xml:space="preserve">Record all deviations from expected results. Each deviation requires a risk assessment and resolution.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7. Summary and Approval</w:t>
      </w:r>
    </w:p>
    <w:p>
      <w:pPr>
        <w:pStyle w:val="Heading2"/>
      </w:pPr>
      <w:r>
        <w:rPr>
          <w:rFonts w:ascii="Arial" w:cs="Arial" w:eastAsia="Arial" w:hAnsi="Arial"/>
        </w:rPr>
        <w:t xml:space="preserve">7.1 Test Totals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188</w:t>
            </w:r>
          </w:p>
        </w:tc>
      </w:tr>
      <w:tr>
        <w:tc>
          <w:tcPr>
            <w:tcW w:type="dxa" w:w="468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Automated tests</w:t>
            </w:r>
          </w:p>
        </w:tc>
        <w:tc>
          <w:tcPr>
            <w:tcW w:type="dxa" w:w="468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164</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Manual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24</w:t>
            </w:r>
          </w:p>
        </w:tc>
      </w:tr>
      <w:tr>
        <w:tc>
          <w:tcPr>
            <w:tcW w:type="dxa" w:w="468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CRITICAL tests</w:t>
            </w:r>
          </w:p>
        </w:tc>
        <w:tc>
          <w:tcPr>
            <w:tcW w:type="dxa" w:w="468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123</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SUPPORTIVE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41</w:t>
            </w:r>
          </w:p>
        </w:tc>
      </w:tr>
    </w:tbl>
    <w:p>
      <w:pPr>
        <w:pStyle w:val="Heading2"/>
      </w:pPr>
      <w:r>
        <w:rPr>
          <w:rFonts w:ascii="Arial" w:cs="Arial" w:eastAsia="Arial" w:hAnsi="Arial"/>
        </w:rPr>
        <w:t xml:space="preserve">7.2 Acceptance Criteria</w:t>
      </w:r>
    </w:p>
    <w:p>
      <w:pPr>
        <w:spacing w:after="100"/>
      </w:pPr>
      <w:r>
        <w:rPr>
          <w:rFonts w:ascii="Arial" w:cs="Arial" w:eastAsia="Arial" w:hAnsi="Arial"/>
          <w:sz w:val="22"/>
          <w:szCs w:val="22"/>
        </w:rPr>
        <w:t xml:space="preserve">Overall acceptance: ALL CRITICAL tests must pass. SUPPORTIVE test failures require documented risk assessment (Section 6) but do not block qualification.</w:t>
      </w:r>
    </w:p>
    <w:p>
      <w:pPr>
        <w:pStyle w:val="Heading2"/>
      </w:pPr>
      <w:r>
        <w:rPr>
          <w:rFonts w:ascii="Arial" w:cs="Arial" w:eastAsia="Arial" w:hAnsi="Arial"/>
        </w:rPr>
        <w:t xml:space="preserve">7.3 Revalidation Triggers</w:t>
      </w:r>
    </w:p>
    <w:p>
      <w:pPr>
        <w:spacing w:after="100"/>
      </w:pPr>
      <w:r>
        <w:rPr>
          <w:rFonts w:ascii="Arial" w:cs="Arial" w:eastAsia="Arial" w:hAnsi="Arial"/>
          <w:sz w:val="22"/>
          <w:szCs w:val="22"/>
        </w:rPr>
        <w:t xml:space="preserve">Revalidation is required upon: R major version upgrade, core package updates (NonCompart, PowerTOST, nlme), functional code changes (Category B/C), or deployment environment changes.</w:t>
      </w:r>
    </w:p>
    <w:p>
      <w:pPr>
        <w:pStyle w:val="Heading2"/>
      </w:pPr>
      <w:r>
        <w:rPr>
          <w:rFonts w:ascii="Arial" w:cs="Arial" w:eastAsia="Arial" w:hAnsi="Arial"/>
        </w:rPr>
        <w:t xml:space="preserve">7.4 Final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Validation outcome: □ QUALIFIED   □ NOT QUALIFIED   □ QUALIFIED WITH DEVIATIONS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color w:val="999999"/>
        <w:sz w:val="16"/>
        <w:szCs w:val="16"/>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v1.0 — IQ/OQ/PQ Protocol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449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2026-04-08T09:53:38.003Z</dcterms:created>
  <dcterms:modified xsi:type="dcterms:W3CDTF">2026-04-08T09:53:38.003Z</dcterms:modified>
</cp:coreProperties>
</file>

<file path=docProps/custom.xml><?xml version="1.0" encoding="utf-8"?>
<Properties xmlns="http://schemas.openxmlformats.org/officeDocument/2006/custom-properties" xmlns:vt="http://schemas.openxmlformats.org/officeDocument/2006/docPropsVTypes"/>
</file>