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92 requirements across 9 categories: General (8), Data Handling (9), NCA (15), Bioequivalence (12),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 DSR-01, DSR-08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 DSR-05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 ADV-02, ADV-03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 DSR-04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 ADV-02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 ADV-05, DSR-07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 ADV-06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 DSR-02, DSR-03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 ADV-12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 ADV-10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 ADV-08, ADV-11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 ADV-04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 DSR-06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 DSR-09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 ADV-07, ADV-09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Markup or script in the data file (for example in a column name) is copied into a record's HTML summary and runs when a recipient opens it outside the app: a record becomes a carrier of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from the data file is escaped in the Analysis Record and Figure Record summaries; in controlled mode the Records page shows the summary in a sandboxed frame. Test: ADV-01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are left out because the result looked unfavourable (a results-driven exclusion), which biases the bioequivalence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where the list asks for one; an exclusion made after bioequivalence results is marked; the comparison is repeated without the exclusions; the ICH M13A checks use the data before exclusions. Tests: EXC-07, EXC-08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exclusion is undocumented or lost (after new data or a changed column mapping), so a result cannot be traced or reproduced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register goes into the downloads and the Analysis Record and is reproduced from it; an exclusion that no longer matches is reported; loading new data asks first and offers a download; in controlled mode each change is audited first. Tests: EXC-03, EXC-05, EXC-09, EXC-10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Leaving out a sample changes results in an unexpected way (BLQ rule, pre-dose sample, partial AUC across the excluded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excluded sample is treated as never collected, before the BLQ rule; the dialog names a Cmax, Tlast or pre-dose sample and asks to confirm a pre-dose one. Tests: EXC-01, EXC-02, EXC-06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half-life flag misleads: a poor fit goes unflagged, or a flag is taken as a reason to leave data 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 limits are tested at their boundaries; flags never change a value or exclude data; the rules in force are recorded. Tests: HLF-01 to HLF-06</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App launches via shiny::runApp() and renders in Chrome/Firefox/Edge; the fonts are served by the app, so the page loads nothing from other hosts.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 a record's folder in the temporary directory is removed also when creating the record fails.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and the differing packages are listed; the validation script installs no packages;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 in a decimal-comma file a point value that cannot be a thousands separator (0.250, 0.25) is refused; a UTF-8 byte-order mark is not part of the first column name; an ADNCA dataset without APERIOD converts.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 negative (pre-dose) times and an unmapped Analyte, PARAMCD or Matrix column that changes within a subject are ERRORs.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 '&lt;x' entries with different limits give no suggested LLOQ, and the limits are listed with a warning.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let the user leave out a sample or a whole profile only with a documented reason, and keep every exclusion traceable and reversible.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for Other, protocol, dosing and adverse-event reasons; an excluded sample gives the result of deleting it from the file under every BLQ rule; exclusions are matched by profile and time, and one that no longer matches the data is reported, never dropped; a profile exclusion keeps its NCA result and leaves the profile out of summaries, mean curves and bioequivalence; exclusions can be restored and nothing is deleted; the register is in the downloads and the Analysis Record and is reproduced from it; in controlled mode each change is written to the audit trail first; the ICH M13A checks use the data before exclusions.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 FM-43, FM-44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 a profile with one measurable concentration gets Cmax, Tmax and AUClast.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with Cmax and Cmin taken from 0 to τ and a note when the highest concentration lies after τ; parameters extrapolated to infinity and single-dose Vss and MRT are left empty;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 at steady state AUCtau, Cavg, Cmin and Ctau are dose-normalised too.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 a profile without a dose stops the analysis and the subject is named.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 values set by a BLQ rule are not offered and never fitted.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flag half-life fits that break quality rules the user can edit, without changing any value.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By default a fit is flagged when its points span less than 2 half-lives, when AUC to infinity is more than 20% extrapolated (not at steady state) or, after an IV bolus, more than 20% back-extrapolated; the limits themselves pass; rules can be switched off or changed, and are recorded and reproduced; fits on points chosen by hand are flagged too; flags are counted in summaries and bioequivalence and exclude nothing.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FM-45</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 a partial AUC that is missing because the interval passes a profile's last measurable concentration gives no estimate and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When data are excluded, the system shall repeat the bioequivalence analysis without the exclusions as a sensitivity analysis.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comparison without exclusions is shown next to the primary result, a note says when the ICH M13A checks would differ with the exclusions, and both are in the downloads and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 the simulation-based methods fix the random seed, so the same inputs give the same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 Text taken from the data file (column names, units, subject IDs) appears in the HTML summaries as text, never as markup.</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 the script says whether R and the package versions are those of the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 the examples also load in one click on the Upload page and can be downloaded unchanged there; only bundled files can be loaded or downloaded by name; a record made from an example says so.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Exclusion count shown; GM computed on positives only; a time point where more than half of the concentrations are &lt;= 0 gets no geometric mean, and differing sampling times between profiles are reported.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 signing out also ends the sign-in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counted in UTC;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