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Arial" w:cs="Arial" w:eastAsia="Arial" w:hAnsi="Arial"/>
          <w:b/>
          <w:bCs/>
          <w:color w:val="2C3E50"/>
          <w:sz w:val="48"/>
          <w:szCs w:val="48"/>
        </w:rPr>
        <w:t xml:space="preserve">NCA Assistant</w:t>
      </w:r>
    </w:p>
    <w:p>
      <w:pPr>
        <w:spacing w:after="100"/>
        <w:jc w:val="center"/>
      </w:pPr>
      <w:r>
        <w:rPr>
          <w:rFonts w:ascii="Arial" w:cs="Arial" w:eastAsia="Arial" w:hAnsi="Arial"/>
          <w:color w:val="2C3E50"/>
          <w:sz w:val="36"/>
          <w:szCs w:val="36"/>
        </w:rPr>
        <w:t xml:space="preserve">User Requirement Specification</w:t>
      </w:r>
    </w:p>
    <w:p>
      <w:pPr>
        <w:spacing w:after="400"/>
        <w:jc w:val="center"/>
      </w:pPr>
      <w:r>
        <w:rPr>
          <w:rFonts w:ascii="Arial" w:cs="Arial" w:eastAsia="Arial" w:hAnsi="Arial"/>
          <w:color w:val="7F8C8D"/>
          <w:sz w:val="28"/>
          <w:szCs w:val="28"/>
        </w:rPr>
        <w:t xml:space="preserve">Draft — adapt for local 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 ID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NCA-URS-001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Author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Radboud Applied Pharmacometrics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September 2026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GAMP 5 Category 5</w:t>
            </w:r>
          </w:p>
        </w:tc>
      </w:tr>
    </w:tbl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Purpose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>This User Requirement Specification defines the functional and quality requirements for NCA Assistant v1.4.0, an open-source R/Shiny application for pharmacokinetic non-compartmental analysis, bioequivalence testing, data visualization, and study planning.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>This URS covers 58 requirements across 8 categories: General (5), Data Handling (7), NCA (12), Bioequivalence (9), Power (6), Export (7), Usability (4), and Visualization (8).</w:t>
      </w:r>
    </w:p>
    <w:p>
      <w:pPr>
        <w:pStyle w:val="Heading1"/>
      </w:pPr>
      <w:r>
        <w:rPr>
          <w:rFonts w:ascii="Arial" w:cs="Arial" w:eastAsia="Arial" w:hAnsi="Arial"/>
        </w:rPr>
        <w:t xml:space="preserve">2. System Description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>NCA Assistant v1.4.0 provides six workflow paths accessible from a central hub: (1) Plan a Study, (2) Upload &amp; Check Data (flat files, or CDISC ADNCA datasets through a separate upload option), (3) Visualize Data, (4) Analyze One Subject at a Time, (5) Analyze All Subjects, (6) Bioequivalence Testing. The data-processing pipeline (R/pipeline.R) is shared by the app, the validation script and the reproduction scripts shipped in every Analysis Record. GAMP 5 Category 5 custom application. The app performs average bioequivalence only; it does not perform reference-scaled (ABEL, RSABE) or NTID analyses, which Plan a Study can plan. It is not affiliated with, endorsed by, or certified by CDISC.</w:t>
      </w:r>
    </w:p>
    <w:p>
      <w:pPr>
        <w:pStyle w:val="Heading1"/>
      </w:pPr>
      <w:r>
        <w:rPr>
          <w:rFonts w:ascii="Arial" w:cs="Arial" w:eastAsia="Arial" w:hAnsi="Arial"/>
        </w:rPr>
        <w:t xml:space="preserve">3. Supplier Assessment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>Critical R packages: NonCompart (NCA computation, including the terminal-slope selection), PowerTOST (sample size/power), nlme (mixed-effects BE models), ggplot2/plotly (visualization), digest (SHA-256 hashing). Validation only: replicateBE (reference implementation for replicate designs). All CRAN-hosted, peer-reviewed, widely adopted. CDISC parameter codes come from one pinned, dated release of CDISC SDTM Controlled Terminology (2026-03-27), stored in the repository with its source hash.</w:t>
      </w:r>
    </w:p>
    <w:p>
      <w:pPr>
        <w:pStyle w:val="Heading1"/>
      </w:pPr>
      <w:r>
        <w:rPr>
          <w:rFonts w:ascii="Arial" w:cs="Arial" w:eastAsia="Arial" w:hAnsi="Arial"/>
        </w:rPr>
        <w:t xml:space="preserve">4. Risk Assessment (FMEA per ICH Q9)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160"/>
        <w:gridCol w:w="800"/>
        <w:gridCol w:w="800"/>
        <w:gridCol w:w="800"/>
        <w:gridCol w:w="800"/>
        <w:gridCol w:w="1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 ID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Failure Mode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Occ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RPN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URS-GEN-01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URS-GEN-03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URS-GEN-04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URS-GEN-05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URS-GEN-06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FM-NCA-09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URS-NCA-09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FM-NCA-10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URS-NCA-10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URS-NCA-10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URS-NCA-11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URS-NCA-12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FM-BE-09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URS-BE-09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URS-PWR-01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URS-PWR-02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URS-PWR-03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URS-PWR-04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URS-PWR-05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URS-PWR-06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URS-UI-01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URS-UI-02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URS-UI-03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URS-UI-04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URS-VIZ-08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5. Requirements</w:t>
      </w:r>
    </w:p>
    <w:p>
      <w:pPr>
        <w:pStyle w:val="Heading2"/>
      </w:pPr>
      <w:r>
        <w:rPr>
          <w:rFonts w:ascii="Arial" w:cs="Arial" w:eastAsia="Arial" w:hAnsi="Arial"/>
        </w:rPr>
        <w:t xml:space="preserve">5.1 General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be accessible via a standard web browser without local installation beyond R and required packages.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 launches via shiny::runApp() and renders in Chrome/Firefox/Edge.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 statistical methods page shall document all formulas, algorithms, and references used, as implemented.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Methods page accessible from navigation; its statements on slope selection, R² threshold, acceptance limits, rounding and simulations match the code.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not persistently store user data between sessions.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database or persistent storage beyond the R session.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display the current application version.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APP_VERSION displayed in UI and included in exports.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Results, downloads and Analysis Records shall list the official CDISC PK parameter code (PPTESTCD/PPTEST) for each parameter from one pinned, dated release of CDISC SDTM Controlled Terminology, and state the release. Parameters without a code in that release shall be marked as such, not given an invented code.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Codes taken from release 2026-03-27 (codelists C85839/C85493); release date and source hash stated; mapping depends on route and steady state; results are not described as SDTM PP datasets.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FM-GEN-05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5.2 Data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accept CSV and Excel (.xlsx/.xls) flat-file uploads (comma or semicolon separator, point or comma decimal mark) and, through a separate upload option, CDISC ADNCA-shaped datasets.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Flat files load without error and decimal-comma numbers stored as text are read; an ADNCA dataset is converted only with an explicit time variable (NRRLT, ARRLT or MRRLT; AFRLT refused), ANL01FL applied, derived records (DTYPE) refused, one analyte and matrix, and the choices recorded; the standalone converter uses the same code.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auto-detect Subject, Time, and Concentration columns from common naming conventions.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naming conventions correctly detected for all 3 required columns.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perform 20+ data quality checks with severity levels (ERROR/WARNING/INFO/OK), including interlocks that refuse data it cannot analyse safely.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run_data_quality_check returns structured findings; ERRORs block processing; CDISC-shaped flat files, mixed units, dates or clock times as time, profiles not starting near time zero, and stacked profiles are refused; an empty LLOQ is reported, not a crash.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implement 6 BLQ handling rules, applied per profile (subject × treatment × period) in time order. Text '&lt;x', BLQ, BQL, BLOQ, ND and NQ shall be handled as BLQ when an LLOQ is set; NS, N/A and missing shall stay missing.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All 6 rules produce correct output per profile regardless of file order; BLQ text handled as specified.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block analysis when ERROR-severity data quality issues are present.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Processing halts with notification when qc$pass == FALSE.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handle file read errors gracefully with user notification.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Malformed files produce error notification, not R crash.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auto-detect study design (single-arm, parallel, crossover) from data structure.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detect_study_design correctly identifies all design types.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FM-DAT-07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5.3 NCA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standard NCA parameters (Cmax, Tmax, AUClast, AUCinf, t½, λz, CL, Vz) using NonCompart.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IV bolus analytical ground truth within tolerance.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3 administration routes: extravascular, IV bolus, IV infusion.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 selection determines parameter names (CL vs CL/F).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2 trapezoidal methods: linear and linear-up/log-down.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Both methods produce valid AUC; log-down more accurate for decay.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estimate λz with NonCompart's best-fit adjusted R² selection. When the selected automatic fit is below the configurable threshold (default 0.70), λz and all parameters derived from it (t½, AUCinf, %extrapolated, AUMCinf, MRT, CL, Vz) shall not be reported for that profile, with a note. The half-life review shall show the same fit as the results.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λz matches analytical value; fits below the threshold give missing λz-dependent parameters (manual selections exempt; CL kept at steady state); review panel half-life and points equal NonCompart's.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provide single-subject NCA with interactive concentration-time plot. A result shall belong to the profile it was computed for.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sNCA produces valid results; plot is interactive; the result is cleared when the profile, data source or data change.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perform batch NCA across all profiles (subject × treatment × period) with summary statistics.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tblNCA returns one row per profile; replicate administrations are separate profiles; summary statistics are given per treatment on screen, in the Excel download and in the Analysis Record.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steady-state NCA parameters.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SS=TRUE changes CL/Vz calculations appropriately.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compute dose-normalized parameters, each profile divided by its own dose.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CMAX_DN = CMAX/dose of that profile; all expected DN columns created.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URS-NCA-09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support dosing from a data column, per profile, so that a subject may receive different doses in different periods.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Different doses per subject and per period produce the corresponding CL values; doses matched by profile, never by position.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URS-NCA-10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handle edge cases without crashing.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R crash on any edge case input.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parse manually entered time/concentration data from text input.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parse_manual handles all input variants correctly.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allow manual selection of terminal phase data points for λz estimation with validation guards (minimum 2 points, positive slope) and user notification. All dependent parameters shall be recomputed by NonCompart from the selected points.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Recalculated λz matches manual regression; CL/V use NonCompart's unit conversion; negative slope rejected; 2-point warning displayed; selections kept when the analysis is run again.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FM-NCA-12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5.4 BE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perform ANOVA-based average bioequivalence analysis on log-transformed PK parameters, with Sequence, Subject, Period and Treatment as factors (EMA Method A), and the Reference treatment chosen by the user.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Correct model per design; MSE &gt; 0; ratio is Test/Reference for the chosen Reference whatever the treatment names; the compared treatments are shown in the results.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support the designs of the shared design registry: 2×2×2 crossover, 2×2×3 and 2×2×4 full replicate, 2×3×3 partial replicate, parallel groups, and paired comparison (single sequence; no verdict).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Each design produces valid results; replicate administrations enter the model once each; results agree with replicateBE method A on its 30 reference data sets; paired df = N−1; a single treatment order is analysed as paired.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90% confidence intervals for the geometric mean ratio.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 contains true ratio when data has known GMR.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determine the BE conclusion (YES/NO) from the confidence interval, rounded to two decimals, against the acceptance limits. With limits wider than 80–125% the point estimate shall also lie within 80.00–125.00% unless the user switches this off. Half-life shall be reported as a ratio with its confidence interval without a verdict; untransformed parameters, Tmax and paired comparisons shall receive no verdict.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BE=YES when the rounded CI is within the limits (and the point estimate, when required); difference scale and paired comparisons report 'no verdict'.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support both fixed-effects and mixed-effects (nlme) models, and report which model was fitted.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Mixed model converges; GMR agrees with fixed effects within 5%; a failed mixed fit is reported in the Model column.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forest plot of BE results.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Forest plot displays point estimates and CI bars.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allow configurable CI level and acceptance limits.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Default 90% CI, 80–125% limits; user can modify; column labels follow the chosen level.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individual concentration-time profiles per subject in the BE module, with treatment overlay and log-scale option.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Per-subject faceted plot renders for crossover data with treatment colour coding.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URS-BE-09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For replicate designs the system shall report the within-subject variability of the Reference (and of the Test where replicated) and the EMA expanded limits it would imply, for information only, without a scaled verdict.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CVwR and CVwT from the period-adjusted model on subjects with the treatment at least twice; ABEL limits match PowerTOST scABEL; values agree with replicateBE method 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FM-BE-09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5.5 Power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compute sample sizes using PowerTOST for average bioequivalence (TOST), EMA ABEL (scABEL), FDA RSABE and FDA NTID. Scaled methods shall use the within-subject CVs of both Test and Reference.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All functions return valid sample sizes for standard inputs; scaled methods pass c(CVwT, CVwR).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power at a given sample size.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power.TOST returns probability; power increases with 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support 5 study designs for sample size calculation, from the same design registry as the bioequivalence analysis.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All 5 designs return valid N; planner and analysis offer the same designs under the same names.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display power curves showing power vs. sample size.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 curve rendered with target power line.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offer the within-subject CV estimated by the bioequivalence analysis of the current data as input for power calculations.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CV = 100·√(exp(MSE) − 1) from the log-scale BE model; not offered from between-subject spread; cleared when new data are processed.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validate power/sample size inputs.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CV=0 causes caught error; extreme CV still computes.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FM-PWR-06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5.6 Export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generate a Complete Analysis Record as a ZIP file.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Available from One Subject, All Subjects and Bioequivalence, and as a Figure Record from Visualize Data. ZIP contains results.xlsx, app_results_reference.csv, settings JSON, the shipped pipeline (nca_pipeline.R), repro script, reproduction check, three-way integrity manifest, summary, and a copy of the source data.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generate a standalone reproducibility R script that uses the app's own data-processing code.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Script parses as valid R; sources the shipped pipeline; re-verifies the source-data SHA-256; compares its output with the app results (MATCH / DIFFERENT); the app runs it when the record is created and reports the outcome.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export analysis settings as JSON.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JSON includes app version, R version, column mapping, read settings, dose source, and for BE the design selected and analysed, Reference treatment, model, CI level, limits and point-estimate constraint.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SHA-256 hashes for data integrity.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digest::digest returns 64-character hex string. data_integrity.txt provides a three-way SHA-256 manifest over source data, analysis settings, and results.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include BE results in the export when performed.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 CI table and ANOVA tables in results.xlsx.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include application and package version information.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APP_VERSION and core package versions included.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manual λz overrides are applied, the Complete Analysis Record shall log profile identifiers, original and adjusted values.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Settings JSON contains lz_overrides. Repro script applies overrides. HTML shows override table.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FM-EXP-07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5.7 Usability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PK parameter abbreviations shall have plain-language labels and contextual help.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&gt;80% of NCA output columns have friendly names; help topics defined.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Data Preparation Guide shall be accessible.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 with scenario tabs and example downloads.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application shall provide a central hub with clear workflow paths.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Landing page shows 6 workflow paths with descriptions.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actionable error messages for invalid inputs.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validate_mapping returns specific missing field names.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FM-UI-04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5.8 Visualization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Visualization module shall be inaccessible until a valid dataset has been uploaded and processed. Navigation before upload shall not produce an error.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gate card displayed; no R error; no plot rendered.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provide an individual profiles plot (spaghetti plot) with colour-by options (Subject, Treatment, Period, Sequence). Unmapped columns shall not appear. A 'None' option shall always be available.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Colour-by dropdown restricted to mapped columns; all options render correctly.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provide a summary plot with geometric mean and geometric SD error bars. Arithmetic mean shall be available with a visible warning.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GM &lt; AM (Jensen's inequality); error bars render; warning for arithmetic mean.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two or more treatment levels are present, the summary plot shall overlay each treatment group as a distinct coloured series with a legend.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Treatment overlay renders automatically for crossover data.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Observations with concentration ≤ 0 shall be excluded from geometric mean/SD computation. The count of excluded observations shall be displayed.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Exclusion count shown; GM computed on positives only.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support static export in PNG, PDF, and SVG with configurable dimensions (2–20 in) and resolution (150/300/600 DPI). Invalid values shall be rejected.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produces valid files; out-of-range values rejected with message.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log10 Y-axis toggle shall be available. Observations with concentration ≤ 0 shall be silently omitted with an informational note.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scale renders without error; note displayed for omitted values.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dose-normalisation option (C/Dose) shall be offered when a Dose column is mapped. Zero/NA doses shall produce NA, not Inf/NaN.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 appears only when dose mapped; zero/NA doses handled as NA.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FM-VIZ-08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6. Traceability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requirement is tested by one or more tests in validation/validation.R. Run: Rscript validation/validation.R</w:t>
      </w:r>
    </w:p>
    <w:p>
      <w:pPr>
        <w:pStyle w:val="Heading1"/>
      </w:pPr>
      <w:r>
        <w:rPr>
          <w:rFonts w:ascii="Arial" w:cs="Arial" w:eastAsia="Arial" w:hAnsi="Arial"/>
        </w:rPr>
        <w:t xml:space="preserve">7. Configuration Management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Source: github.com/robterheine/ncaassistant. Category A: cosmetic (no revalidation). Category B: functional within scope (targeted). Category C: new functionality (full revalidation).</w:t>
      </w:r>
    </w:p>
    <w:p>
      <w:pPr>
        <w:pStyle w:val="Heading1"/>
      </w:pPr>
      <w:r>
        <w:rPr>
          <w:rFonts w:ascii="Arial" w:cs="Arial" w:eastAsia="Arial" w:hAnsi="Arial"/>
        </w:rPr>
        <w:t xml:space="preserve">8. Regulatory References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ISPE GAMP 5, 2nd Edition (2022)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ICH Q9(R1): Quality Risk Management (2023)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>FDA Bioavailability/Bioequivalence Guidance (2014); FDA Statistical Approaches to Establishing Bioequivalence (2026)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EMA Bioequivalence Guideline CPMP/EWP/QWP/1401/98 Rev. 1 (2010)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21 CFR Part 320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>EU Annex 11: Computerised Systems (2011); CDISC SDTM Controlled Terminology, release 2026-03-27</w:t>
      </w:r>
    </w:p>
    <w:p>
      <w:pPr>
        <w:pStyle w:val="Heading1"/>
      </w:pPr>
      <w:r>
        <w:rPr>
          <w:rFonts w:ascii="Arial" w:cs="Arial" w:eastAsia="Arial" w:hAnsi="Arial"/>
        </w:rPr>
        <w:t xml:space="preserve">9.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AUC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Area Under the Concentration-time Curve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Bioequivalence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BLQ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Below Limit of Quantification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ADNCA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CDISC ADaM dataset structure for non-compartmental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CDISC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Clinical Data Interchange Standards Consortium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CVwR / CVwT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Within-subject coefficient of variation of the Reference / Test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FMEA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Failure Mode and Effects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GAMP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Good Automated Manufacturing Practice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GMR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Geometric Mean Ratio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NCA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Non-Compartmental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Requirement Specification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λz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Terminal elimination rate constant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NCA Assistant — User Requirement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C3E5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2026-04-09T15:52:32.153Z</dcterms:created>
  <dcterms:modified xsi:type="dcterms:W3CDTF">2026-04-09T15:52:32.202Z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