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92 requirements across 9 categories: General (8), Data Handling (9), NCA (15), Bioequivalence (12),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are left out because the result looked unfavourable (a results-driven exclusion), which biases the bioequivalence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where the list asks for one; an exclusion made after bioequivalence results is marked; the comparison is repeated without the exclusions; the ICH M13A checks use the data before exclusions. Tests: EXC-07, EXC-08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exclusion is undocumented or lost (after new data or a changed column mapping), so a result cannot be traced or reproduced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register goes into the downloads and the Analysis Record and is reproduced from it; an exclusion that no longer matches is reported; loading new data asks first and offers a download; in controlled mode each change is audited first. Tests: EXC-03, EXC-05, EXC-09, EXC-10, ARV-08, ARV-09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Leaving out a sample changes results in an unexpected way (BLQ rule, pre-dose sample, partial AUC across the excluded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excluded sample is treated as never collected, before the BLQ rule; the dialog names a Cmax, Tlast or pre-dose sample and asks to confirm a pre-dose one. Tests: EXC-01, EXC-02, EXC-06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half-life flag misleads: a poor fit goes unflagged, or a flag is taken as a reason to leave data 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 limits are tested at their boundaries; flags never change a value or exclude data; the rules in force are recorded. Tests: HLF-01 to HLF-06,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Dose column in another unit than the analysis assumes (a dose per kg read as mg) gives CL/F, Vz/F and dose-normalised values that are wrong by that factor yet look plausible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Dose panel states the unit it assumes and shows no confirmation; it warns when the file has a body-weight column and every dose is below 20; a dose per kg is converted with a mapped weight column. Tests: ARV-01 to ARV-03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 steady state with actual sampling times, Cτ is lost (trough not at exactly τ) or AUCτ and Cavg rest partly on extrapolation without the reader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Cτ is the sample nearest to τ within a trough window, with its time and a note when there is none; the extrapolated share of AUCτ is a column, a note and a flag. Tests: ARV-05,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a 2×2 crossover the mixed model (Method B) uses a subject's single remaining period, so the ratio and interval differ from the complete-case analysis the guideline asks for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Subjects without both treatments leave both models before fitting and are counted in the table. Tests: ARV-04, REV-06</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times, except one pre-dose sample per profile no earlier than 10% of the profile's duration before the dose (analysed at 0, the uploaded time kept),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let the user leave out a sample or a whole profile only with a documented reason, and keep every exclusion traceable and reversible.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for Other, protocol, dosing and adverse-event reasons; an excluded sample gives the result of deleting it from the file under every BLQ rule; exclusions are matched by profile and time, and one that no longer matches the data is reported, never dropped; a profile exclusion keeps its NCA result and leaves the profile out of summaries, mean curves and bioequivalence; exclusions can be restored and nothing is deleted; the register is in the downloads and the Analysis Record and is reproduced from it; in controlled mode each change is written to the audit trail first; the register can be downloaded and loaded again for the same data, keeping who made each exclusion and when, and a loaded or new exclusion is marked as made after bioequivalence results when results for these data were already shown (in controlled mode also in an earlier session); the page warns before it is closed with changes not downloaded; the ICH M13A checks use the data before exclusions.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 FM-43, FM-44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Cτ is the observed sample nearest to τ within a trough window (default ±10% of τ, at most 1 time unit), with its time, never interpolated, and a note when there is none; the share of AUCτ extrapolated past the last sample is reported with a note;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 FM-47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 a Dose column per kg is multiplied by a mapped body-weight column; the Dose panel states the unit it assumes, and warns when the doses look per kg.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 FM-46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flag half-life fits that break quality rules the user can edit, without changing any value.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By default a fit is flagged when its points span less than 2 half-lives, when AUC to infinity is more than 20% extrapolated (not at steady state) or, after an IV bolus, more than 20% back-extrapolated; at steady state the extrapolation rule applies to the share of AUCτ extrapolated; the limits themselves pass; a profile without flags says none, no half-life or rules off; rules can be switched off or changed, and are recorded and reproduced; fits on points chosen by hand are flagged too; flags are counted in summaries and bioequivalence and exclude nothing.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 in a 2×2 crossover and the paired comparison, subjects without both treatments leave both models and are counted. In parallel groups the pooled-variance 90% CI and point estimate equal the published reference values (Fuglsang et al. 2015, 11 datasets),; the Welch interval and its degrees of freedom are shown beside them as supplementary information, and the verdict stays with the pooled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 FM-48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data are excluded, the system shall repeat the bioequivalence analysis without the exclusions as a sensitivity analysis.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comparison without exclusions is shown next to the primary result, a note says when the ICH M13A checks would differ with the exclusions, and both are in the downloads and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error messages stay until closed, and notifications are passed to screen readers;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 the examples also load in one click on the Upload page and can be downloaded unchanged there; only bundled files can be loaded or downloaded by name; a record made from an example says so.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