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April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User Requirement Specification defines the functional and quality requirements for NCA Assistant v1.2.2,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URS covers 57 requirements across 8 categories: General (5), Data Handling (7), NCA (12), Bioequivalence (8),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NCA Assistant v1.2.2 provides six workflow paths accessible from a central hub: (1) Plan a Study, (2) Upload &amp; Check Data, (3) Visualize Data [new in v1.2], (4) Analyze One Subject at a Time, (5) Analyze All Subjects, (6) Bioequivalence Testing. GAMP 5 Category 5 custom application.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Critical R packages: NonCompart (NCA computation), PowerTOST (sample size/power), nlme (mixed-effects BE models), ggplot2/plotly (visualization), digest (SHA-256 hashing). All CRAN-hosted, peer-reviewed, widely adopted.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statistical methods page shall document all formulas, algorithms, and references used.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Methods page accessible from navigation.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 parameter names shall follow CDISC SDTM conventions where applicable.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cdisc_pk_names() maps NonCompart abbreviations to CDISC terms.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accept CSV and Excel (.xlsx/.xls) file uploads.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 and Excel files load without error; data preview matches source.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20+ data quality checks with severity levels (ERROR/WARNING/INFO/OK).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run_data_quality_check returns structured findings; ERRORs block processing.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implement 6 BLQ handling rules compatible with WinNonlin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6 rules produce correct output; multi-subject processing is independent.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estimate λz using best-fit adjusted R² criterion with configurable threshold.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λz matches analytical value; threshold filters poor fits.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single-subject NCA with interactive concentration-time plot.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sNCA produces valid results; plot is interactive.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batch NCA across all subjects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tblNCA returns one row per subject; summary statistics computed.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dose-normalized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CMAX_DN = CMAX/dose;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per-subject dosing from a data column.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Different doses per subject produce different CL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manual selection of terminal phase data points for λz estimation with validation guards (minimum 2 points, positive slope) and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Recalculated λz matches manual regression. Negative slope rejected. 2-point warning displayed.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perform ANOVA-based bioequivalence analysis on log-transformed PK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ANOVA model per study design; MSE &gt; 0.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designs: 2-period crossover, fixed-order, 3-period, replicate, parallel.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design produces valid results; fixed-order df = N-1.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determine BE conclusion (YES/NO) based on CI vs.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BE=YES when CI within [80,125]; BE=NO otherwise.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both fixed-effects and mixed-effects (nlme) models.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Mixed model converges; GMR agrees with fixed effects within 5%.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90% CI, 80-125% limits; user can modify.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sample sizes using PowerTOST functions: TOST, scABEL, RSABE, NTID, noninf, dp.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functions return valid sample sizes for standard inputs.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5 study designs for sample size calculation.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designs return valid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bridge NCA-derived CV to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CV from NCA usable in sampleN.TOST.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 from all four analysis paths (Single, Batch, BE) and the Visualize Figure Record. ZIP contains results.xlsx, app_results_reference.csv, settings JSON, repro script,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standalone reproducibility R script.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parses as valid R; contains all key settings; re-verifies the source-data SHA-256; and automatically compares its output against the app results (app_results_reference.csv), reporting a MATCH / DIFFERENT verdict.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includes app version, R version, column mapping, etc.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FDA Bioavailability/Bioequivalence Guidance (2014)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EU Annex 11: Computerised Systems (2011)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