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52"/>
          <w:szCs w:val="52"/>
        </w:rPr>
        <w:t xml:space="preserve">NCA Assistant</w:t>
      </w:r>
    </w:p>
    <w:p>
      <w:pPr>
        <w:spacing w:after="100"/>
        <w:jc w:val="center"/>
      </w:pPr>
      <w:r>
        <w:rPr>
          <w:rFonts w:ascii="Arial" w:cs="Arial" w:eastAsia="Arial" w:hAnsi="Arial"/>
          <w:color w:val="3498DB"/>
          <w:sz w:val="36"/>
          <w:szCs w:val="36"/>
        </w:rPr>
        <w:t xml:space="preserve">User Manual</w:t>
      </w:r>
    </w:p>
    <w:p>
      <w:pPr>
        <w:spacing w:after="400"/>
        <w:jc w:val="center"/>
      </w:pPr>
      <w:r>
        <w:rPr>
          <w:rFonts w:ascii="Arial" w:cs="Arial" w:eastAsia="Arial" w:hAnsi="Arial"/>
          <w:color w:val="7F8C8D"/>
          <w:sz w:val="24"/>
          <w:szCs w:val="24"/>
        </w:rPr>
        <w:t xml:space="preserve">Version 1.1</w:t>
      </w:r>
    </w:p>
    <w:p>
      <w:pPr>
        <w:spacing w:after="100"/>
        <w:jc w:val="center"/>
      </w:pPr>
      <w:r>
        <w:rPr>
          <w:rFonts w:ascii="Arial" w:cs="Arial" w:eastAsia="Arial" w:hAnsi="Arial"/>
          <w:sz w:val="24"/>
          <w:szCs w:val="24"/>
        </w:rPr>
        <w:t xml:space="preserve">Non-Compartmental Pharmacokinetic Analysis</w:t>
      </w:r>
    </w:p>
    <w:p>
      <w:pPr>
        <w:spacing w:after="100"/>
        <w:jc w:val="center"/>
      </w:pPr>
      <w:r>
        <w:rPr>
          <w:rFonts w:ascii="Arial" w:cs="Arial" w:eastAsia="Arial" w:hAnsi="Arial"/>
          <w:sz w:val="24"/>
          <w:szCs w:val="24"/>
        </w:rPr>
        <w:t xml:space="preserve">Bioequivalence Testing • Power &amp; Sample Size</w:t>
      </w:r>
    </w:p>
    <w:p>
      <w:pPr>
        <w:spacing w:before="800"/>
        <w:jc w:val="center"/>
      </w:pPr>
      <w:r>
        <w:rPr>
          <w:rFonts w:ascii="Arial" w:cs="Arial" w:eastAsia="Arial" w:hAnsi="Arial"/>
          <w:i/>
          <w:iCs/>
          <w:sz w:val="22"/>
          <w:szCs w:val="22"/>
        </w:rPr>
        <w:t xml:space="preserve">Radboud Applied Pharmacometrics</w:t>
      </w:r>
    </w:p>
    <w:p>
      <w:pPr>
        <w:jc w:val="center"/>
      </w:pPr>
      <w:r>
        <w:rPr>
          <w:rFonts w:ascii="Arial" w:cs="Arial" w:eastAsia="Arial" w:hAnsi="Arial"/>
          <w:i/>
          <w:iCs/>
          <w:sz w:val="22"/>
          <w:szCs w:val="22"/>
        </w:rPr>
        <w:t xml:space="preserve">Radboudumc, Nijmegen, The Netherlands</w:t>
      </w:r>
    </w:p>
    <w:p>
      <w:pPr>
        <w:spacing w:before="400"/>
        <w:jc w:val="center"/>
      </w:pPr>
      <w:r>
        <w:rPr>
          <w:rFonts w:ascii="Arial" w:cs="Arial" w:eastAsia="Arial" w:hAnsi="Arial"/>
          <w:color w:val="999999"/>
          <w:sz w:val="18"/>
          <w:szCs w:val="18"/>
        </w:rPr>
        <w:t xml:space="preserve">Manual version 1.1 — corresponds to NCA Assistant v1.0</w:t>
      </w:r>
    </w:p>
    <w:p>
      <w:r>
        <w:br w:type="page"/>
      </w:r>
    </w:p>
    <w:p>
      <w:pPr>
        <w:pStyle w:val="Heading1"/>
        <w:spacing w:before="360" w:after="200"/>
      </w:pPr>
      <w:r>
        <w:rPr>
          <w:rFonts w:ascii="Arial" w:cs="Arial" w:eastAsia="Arial" w:hAnsi="Arial"/>
          <w:b/>
          <w:bCs/>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26"/>
        <w:gridCol w:w="3000"/>
      </w:tblGrid>
      <w:tr>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2026</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release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2026</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theoretical background (Part V) and expanded statistical methods (Part VI) with TOST, ANOVA, mixed-effects modelling, power calculations, and regulatory guideline references</w:t>
            </w:r>
          </w:p>
        </w:tc>
      </w:tr>
    </w:tbl>
    <w:p>
      <w:pPr>
        <w:spacing w:after="80" w:line="276"/>
      </w:pPr>
      <w:r>
        <w:rPr>
          <w:rFonts w:ascii="Arial" w:cs="Arial" w:eastAsia="Arial" w:hAnsi="Arial"/>
          <w:color w:val="555555"/>
          <w:sz w:val="20"/>
          <w:szCs w:val="20"/>
        </w:rPr>
        <w:t xml:space="preserve">This document should be reviewed when significant changes are made to the application.</w:t>
      </w:r>
    </w:p>
    <w:p>
      <w:r>
        <w:br w:type="page"/>
      </w:r>
    </w:p>
    <w:p>
      <w:pPr>
        <w:pStyle w:val="Heading1"/>
        <w:spacing w:before="36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80" w:line="276"/>
      </w:pPr>
      <w:r>
        <w:rPr>
          <w:rFonts w:ascii="Arial" w:cs="Arial" w:eastAsia="Arial" w:hAnsi="Arial"/>
          <w:color w:val="555555"/>
          <w:sz w:val="20"/>
          <w:szCs w:val="20"/>
        </w:rPr>
        <w:t xml:space="preserve">Update: right-click → Update Field → Update Entire Table.</w:t>
      </w:r>
    </w:p>
    <w:p>
      <w:r>
        <w:br w:type="page"/>
      </w:r>
    </w:p>
    <w:p>
      <w:pPr>
        <w:pStyle w:val="Heading1"/>
        <w:spacing w:before="360" w:after="200"/>
      </w:pPr>
      <w:r>
        <w:rPr>
          <w:rFonts w:ascii="Arial" w:cs="Arial" w:eastAsia="Arial" w:hAnsi="Arial"/>
          <w:b/>
          <w:bCs/>
          <w:sz w:val="32"/>
          <w:szCs w:val="32"/>
        </w:rPr>
        <w:t xml:space="preserve">Quick Start Guide</w:t>
      </w:r>
    </w:p>
    <w:p>
      <w:pPr>
        <w:spacing w:after="120" w:line="276"/>
      </w:pPr>
      <w:r>
        <w:rPr>
          <w:rFonts w:ascii="Arial" w:cs="Arial" w:eastAsia="Arial" w:hAnsi="Arial"/>
          <w:sz w:val="22"/>
          <w:szCs w:val="22"/>
        </w:rPr>
        <w:t xml:space="preserve">This one-page guide takes you from a CSV file to NCA results in under five minutes.</w:t>
      </w:r>
    </w:p>
    <w:p>
      <w:pPr>
        <w:spacing w:after="120" w:line="276"/>
      </w:pPr>
      <w:r>
        <w:rPr>
          <w:rFonts w:ascii="Arial" w:cs="Arial" w:eastAsia="Arial" w:hAnsi="Arial"/>
          <w:b/>
          <w:bCs/>
          <w:sz w:val="22"/>
          <w:szCs w:val="22"/>
        </w:rPr>
        <w:t xml:space="preserve">Step 1. </w:t>
      </w:r>
      <w:r>
        <w:rPr>
          <w:rFonts w:ascii="Arial" w:cs="Arial" w:eastAsia="Arial" w:hAnsi="Arial"/>
          <w:sz w:val="22"/>
          <w:szCs w:val="22"/>
        </w:rPr>
        <w:t xml:space="preserve">Open the app at </w:t>
      </w:r>
      <w:r>
        <w:rPr>
          <w:rFonts w:ascii="Courier New" w:cs="Courier New" w:eastAsia="Courier New" w:hAnsi="Courier New"/>
          <w:sz w:val="20"/>
          <w:szCs w:val="20"/>
        </w:rPr>
        <w:t xml:space="preserve">robterheine.shinyapps.io/NCAassistant</w:t>
      </w:r>
      <w:r>
        <w:rPr>
          <w:rFonts w:ascii="Arial" w:cs="Arial" w:eastAsia="Arial" w:hAnsi="Arial"/>
          <w:sz w:val="22"/>
          <w:szCs w:val="22"/>
        </w:rPr>
        <w:t xml:space="preserve"> or run </w:t>
      </w:r>
      <w:r>
        <w:rPr>
          <w:rFonts w:ascii="Courier New" w:cs="Courier New" w:eastAsia="Courier New" w:hAnsi="Courier New"/>
          <w:sz w:val="20"/>
          <w:szCs w:val="20"/>
        </w:rPr>
        <w:t xml:space="preserve">source("install_and_run.R")</w:t>
      </w:r>
      <w:r>
        <w:rPr>
          <w:rFonts w:ascii="Arial" w:cs="Arial" w:eastAsia="Arial" w:hAnsi="Arial"/>
          <w:sz w:val="22"/>
          <w:szCs w:val="22"/>
        </w:rPr>
        <w:t xml:space="preserve"> in RStudio.</w:t>
      </w:r>
    </w:p>
    <w:p>
      <w:pPr>
        <w:spacing w:after="120" w:line="276"/>
      </w:pPr>
      <w:r>
        <w:rPr>
          <w:rFonts w:ascii="Arial" w:cs="Arial" w:eastAsia="Arial" w:hAnsi="Arial"/>
          <w:b/>
          <w:bCs/>
          <w:sz w:val="22"/>
          <w:szCs w:val="22"/>
        </w:rPr>
        <w:t xml:space="preserve">Step 2. </w:t>
      </w:r>
      <w:r>
        <w:rPr>
          <w:rFonts w:ascii="Arial" w:cs="Arial" w:eastAsia="Arial" w:hAnsi="Arial"/>
          <w:sz w:val="22"/>
          <w:szCs w:val="22"/>
        </w:rPr>
        <w:t xml:space="preserve">Click </w:t>
      </w:r>
      <w:r>
        <w:rPr>
          <w:rFonts w:ascii="Arial" w:cs="Arial" w:eastAsia="Arial" w:hAnsi="Arial"/>
          <w:b/>
          <w:bCs/>
          <w:sz w:val="22"/>
          <w:szCs w:val="22"/>
        </w:rPr>
        <w:t xml:space="preserve">Upload &amp; Check Data</w:t>
      </w:r>
      <w:r>
        <w:rPr>
          <w:rFonts w:ascii="Arial" w:cs="Arial" w:eastAsia="Arial" w:hAnsi="Arial"/>
          <w:sz w:val="22"/>
          <w:szCs w:val="22"/>
        </w:rPr>
        <w:t xml:space="preserve">. Upload your CSV or Excel file. The app auto-detects column names.</w:t>
      </w:r>
    </w:p>
    <w:p>
      <w:pPr>
        <w:spacing w:after="120" w:line="276"/>
      </w:pPr>
      <w:r>
        <w:rPr>
          <w:rFonts w:ascii="Arial" w:cs="Arial" w:eastAsia="Arial" w:hAnsi="Arial"/>
          <w:b/>
          <w:bCs/>
          <w:sz w:val="22"/>
          <w:szCs w:val="22"/>
        </w:rPr>
        <w:t xml:space="preserve">Step 3. </w:t>
      </w:r>
      <w:r>
        <w:rPr>
          <w:rFonts w:ascii="Arial" w:cs="Arial" w:eastAsia="Arial" w:hAnsi="Arial"/>
          <w:sz w:val="22"/>
          <w:szCs w:val="22"/>
        </w:rPr>
        <w:t xml:space="preserve">If your data contains BLQ values: set the LLOQ value and select a BLQ rule. Click </w:t>
      </w:r>
      <w:r>
        <w:rPr>
          <w:rFonts w:ascii="Arial" w:cs="Arial" w:eastAsia="Arial" w:hAnsi="Arial"/>
          <w:b/>
          <w:bCs/>
          <w:sz w:val="22"/>
          <w:szCs w:val="22"/>
        </w:rPr>
        <w:t xml:space="preserve">Process Data</w:t>
      </w:r>
      <w:r>
        <w:rPr>
          <w:rFonts w:ascii="Arial" w:cs="Arial" w:eastAsia="Arial" w:hAnsi="Arial"/>
          <w:sz w:val="22"/>
          <w:szCs w:val="22"/>
        </w:rPr>
        <w:t xml:space="preserve">.</w:t>
      </w:r>
    </w:p>
    <w:p>
      <w:pPr>
        <w:spacing w:after="120" w:line="276"/>
      </w:pPr>
      <w:r>
        <w:rPr>
          <w:rFonts w:ascii="Arial" w:cs="Arial" w:eastAsia="Arial" w:hAnsi="Arial"/>
          <w:b/>
          <w:bCs/>
          <w:sz w:val="22"/>
          <w:szCs w:val="22"/>
        </w:rPr>
        <w:t xml:space="preserve">Step 4. </w:t>
      </w:r>
      <w:r>
        <w:rPr>
          <w:rFonts w:ascii="Arial" w:cs="Arial" w:eastAsia="Arial" w:hAnsi="Arial"/>
          <w:sz w:val="22"/>
          <w:szCs w:val="22"/>
        </w:rPr>
        <w:t xml:space="preserve">Go to </w:t>
      </w:r>
      <w:r>
        <w:rPr>
          <w:rFonts w:ascii="Arial" w:cs="Arial" w:eastAsia="Arial" w:hAnsi="Arial"/>
          <w:b/>
          <w:bCs/>
          <w:sz w:val="22"/>
          <w:szCs w:val="22"/>
        </w:rPr>
        <w:t xml:space="preserve">Analyze All Subjects</w:t>
      </w:r>
      <w:r>
        <w:rPr>
          <w:rFonts w:ascii="Arial" w:cs="Arial" w:eastAsia="Arial" w:hAnsi="Arial"/>
          <w:sz w:val="22"/>
          <w:szCs w:val="22"/>
        </w:rPr>
        <w:t xml:space="preserve">. Set the dose and route. Click </w:t>
      </w:r>
      <w:r>
        <w:rPr>
          <w:rFonts w:ascii="Arial" w:cs="Arial" w:eastAsia="Arial" w:hAnsi="Arial"/>
          <w:b/>
          <w:bCs/>
          <w:sz w:val="22"/>
          <w:szCs w:val="22"/>
        </w:rPr>
        <w:t xml:space="preserve">Run Analysis on All Subjects</w:t>
      </w:r>
      <w:r>
        <w:rPr>
          <w:rFonts w:ascii="Arial" w:cs="Arial" w:eastAsia="Arial" w:hAnsi="Arial"/>
          <w:sz w:val="22"/>
          <w:szCs w:val="22"/>
        </w:rPr>
        <w:t xml:space="preserve">.</w:t>
      </w:r>
    </w:p>
    <w:p>
      <w:pPr>
        <w:spacing w:after="120" w:line="276"/>
      </w:pPr>
      <w:r>
        <w:rPr>
          <w:rFonts w:ascii="Arial" w:cs="Arial" w:eastAsia="Arial" w:hAnsi="Arial"/>
          <w:b/>
          <w:bCs/>
          <w:sz w:val="22"/>
          <w:szCs w:val="22"/>
        </w:rPr>
        <w:t xml:space="preserve">Step 5. </w:t>
      </w:r>
      <w:r>
        <w:rPr>
          <w:rFonts w:ascii="Arial" w:cs="Arial" w:eastAsia="Arial" w:hAnsi="Arial"/>
          <w:sz w:val="22"/>
          <w:szCs w:val="22"/>
        </w:rPr>
        <w:t xml:space="preserve">View results. Download as Excel or CSV, or generate a Complete Analysis Record.</w:t>
      </w:r>
    </w:p>
    <w:p>
      <w:pPr>
        <w:spacing w:after="80" w:line="276"/>
      </w:pPr>
      <w:r>
        <w:rPr>
          <w:rFonts w:ascii="Arial" w:cs="Arial" w:eastAsia="Arial" w:hAnsi="Arial"/>
          <w:color w:val="555555"/>
          <w:sz w:val="20"/>
          <w:szCs w:val="20"/>
        </w:rPr>
        <w:t xml:space="preserve">For bioequivalence: go to Bioequivalence Testing instead. For study planning: go to Plan a Study (no data needed).</w:t>
      </w:r>
    </w:p>
    <w:p>
      <w:r>
        <w:br w:type="page"/>
      </w:r>
    </w:p>
    <w:p>
      <w:pPr>
        <w:pStyle w:val="Heading1"/>
        <w:spacing w:before="360" w:after="200"/>
      </w:pPr>
      <w:r>
        <w:rPr>
          <w:rFonts w:ascii="Arial" w:cs="Arial" w:eastAsia="Arial" w:hAnsi="Arial"/>
          <w:b/>
          <w:bCs/>
          <w:sz w:val="32"/>
          <w:szCs w:val="32"/>
        </w:rPr>
        <w:t xml:space="preserve">Part I: Introduction to Non-Compartmental Analysis</w:t>
      </w:r>
    </w:p>
    <w:p>
      <w:pPr>
        <w:pStyle w:val="Heading2"/>
        <w:spacing w:before="280" w:after="160"/>
      </w:pPr>
      <w:r>
        <w:rPr>
          <w:rFonts w:ascii="Arial" w:cs="Arial" w:eastAsia="Arial" w:hAnsi="Arial"/>
          <w:b/>
          <w:bCs/>
          <w:sz w:val="26"/>
          <w:szCs w:val="26"/>
        </w:rPr>
        <w:t xml:space="preserve">What Is Non-Compartmental Analysis?</w:t>
      </w:r>
    </w:p>
    <w:p>
      <w:pPr>
        <w:spacing w:after="120" w:line="276"/>
      </w:pPr>
      <w:r>
        <w:rPr>
          <w:rFonts w:ascii="Arial" w:cs="Arial" w:eastAsia="Arial" w:hAnsi="Arial"/>
          <w:sz w:val="22"/>
          <w:szCs w:val="22"/>
        </w:rPr>
        <w:t xml:space="preserve">Non-compartmental analysis (NCA) is a method for describing the pharmacokinetics of a drug without assuming a specific structural model for how the drug distributes in the body. Instead of fitting a mathematical model (such as a one-compartment or two-compartment model), NCA calculates pharmacokinetic parameters directly from the observed concentration–time data using numerical integration and regression.</w:t>
      </w:r>
    </w:p>
    <w:p>
      <w:pPr>
        <w:spacing w:after="120" w:line="276"/>
      </w:pPr>
      <w:r>
        <w:rPr>
          <w:rFonts w:ascii="Arial" w:cs="Arial" w:eastAsia="Arial" w:hAnsi="Arial"/>
          <w:sz w:val="22"/>
          <w:szCs w:val="22"/>
        </w:rPr>
        <w:t xml:space="preserve">NCA is the standard approach for analyzing pharmacokinetic data in drug development. It is recommended by the EMA, FDA, and PMDA for bioequivalence studies and is routinely used in Phase I clinical trials, dose-finding studies, and therapeutic drug monitoring research.</w:t>
      </w:r>
    </w:p>
    <w:p>
      <w:pPr>
        <w:pStyle w:val="Heading2"/>
        <w:spacing w:before="280" w:after="160"/>
      </w:pPr>
      <w:r>
        <w:rPr>
          <w:rFonts w:ascii="Arial" w:cs="Arial" w:eastAsia="Arial" w:hAnsi="Arial"/>
          <w:b/>
          <w:bCs/>
          <w:sz w:val="26"/>
          <w:szCs w:val="26"/>
        </w:rPr>
        <w:t xml:space="preserve">The Concentration–Time Curve</w:t>
      </w:r>
    </w:p>
    <w:p>
      <w:pPr>
        <w:spacing w:after="120" w:line="276"/>
      </w:pPr>
      <w:r>
        <w:rPr>
          <w:rFonts w:ascii="Arial" w:cs="Arial" w:eastAsia="Arial" w:hAnsi="Arial"/>
          <w:sz w:val="22"/>
          <w:szCs w:val="22"/>
        </w:rPr>
        <w:t xml:space="preserve">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pPr>
        <w:pStyle w:val="Heading2"/>
        <w:spacing w:before="280" w:after="160"/>
      </w:pPr>
      <w:r>
        <w:rPr>
          <w:rFonts w:ascii="Arial" w:cs="Arial" w:eastAsia="Arial" w:hAnsi="Arial"/>
          <w:b/>
          <w:bCs/>
          <w:sz w:val="26"/>
          <w:szCs w:val="26"/>
        </w:rPr>
        <w:t xml:space="preserve">Key Pharmacokinetic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Symbol</w:t>
            </w:r>
          </w:p>
        </w:tc>
        <w:tc>
          <w:tcPr>
            <w:tcW w:type="dxa" w:w="5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What it tells you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Peak concentration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Cmax</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highest concentration observed. Relevant for efficacy and safety.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of peak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Tmax</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peak occurs. Reflects the rate of absorption.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Area under the curve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drug exposure over time. The most important measure of overall exposure.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half-life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t½</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for the concentration to halve during the terminal phase.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clearance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CL/F</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of drug elimination, normalized to bioavailability.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 of distribution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Vz/F</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volume the drug distributes into during the terminal phase.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residence 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MRT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time a drug molecule stays in the body.</w:t>
            </w:r>
          </w:p>
        </w:tc>
      </w:tr>
    </w:tbl>
    <w:p>
      <w:pPr>
        <w:pStyle w:val="Heading2"/>
        <w:spacing w:before="280" w:after="160"/>
      </w:pPr>
      <w:r>
        <w:rPr>
          <w:rFonts w:ascii="Arial" w:cs="Arial" w:eastAsia="Arial" w:hAnsi="Arial"/>
          <w:b/>
          <w:bCs/>
          <w:sz w:val="26"/>
          <w:szCs w:val="26"/>
        </w:rPr>
        <w:t xml:space="preserve">Why NCA Is Used So Widely</w:t>
      </w:r>
    </w:p>
    <w:p>
      <w:pPr>
        <w:spacing w:after="120" w:line="276"/>
      </w:pPr>
      <w:r>
        <w:rPr>
          <w:rFonts w:ascii="Arial" w:cs="Arial" w:eastAsia="Arial" w:hAnsi="Arial"/>
          <w:sz w:val="22"/>
          <w:szCs w:val="22"/>
        </w:rPr>
        <w:t xml:space="preserve">NCA requires no assumptions about compartments, rate constants, or curve shape. It is reproducible across software because the calculations use standard numerical methods. Regulatory agencies accept NCA because the methods are well-defined, transparent, and not dependent on model selection. NCA is the required approach for bioequivalence studies, where Cmax (rate) and AUC (extent) are the primary endpoints.</w:t>
      </w:r>
    </w:p>
    <w:p>
      <w:pPr>
        <w:pStyle w:val="Heading2"/>
        <w:spacing w:before="280" w:after="160"/>
      </w:pPr>
      <w:r>
        <w:rPr>
          <w:rFonts w:ascii="Arial" w:cs="Arial" w:eastAsia="Arial" w:hAnsi="Arial"/>
          <w:b/>
          <w:bCs/>
          <w:sz w:val="26"/>
          <w:szCs w:val="26"/>
        </w:rPr>
        <w:t xml:space="preserve">When to Use NCA vs. Compartmental Modelling</w:t>
      </w:r>
    </w:p>
    <w:p>
      <w:pPr>
        <w:spacing w:after="120" w:line="276"/>
      </w:pPr>
      <w:r>
        <w:rPr>
          <w:rFonts w:ascii="Arial" w:cs="Arial" w:eastAsia="Arial" w:hAnsi="Arial"/>
          <w:sz w:val="22"/>
          <w:szCs w:val="22"/>
        </w:rPr>
        <w:t xml:space="preserve">Use NCA when you need standard PK parameters from observed data: first-in-human studies, bioequivalence, dose proportionality, food effect studies, drug interaction studies. Use compartmental modelling when you need to simulate unobserved scenarios, when you have sparse sampling, or when you need to understand mechanisms. The two approaches are complementary.</w:t>
      </w:r>
    </w:p>
    <w:p>
      <w:r>
        <w:br w:type="page"/>
      </w:r>
    </w:p>
    <w:p>
      <w:pPr>
        <w:pStyle w:val="Heading1"/>
        <w:spacing w:before="360" w:after="200"/>
      </w:pPr>
      <w:r>
        <w:rPr>
          <w:rFonts w:ascii="Arial" w:cs="Arial" w:eastAsia="Arial" w:hAnsi="Arial"/>
          <w:b/>
          <w:bCs/>
          <w:sz w:val="32"/>
          <w:szCs w:val="32"/>
        </w:rPr>
        <w:t xml:space="preserve">Part II: Preparing Your Data</w:t>
      </w:r>
    </w:p>
    <w:p>
      <w:pPr>
        <w:pStyle w:val="Heading2"/>
        <w:spacing w:before="280" w:after="160"/>
      </w:pPr>
      <w:r>
        <w:rPr>
          <w:rFonts w:ascii="Arial" w:cs="Arial" w:eastAsia="Arial" w:hAnsi="Arial"/>
          <w:b/>
          <w:bCs/>
          <w:sz w:val="26"/>
          <w:szCs w:val="26"/>
        </w:rPr>
        <w:t xml:space="preserve">General Format Rules</w:t>
      </w:r>
    </w:p>
    <w:p>
      <w:pPr>
        <w:spacing w:after="120" w:line="276"/>
      </w:pPr>
      <w:r>
        <w:rPr>
          <w:rFonts w:ascii="Arial" w:cs="Arial" w:eastAsia="Arial" w:hAnsi="Arial"/>
          <w:sz w:val="22"/>
          <w:szCs w:val="22"/>
        </w:rPr>
        <w:t xml:space="preserve">The app expects data in </w:t>
      </w:r>
      <w:r>
        <w:rPr>
          <w:rFonts w:ascii="Arial" w:cs="Arial" w:eastAsia="Arial" w:hAnsi="Arial"/>
          <w:b/>
          <w:bCs/>
          <w:sz w:val="22"/>
          <w:szCs w:val="22"/>
        </w:rPr>
        <w:t xml:space="preserve">long format</w:t>
      </w:r>
      <w:r>
        <w:rPr>
          <w:rFonts w:ascii="Arial" w:cs="Arial" w:eastAsia="Arial" w:hAnsi="Arial"/>
          <w:sz w:val="22"/>
          <w:szCs w:val="22"/>
        </w:rPr>
        <w:t xml:space="preserve">: one row per observation. Each row contains a subject identifier, the sampling time, and the measured concentration. Accepted formats: CSV, TSV, Excel. Column names are auto-detected.</w:t>
      </w:r>
    </w:p>
    <w:p>
      <w:pPr>
        <w:pStyle w:val="Heading2"/>
        <w:spacing w:before="280" w:after="160"/>
      </w:pPr>
      <w:r>
        <w:rPr>
          <w:rFonts w:ascii="Arial" w:cs="Arial" w:eastAsia="Arial" w:hAnsi="Arial"/>
          <w:b/>
          <w:bCs/>
          <w:sz w:val="26"/>
          <w:szCs w:val="26"/>
        </w:rPr>
        <w:t xml:space="preserve">Scenario 1: Single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4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Concentration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18.5</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w:t>
            </w:r>
          </w:p>
        </w:tc>
      </w:tr>
    </w:tbl>
    <w:p>
      <w:pPr>
        <w:pStyle w:val="Heading2"/>
        <w:spacing w:before="280" w:after="160"/>
      </w:pPr>
      <w:r>
        <w:rPr>
          <w:rFonts w:ascii="Arial" w:cs="Arial" w:eastAsia="Arial" w:hAnsi="Arial"/>
          <w:b/>
          <w:bCs/>
          <w:sz w:val="26"/>
          <w:szCs w:val="26"/>
        </w:rPr>
        <w:t xml:space="preserve">Scenario 2: Multiple Subjects, Same Dose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3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3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Concentration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w:t>
            </w:r>
          </w:p>
        </w:tc>
      </w:tr>
    </w:tbl>
    <w:p>
      <w:pPr>
        <w:pStyle w:val="Heading2"/>
        <w:spacing w:before="280" w:after="160"/>
      </w:pPr>
      <w:r>
        <w:rPr>
          <w:rFonts w:ascii="Arial" w:cs="Arial" w:eastAsia="Arial" w:hAnsi="Arial"/>
          <w:b/>
          <w:bCs/>
          <w:sz w:val="26"/>
          <w:szCs w:val="26"/>
        </w:rPr>
        <w:t xml:space="preserve">Scenario 3: Multiple Subjects, Different Doses</w:t>
      </w:r>
    </w:p>
    <w:p>
      <w:pPr>
        <w:spacing w:after="120" w:line="276"/>
      </w:pPr>
      <w:r>
        <w:rPr>
          <w:rFonts w:ascii="Arial" w:cs="Arial" w:eastAsia="Arial" w:hAnsi="Arial"/>
          <w:sz w:val="22"/>
          <w:szCs w:val="22"/>
        </w:rPr>
        <w:t xml:space="preserve">Add a Dose column. The value should be the same on every row for a given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13"/>
        <w:gridCol w:w="2813"/>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Dose</w:t>
            </w:r>
          </w:p>
        </w:tc>
        <w:tc>
          <w:tcPr>
            <w:tcW w:type="dxa" w:w="28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8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22.5</w:t>
            </w:r>
          </w:p>
        </w:tc>
      </w:tr>
    </w:tbl>
    <w:p>
      <w:pPr>
        <w:pStyle w:val="Heading2"/>
        <w:spacing w:before="280" w:after="160"/>
      </w:pPr>
      <w:r>
        <w:rPr>
          <w:rFonts w:ascii="Arial" w:cs="Arial" w:eastAsia="Arial" w:hAnsi="Arial"/>
          <w:b/>
          <w:bCs/>
          <w:sz w:val="26"/>
          <w:szCs w:val="26"/>
        </w:rPr>
        <w:t xml:space="preserve">Scenario 4: Standard 2-Period Crossover (BE)</w:t>
      </w:r>
    </w:p>
    <w:p>
      <w:pPr>
        <w:spacing w:after="120" w:line="276"/>
      </w:pPr>
      <w:r>
        <w:rPr>
          <w:rFonts w:ascii="Arial" w:cs="Arial" w:eastAsia="Arial" w:hAnsi="Arial"/>
          <w:sz w:val="22"/>
          <w:szCs w:val="22"/>
        </w:rPr>
        <w:t xml:space="preserve">Six columns: Subject, Treatment, Period, Sequence, Time, Concentration.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000"/>
        <w:gridCol w:w="1126"/>
        <w:gridCol w:w="1800"/>
        <w:gridCol w:w="2400"/>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Treatment</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11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Seq</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22.8</w:t>
            </w:r>
          </w:p>
        </w:tc>
      </w:tr>
    </w:tbl>
    <w:p>
      <w:pPr>
        <w:spacing w:after="80" w:line="276"/>
      </w:pPr>
      <w:r>
        <w:rPr>
          <w:rFonts w:ascii="Arial" w:cs="Arial" w:eastAsia="Arial" w:hAnsi="Arial"/>
          <w:color w:val="555555"/>
          <w:sz w:val="20"/>
          <w:szCs w:val="20"/>
        </w:rPr>
        <w:t xml:space="preserve">Time resets to 0 at the start of each period.</w:t>
      </w:r>
    </w:p>
    <w:p>
      <w:pPr>
        <w:pStyle w:val="Heading2"/>
        <w:spacing w:before="280" w:after="160"/>
      </w:pPr>
      <w:r>
        <w:rPr>
          <w:rFonts w:ascii="Arial" w:cs="Arial" w:eastAsia="Arial" w:hAnsi="Arial"/>
          <w:b/>
          <w:bCs/>
          <w:sz w:val="26"/>
          <w:szCs w:val="26"/>
        </w:rPr>
        <w:t xml:space="preserve">Scenario 5: Fixed-Order Crossover</w:t>
      </w:r>
    </w:p>
    <w:p>
      <w:pPr>
        <w:spacing w:after="120" w:line="276"/>
      </w:pPr>
      <w:r>
        <w:rPr>
          <w:rFonts w:ascii="Arial" w:cs="Arial" w:eastAsia="Arial" w:hAnsi="Arial"/>
          <w:sz w:val="22"/>
          <w:szCs w:val="22"/>
        </w:rPr>
        <w:t xml:space="preserve">All subjects receive treatments in the same order. Same six columns, but Sequence has one value for all subjects.</w:t>
      </w:r>
    </w:p>
    <w:p>
      <w:pPr>
        <w:pStyle w:val="Heading2"/>
        <w:spacing w:before="280" w:after="160"/>
      </w:pPr>
      <w:r>
        <w:rPr>
          <w:rFonts w:ascii="Arial" w:cs="Arial" w:eastAsia="Arial" w:hAnsi="Arial"/>
          <w:b/>
          <w:bCs/>
          <w:sz w:val="26"/>
          <w:szCs w:val="26"/>
        </w:rPr>
        <w:t xml:space="preserve">Scenario 6: 3-Period and Replicate Crossover</w:t>
      </w:r>
    </w:p>
    <w:p>
      <w:pPr>
        <w:spacing w:after="120" w:line="276"/>
      </w:pPr>
      <w:r>
        <w:rPr>
          <w:rFonts w:ascii="Arial" w:cs="Arial" w:eastAsia="Arial" w:hAnsi="Arial"/>
          <w:sz w:val="22"/>
          <w:szCs w:val="22"/>
        </w:rPr>
        <w:t xml:space="preserve">Same format as 2-period, with Period going up to 3 or 4. Common sequences: TRT|RTR, TRR|RTR|RRT, TRTR|RTRT.</w:t>
      </w:r>
    </w:p>
    <w:p>
      <w:pPr>
        <w:pStyle w:val="Heading2"/>
        <w:spacing w:before="280" w:after="160"/>
      </w:pPr>
      <w:r>
        <w:rPr>
          <w:rFonts w:ascii="Arial" w:cs="Arial" w:eastAsia="Arial" w:hAnsi="Arial"/>
          <w:b/>
          <w:bCs/>
          <w:sz w:val="26"/>
          <w:szCs w:val="26"/>
        </w:rPr>
        <w:t xml:space="preserve">Scenario 7: Parallel-Group BE</w:t>
      </w:r>
    </w:p>
    <w:p>
      <w:pPr>
        <w:spacing w:after="120" w:line="276"/>
      </w:pPr>
      <w:r>
        <w:rPr>
          <w:rFonts w:ascii="Arial" w:cs="Arial" w:eastAsia="Arial" w:hAnsi="Arial"/>
          <w:sz w:val="22"/>
          <w:szCs w:val="22"/>
        </w:rPr>
        <w:t xml:space="preserve">Four columns: Subject, Treatment, Time, Concentration. No Period or Sequence needed.</w:t>
      </w:r>
    </w:p>
    <w:p>
      <w:pPr>
        <w:pStyle w:val="Heading2"/>
        <w:spacing w:before="280" w:after="160"/>
      </w:pPr>
      <w:r>
        <w:rPr>
          <w:rFonts w:ascii="Arial" w:cs="Arial" w:eastAsia="Arial" w:hAnsi="Arial"/>
          <w:b/>
          <w:bCs/>
          <w:sz w:val="26"/>
          <w:szCs w:val="26"/>
        </w:rPr>
        <w:t xml:space="preserve">Scenario 8: Steady-State PK</w:t>
      </w:r>
    </w:p>
    <w:p>
      <w:pPr>
        <w:spacing w:after="120" w:line="276"/>
      </w:pPr>
      <w:r>
        <w:rPr>
          <w:rFonts w:ascii="Arial" w:cs="Arial" w:eastAsia="Arial" w:hAnsi="Arial"/>
          <w:sz w:val="22"/>
          <w:szCs w:val="22"/>
        </w:rPr>
        <w:t xml:space="preserve">Same as Scenario 2. Pre-dose concentration is above zero. Tick ‘Steady-state’ in the app. Sampling should cover one full dosing interval.</w:t>
      </w:r>
    </w:p>
    <w:p>
      <w:pPr>
        <w:pStyle w:val="Heading2"/>
        <w:spacing w:before="280" w:after="160"/>
      </w:pPr>
      <w:r>
        <w:rPr>
          <w:rFonts w:ascii="Arial" w:cs="Arial" w:eastAsia="Arial" w:hAnsi="Arial"/>
          <w:b/>
          <w:bCs/>
          <w:sz w:val="26"/>
          <w:szCs w:val="26"/>
        </w:rPr>
        <w:t xml:space="preserve">BLQ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7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1</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Pre-first-quantifiable = 0, post-last-quantifiable = missing, between = 0 (default)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2</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BLQ = 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3</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BLQ = excluded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4</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BLQ = LLOQ/2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5</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Before Cmax = 0, after Cmax = missing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6</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BLQ = LLOQ/2, rest = 0 (for drugs with absorption lag)</w:t>
            </w:r>
          </w:p>
        </w:tc>
      </w:tr>
    </w:tbl>
    <w:p>
      <w:r>
        <w:br w:type="page"/>
      </w:r>
    </w:p>
    <w:p>
      <w:pPr>
        <w:pStyle w:val="Heading1"/>
        <w:spacing w:before="360" w:after="200"/>
      </w:pPr>
      <w:r>
        <w:rPr>
          <w:rFonts w:ascii="Arial" w:cs="Arial" w:eastAsia="Arial" w:hAnsi="Arial"/>
          <w:b/>
          <w:bCs/>
          <w:sz w:val="32"/>
          <w:szCs w:val="32"/>
        </w:rPr>
        <w:t xml:space="preserve">Part III: Using the App</w:t>
      </w:r>
    </w:p>
    <w:p>
      <w:pPr>
        <w:pStyle w:val="Heading2"/>
        <w:spacing w:before="280" w:after="160"/>
      </w:pPr>
      <w:r>
        <w:rPr>
          <w:rFonts w:ascii="Arial" w:cs="Arial" w:eastAsia="Arial" w:hAnsi="Arial"/>
          <w:b/>
          <w:bCs/>
          <w:sz w:val="26"/>
          <w:szCs w:val="26"/>
        </w:rPr>
        <w:t xml:space="preserve">The Hub Screen</w:t>
      </w:r>
    </w:p>
    <w:p>
      <w:pPr>
        <w:spacing w:after="120" w:line="276"/>
      </w:pPr>
      <w:r>
        <w:rPr>
          <w:rFonts w:ascii="Arial" w:cs="Arial" w:eastAsia="Arial" w:hAnsi="Arial"/>
          <w:sz w:val="22"/>
          <w:szCs w:val="22"/>
        </w:rPr>
        <w:t xml:space="preserve">Five coloured cards, one per workflow path. Breadcrumb navigation at the top. Top bar: Statistical Methods, Data Guide, About.</w:t>
      </w:r>
    </w:p>
    <w:p>
      <w:pPr>
        <w:pStyle w:val="Heading2"/>
        <w:spacing w:before="280" w:after="160"/>
      </w:pPr>
      <w:r>
        <w:rPr>
          <w:rFonts w:ascii="Arial" w:cs="Arial" w:eastAsia="Arial" w:hAnsi="Arial"/>
          <w:b/>
          <w:bCs/>
          <w:sz w:val="26"/>
          <w:szCs w:val="26"/>
        </w:rPr>
        <w:t xml:space="preserve">Path 1: Plan a Study</w:t>
      </w:r>
    </w:p>
    <w:p>
      <w:pPr>
        <w:spacing w:after="120" w:line="276"/>
      </w:pPr>
      <w:r>
        <w:rPr>
          <w:rFonts w:ascii="Arial" w:cs="Arial" w:eastAsia="Arial" w:hAnsi="Arial"/>
          <w:sz w:val="22"/>
          <w:szCs w:val="22"/>
        </w:rPr>
        <w:t xml:space="preserve">Calculates sample size or power for bioequivalence studies. No data upload needed. Supports ABE, ABEL (EMA), RSABE (FDA), NTID, dose-proportionality, and non-inferiority. Uses the PowerTOST R package.</w:t>
      </w:r>
    </w:p>
    <w:p>
      <w:pPr>
        <w:pStyle w:val="Heading2"/>
        <w:spacing w:before="280" w:after="160"/>
      </w:pPr>
      <w:r>
        <w:rPr>
          <w:rFonts w:ascii="Arial" w:cs="Arial" w:eastAsia="Arial" w:hAnsi="Arial"/>
          <w:b/>
          <w:bCs/>
          <w:sz w:val="26"/>
          <w:szCs w:val="26"/>
        </w:rPr>
        <w:t xml:space="preserve">Path 2: Upload &amp; Check Data</w:t>
      </w:r>
    </w:p>
    <w:p>
      <w:pPr>
        <w:spacing w:after="120" w:line="276"/>
      </w:pPr>
      <w:r>
        <w:rPr>
          <w:rFonts w:ascii="Arial" w:cs="Arial" w:eastAsia="Arial" w:hAnsi="Arial"/>
          <w:sz w:val="22"/>
          <w:szCs w:val="22"/>
        </w:rPr>
        <w:t xml:space="preserve">Upload CSV or Excel, map columns, set BLQ handling, click Process Data. The app runs 20+ quality checks. Errors block processing; warnings allow it. A new file upload clears all previous state.</w:t>
      </w:r>
    </w:p>
    <w:p>
      <w:pPr>
        <w:pStyle w:val="Heading2"/>
        <w:spacing w:before="280" w:after="160"/>
      </w:pPr>
      <w:r>
        <w:rPr>
          <w:rFonts w:ascii="Arial" w:cs="Arial" w:eastAsia="Arial" w:hAnsi="Arial"/>
          <w:b/>
          <w:bCs/>
          <w:sz w:val="26"/>
          <w:szCs w:val="26"/>
        </w:rPr>
        <w:t xml:space="preserve">Path 3: Analyze One Subject at a Time</w:t>
      </w:r>
    </w:p>
    <w:p>
      <w:pPr>
        <w:spacing w:after="120" w:line="276"/>
      </w:pPr>
      <w:r>
        <w:rPr>
          <w:rFonts w:ascii="Arial" w:cs="Arial" w:eastAsia="Arial" w:hAnsi="Arial"/>
          <w:sz w:val="22"/>
          <w:szCs w:val="22"/>
        </w:rPr>
        <w:t xml:space="preserve">Step through individual profiles with Previous/Next. Manual data entry available. Half-life inspector allows manual point adjustment with immediate recalculation of all dependent parameters.</w:t>
      </w:r>
    </w:p>
    <w:p>
      <w:pPr>
        <w:pStyle w:val="Heading2"/>
        <w:spacing w:before="280" w:after="160"/>
      </w:pPr>
      <w:r>
        <w:rPr>
          <w:rFonts w:ascii="Arial" w:cs="Arial" w:eastAsia="Arial" w:hAnsi="Arial"/>
          <w:b/>
          <w:bCs/>
          <w:sz w:val="26"/>
          <w:szCs w:val="26"/>
        </w:rPr>
        <w:t xml:space="preserve">Path 4: Analyze All Subjects (Batch NCA)</w:t>
      </w:r>
    </w:p>
    <w:p>
      <w:pPr>
        <w:spacing w:after="120" w:line="276"/>
      </w:pPr>
      <w:r>
        <w:rPr>
          <w:rFonts w:ascii="Arial" w:cs="Arial" w:eastAsia="Arial" w:hAnsi="Arial"/>
          <w:sz w:val="22"/>
          <w:szCs w:val="22"/>
        </w:rPr>
        <w:t xml:space="preserve">The main analysis path. Settings: route of administration, dose (single or per-subject), steady-state toggle, trapezoidal method, minimum R². Result tabs: concentration–time profiles, parameter table (key columns by default, expandable to 37), summary statistics, individual grid, half-life review. Downloads: CSV, Excel, Complete Analysis Record.</w:t>
      </w:r>
    </w:p>
    <w:p>
      <w:pPr>
        <w:pStyle w:val="Heading2"/>
        <w:spacing w:before="280" w:after="160"/>
      </w:pPr>
      <w:r>
        <w:rPr>
          <w:rFonts w:ascii="Arial" w:cs="Arial" w:eastAsia="Arial" w:hAnsi="Arial"/>
          <w:b/>
          <w:bCs/>
          <w:sz w:val="26"/>
          <w:szCs w:val="26"/>
        </w:rPr>
        <w:t xml:space="preserve">Path 5: Bioequivalence Testing</w:t>
      </w:r>
    </w:p>
    <w:p>
      <w:pPr>
        <w:spacing w:after="120" w:line="276"/>
      </w:pPr>
      <w:r>
        <w:rPr>
          <w:rFonts w:ascii="Arial" w:cs="Arial" w:eastAsia="Arial" w:hAnsi="Arial"/>
          <w:sz w:val="22"/>
          <w:szCs w:val="22"/>
        </w:rPr>
        <w:t xml:space="preserve">Runs NCA, then ANOVA, then 90% CI. Supports 5 designs: 2-period crossover, fixed-order crossover, 3-period crossover, replicate crossover, parallel. Fixed or mixed-effects model. Standard ABE only (80–125% limits). Result tabs: CI table, forest plot, PK parameters, ANOVA, profiles.</w:t>
      </w:r>
    </w:p>
    <w:p>
      <w:pPr>
        <w:pStyle w:val="Heading2"/>
        <w:spacing w:before="280" w:after="160"/>
      </w:pPr>
      <w:r>
        <w:rPr>
          <w:rFonts w:ascii="Arial" w:cs="Arial" w:eastAsia="Arial" w:hAnsi="Arial"/>
          <w:b/>
          <w:bCs/>
          <w:sz w:val="26"/>
          <w:szCs w:val="26"/>
        </w:rPr>
        <w:t xml:space="preserve">Complete Analysis Record</w:t>
      </w:r>
    </w:p>
    <w:p>
      <w:pPr>
        <w:spacing w:after="120" w:line="276"/>
      </w:pPr>
      <w:r>
        <w:rPr>
          <w:rFonts w:ascii="Arial" w:cs="Arial" w:eastAsia="Arial" w:hAnsi="Arial"/>
          <w:sz w:val="22"/>
          <w:szCs w:val="22"/>
        </w:rPr>
        <w:t xml:space="preserve">Self-contained zip: results.xlsx, analysis_settings.json, reproduce_analysis.R (standalone script), data_integrity.txt (SHA-256 hash), analysis_summary.html, and the original data file.</w:t>
      </w:r>
    </w:p>
    <w:p>
      <w:r>
        <w:br w:type="page"/>
      </w:r>
    </w:p>
    <w:p>
      <w:pPr>
        <w:pStyle w:val="Heading1"/>
        <w:spacing w:before="360" w:after="200"/>
      </w:pPr>
      <w:r>
        <w:rPr>
          <w:rFonts w:ascii="Arial" w:cs="Arial" w:eastAsia="Arial" w:hAnsi="Arial"/>
          <w:b/>
          <w:bCs/>
          <w:sz w:val="32"/>
          <w:szCs w:val="32"/>
        </w:rPr>
        <w:t xml:space="preserve">Part IV: Worked Examples</w:t>
      </w:r>
    </w:p>
    <w:p>
      <w:pPr>
        <w:pStyle w:val="Heading2"/>
        <w:spacing w:before="280" w:after="160"/>
      </w:pPr>
      <w:r>
        <w:rPr>
          <w:rFonts w:ascii="Arial" w:cs="Arial" w:eastAsia="Arial" w:hAnsi="Arial"/>
          <w:b/>
          <w:bCs/>
          <w:sz w:val="26"/>
          <w:szCs w:val="26"/>
        </w:rPr>
        <w:t xml:space="preserve">Exercise 1: Theoph Dataset (Batch NCA)</w:t>
      </w:r>
    </w:p>
    <w:p>
      <w:pPr>
        <w:spacing w:after="120" w:line="276"/>
      </w:pPr>
      <w:r>
        <w:rPr>
          <w:rFonts w:ascii="Arial" w:cs="Arial" w:eastAsia="Arial" w:hAnsi="Arial"/>
          <w:sz w:val="22"/>
          <w:szCs w:val="22"/>
        </w:rPr>
        <w:t xml:space="preserve">Save the R built-in dataset: </w:t>
      </w:r>
      <w:r>
        <w:rPr>
          <w:rFonts w:ascii="Courier New" w:cs="Courier New" w:eastAsia="Courier New" w:hAnsi="Courier New"/>
          <w:sz w:val="20"/>
          <w:szCs w:val="20"/>
        </w:rPr>
        <w:t xml:space="preserve">write.csv(Theoph, "theoph.csv", row.names = FALSE)</w:t>
      </w:r>
    </w:p>
    <w:p>
      <w:pPr>
        <w:spacing w:after="120" w:line="276"/>
      </w:pPr>
      <w:r>
        <w:rPr>
          <w:rFonts w:ascii="Arial" w:cs="Arial" w:eastAsia="Arial" w:hAnsi="Arial"/>
          <w:sz w:val="22"/>
          <w:szCs w:val="22"/>
        </w:rPr>
        <w:t xml:space="preserve">Upload. Set dose = 320, route = Extravascular, method = Log-down. Run.</w:t>
      </w:r>
    </w:p>
    <w:p>
      <w:pPr>
        <w:spacing w:after="120" w:line="276"/>
      </w:pPr>
      <w:r>
        <w:rPr>
          <w:rFonts w:ascii="Arial" w:cs="Arial" w:eastAsia="Arial" w:hAnsi="Arial"/>
          <w:b/>
          <w:bCs/>
          <w:sz w:val="22"/>
          <w:szCs w:val="22"/>
        </w:rPr>
        <w:t xml:space="preserve">Questions: </w:t>
      </w:r>
      <w:r>
        <w:rPr>
          <w:rFonts w:ascii="Arial" w:cs="Arial" w:eastAsia="Arial" w:hAnsi="Arial"/>
          <w:sz w:val="22"/>
          <w:szCs w:val="22"/>
        </w:rPr>
        <w:t xml:space="preserve">1) Mean Cmax? 2) Geometric mean AUC to last? 3) Median Tmax? 4) Longest half-life (which subject)? 5) Geometric CV% for AUC∞?</w:t>
      </w:r>
    </w:p>
    <w:p>
      <w:pPr>
        <w:spacing w:after="80" w:line="276"/>
      </w:pPr>
      <w:r>
        <w:rPr>
          <w:rFonts w:ascii="Arial" w:cs="Arial" w:eastAsia="Arial" w:hAnsi="Arial"/>
          <w:color w:val="555555"/>
          <w:sz w:val="20"/>
          <w:szCs w:val="20"/>
        </w:rPr>
        <w:t xml:space="preserve">Answers: 1) ~8.76 mg/L. 2) ~101.5 h·mg/L. 3) 1.25 h. 4) Subject 6 (~14.3 h). 5) ~22%.</w:t>
      </w:r>
    </w:p>
    <w:p>
      <w:pPr>
        <w:pStyle w:val="Heading2"/>
        <w:spacing w:before="280" w:after="160"/>
      </w:pPr>
      <w:r>
        <w:rPr>
          <w:rFonts w:ascii="Arial" w:cs="Arial" w:eastAsia="Arial" w:hAnsi="Arial"/>
          <w:b/>
          <w:bCs/>
          <w:sz w:val="26"/>
          <w:szCs w:val="26"/>
        </w:rPr>
        <w:t xml:space="preserve">Exercise 2: Bioequivalence</w:t>
      </w:r>
    </w:p>
    <w:p>
      <w:pPr>
        <w:spacing w:after="120" w:line="276"/>
      </w:pPr>
      <w:r>
        <w:rPr>
          <w:rFonts w:ascii="Arial" w:cs="Arial" w:eastAsia="Arial" w:hAnsi="Arial"/>
          <w:sz w:val="22"/>
          <w:szCs w:val="22"/>
        </w:rPr>
        <w:t xml:space="preserve">Upload example_be_crossover.csv. Map columns. Set dose = 100, design = 2-period crossover. Run.</w:t>
      </w:r>
    </w:p>
    <w:p>
      <w:pPr>
        <w:spacing w:after="120" w:line="276"/>
      </w:pPr>
      <w:r>
        <w:rPr>
          <w:rFonts w:ascii="Arial" w:cs="Arial" w:eastAsia="Arial" w:hAnsi="Arial"/>
          <w:b/>
          <w:bCs/>
          <w:sz w:val="22"/>
          <w:szCs w:val="22"/>
        </w:rPr>
        <w:t xml:space="preserve">Questions: </w:t>
      </w:r>
      <w:r>
        <w:rPr>
          <w:rFonts w:ascii="Arial" w:cs="Arial" w:eastAsia="Arial" w:hAnsi="Arial"/>
          <w:sz w:val="22"/>
          <w:szCs w:val="22"/>
        </w:rPr>
        <w:t xml:space="preserve">1) Bioequivalent based on Cmax? 2) GMR for AUClast? 3) Does 90% CI for AUC∞ fall within 80–125%?</w:t>
      </w:r>
    </w:p>
    <w:p>
      <w:pPr>
        <w:pStyle w:val="Heading2"/>
        <w:spacing w:before="280" w:after="160"/>
      </w:pPr>
      <w:r>
        <w:rPr>
          <w:rFonts w:ascii="Arial" w:cs="Arial" w:eastAsia="Arial" w:hAnsi="Arial"/>
          <w:b/>
          <w:bCs/>
          <w:sz w:val="26"/>
          <w:szCs w:val="26"/>
        </w:rPr>
        <w:t xml:space="preserve">Exercise 3: Power Calculation</w:t>
      </w:r>
    </w:p>
    <w:p>
      <w:pPr>
        <w:spacing w:after="120" w:line="276"/>
      </w:pPr>
      <w:r>
        <w:rPr>
          <w:rFonts w:ascii="Arial" w:cs="Arial" w:eastAsia="Arial" w:hAnsi="Arial"/>
          <w:sz w:val="22"/>
          <w:szCs w:val="22"/>
        </w:rPr>
        <w:t xml:space="preserve">Plan a Study. ABE, 2×2×2, CV = 25%, GMR = 0.95, power = 0.80.</w:t>
      </w:r>
    </w:p>
    <w:p>
      <w:pPr>
        <w:spacing w:after="120" w:line="276"/>
      </w:pPr>
      <w:r>
        <w:rPr>
          <w:rFonts w:ascii="Arial" w:cs="Arial" w:eastAsia="Arial" w:hAnsi="Arial"/>
          <w:b/>
          <w:bCs/>
          <w:sz w:val="22"/>
          <w:szCs w:val="22"/>
        </w:rPr>
        <w:t xml:space="preserve">Questions: </w:t>
      </w:r>
      <w:r>
        <w:rPr>
          <w:rFonts w:ascii="Arial" w:cs="Arial" w:eastAsia="Arial" w:hAnsi="Arial"/>
          <w:sz w:val="22"/>
          <w:szCs w:val="22"/>
        </w:rPr>
        <w:t xml:space="preserve">1) Subjects needed? 2) Power with 30 subjects? 3) Subjects needed at CV = 35%?</w:t>
      </w:r>
    </w:p>
    <w:p>
      <w:r>
        <w:br w:type="page"/>
      </w:r>
    </w:p>
    <w:p>
      <w:pPr>
        <w:pStyle w:val="Heading1"/>
        <w:spacing w:before="360" w:after="200"/>
      </w:pPr>
      <w:r>
        <w:rPr>
          <w:rFonts w:ascii="Arial" w:cs="Arial" w:eastAsia="Arial" w:hAnsi="Arial"/>
          <w:b/>
          <w:bCs/>
          <w:sz w:val="32"/>
          <w:szCs w:val="32"/>
        </w:rPr>
        <w:t xml:space="preserve">Part V: Theoretical Background</w:t>
      </w:r>
    </w:p>
    <w:p>
      <w:pPr>
        <w:pStyle w:val="Heading2"/>
        <w:spacing w:before="280" w:after="160"/>
      </w:pPr>
      <w:r>
        <w:rPr>
          <w:rFonts w:ascii="Arial" w:cs="Arial" w:eastAsia="Arial" w:hAnsi="Arial"/>
          <w:b/>
          <w:bCs/>
          <w:sz w:val="26"/>
          <w:szCs w:val="26"/>
        </w:rPr>
        <w:t xml:space="preserve">Trapezoidal Methods for AUC Calculation</w:t>
      </w:r>
    </w:p>
    <w:p>
      <w:pPr>
        <w:spacing w:after="120" w:line="276"/>
      </w:pPr>
      <w:r>
        <w:rPr>
          <w:rFonts w:ascii="Arial" w:cs="Arial" w:eastAsia="Arial" w:hAnsi="Arial"/>
          <w:sz w:val="22"/>
          <w:szCs w:val="22"/>
        </w:rPr>
        <w:t xml:space="preserve">The area under the concentration–time curve (AUC) represents total drug exposure. Since the true analytical function describing the curve is unknown, AUC is estimated numerically by dividing the curve into segments between consecutive sampling times and approximating the area of each segment.</w:t>
      </w:r>
    </w:p>
    <w:p>
      <w:pPr>
        <w:pStyle w:val="Heading3"/>
        <w:spacing w:before="200" w:after="120"/>
      </w:pPr>
      <w:r>
        <w:rPr>
          <w:rFonts w:ascii="Arial" w:cs="Arial" w:eastAsia="Arial" w:hAnsi="Arial"/>
          <w:b/>
          <w:bCs/>
          <w:sz w:val="22"/>
          <w:szCs w:val="22"/>
        </w:rPr>
        <w:t xml:space="preserve">The Linear Trapezoidal Rule</w:t>
      </w:r>
    </w:p>
    <w:p>
      <w:pPr>
        <w:spacing w:after="120" w:line="276"/>
      </w:pPr>
      <w:r>
        <w:rPr>
          <w:rFonts w:ascii="Arial" w:cs="Arial" w:eastAsia="Arial" w:hAnsi="Arial"/>
          <w:sz w:val="22"/>
          <w:szCs w:val="22"/>
        </w:rPr>
        <w:t xml:space="preserve">Between two consecutive observations at times t</w:t>
      </w:r>
      <w:r>
        <w:rPr>
          <w:rFonts w:ascii="Arial" w:cs="Arial" w:eastAsia="Arial" w:hAnsi="Arial"/>
          <w:sz w:val="22"/>
          <w:szCs w:val="22"/>
          <w:vertAlign w:val="subscript"/>
        </w:rPr>
        <w:t xml:space="preserve">i</w:t>
      </w:r>
      <w:r>
        <w:rPr>
          <w:rFonts w:ascii="Arial" w:cs="Arial" w:eastAsia="Arial" w:hAnsi="Arial"/>
          <w:sz w:val="22"/>
          <w:szCs w:val="22"/>
        </w:rPr>
        <w:t xml:space="preserve"> and t</w:t>
      </w:r>
      <w:r>
        <w:rPr>
          <w:rFonts w:ascii="Arial" w:cs="Arial" w:eastAsia="Arial" w:hAnsi="Arial"/>
          <w:sz w:val="22"/>
          <w:szCs w:val="22"/>
          <w:vertAlign w:val="subscript"/>
        </w:rPr>
        <w:t xml:space="preserve">i+1</w:t>
      </w:r>
      <w:r>
        <w:rPr>
          <w:rFonts w:ascii="Arial" w:cs="Arial" w:eastAsia="Arial" w:hAnsi="Arial"/>
          <w:sz w:val="22"/>
          <w:szCs w:val="22"/>
        </w:rPr>
        <w:t xml:space="preserve"> with concentrations C</w:t>
      </w:r>
      <w:r>
        <w:rPr>
          <w:rFonts w:ascii="Arial" w:cs="Arial" w:eastAsia="Arial" w:hAnsi="Arial"/>
          <w:sz w:val="22"/>
          <w:szCs w:val="22"/>
          <w:vertAlign w:val="subscript"/>
        </w:rPr>
        <w:t xml:space="preserve">i</w:t>
      </w:r>
      <w:r>
        <w:rPr>
          <w:rFonts w:ascii="Arial" w:cs="Arial" w:eastAsia="Arial" w:hAnsi="Arial"/>
          <w:sz w:val="22"/>
          <w:szCs w:val="22"/>
        </w:rPr>
        <w:t xml:space="preserve"> and C</w:t>
      </w:r>
      <w:r>
        <w:rPr>
          <w:rFonts w:ascii="Arial" w:cs="Arial" w:eastAsia="Arial" w:hAnsi="Arial"/>
          <w:sz w:val="22"/>
          <w:szCs w:val="22"/>
          <w:vertAlign w:val="subscript"/>
        </w:rPr>
        <w:t xml:space="preserve">i+1</w:t>
      </w:r>
      <w:r>
        <w:rPr>
          <w:rFonts w:ascii="Arial" w:cs="Arial" w:eastAsia="Arial" w:hAnsi="Arial"/>
          <w:sz w:val="22"/>
          <w:szCs w:val="22"/>
        </w:rPr>
        <w:t xml:space="preserve">, the area is approximated as a trapezoid with parallel sides C</w:t>
      </w:r>
      <w:r>
        <w:rPr>
          <w:rFonts w:ascii="Arial" w:cs="Arial" w:eastAsia="Arial" w:hAnsi="Arial"/>
          <w:sz w:val="22"/>
          <w:szCs w:val="22"/>
          <w:vertAlign w:val="subscript"/>
        </w:rPr>
        <w:t xml:space="preserve">i</w:t>
      </w:r>
      <w:r>
        <w:rPr>
          <w:rFonts w:ascii="Arial" w:cs="Arial" w:eastAsia="Arial" w:hAnsi="Arial"/>
          <w:sz w:val="22"/>
          <w:szCs w:val="22"/>
        </w:rPr>
        <w:t xml:space="preserve"> and C</w:t>
      </w:r>
      <w:r>
        <w:rPr>
          <w:rFonts w:ascii="Arial" w:cs="Arial" w:eastAsia="Arial" w:hAnsi="Arial"/>
          <w:sz w:val="22"/>
          <w:szCs w:val="22"/>
          <w:vertAlign w:val="subscript"/>
        </w:rPr>
        <w:t xml:space="preserve">i+1</w:t>
      </w:r>
      <w:r>
        <w:rPr>
          <w:rFonts w:ascii="Arial" w:cs="Arial" w:eastAsia="Arial" w:hAnsi="Arial"/>
          <w:sz w:val="22"/>
          <w:szCs w:val="22"/>
        </w:rPr>
        <w:t xml:space="preserve"> and width (t</w:t>
      </w:r>
      <w:r>
        <w:rPr>
          <w:rFonts w:ascii="Arial" w:cs="Arial" w:eastAsia="Arial" w:hAnsi="Arial"/>
          <w:sz w:val="22"/>
          <w:szCs w:val="22"/>
          <w:vertAlign w:val="subscript"/>
        </w:rPr>
        <w:t xml:space="preserve">i+1</w:t>
      </w:r>
      <w:r>
        <w:rPr>
          <w:rFonts w:ascii="Arial" w:cs="Arial" w:eastAsia="Arial" w:hAnsi="Arial"/>
          <w:sz w:val="22"/>
          <w:szCs w:val="22"/>
        </w:rPr>
        <w:t xml:space="preserve"> − t</w:t>
      </w:r>
      <w:r>
        <w:rPr>
          <w:rFonts w:ascii="Arial" w:cs="Arial" w:eastAsia="Arial" w:hAnsi="Arial"/>
          <w:sz w:val="22"/>
          <w:szCs w:val="22"/>
          <w:vertAlign w:val="subscript"/>
        </w:rPr>
        <w:t xml:space="preserve">i</w:t>
      </w:r>
      <w:r>
        <w:rPr>
          <w:rFonts w:ascii="Arial" w:cs="Arial" w:eastAsia="Arial" w:hAnsi="Arial"/>
          <w:sz w:val="22"/>
          <w:szCs w:val="22"/>
        </w:rPr>
        <w:t xml:space="preserve">):</w:t>
      </w:r>
    </w:p>
    <w:p>
      <w:pPr>
        <w:spacing w:before="80" w:after="80"/>
        <w:ind w:left="720"/>
      </w:pPr>
      <w:r>
        <w:rPr>
          <w:rFonts w:ascii="Courier New" w:cs="Courier New" w:eastAsia="Courier New" w:hAnsi="Courier New"/>
          <w:color w:val="2C3E50"/>
          <w:sz w:val="21"/>
          <w:szCs w:val="21"/>
        </w:rPr>
        <w:t xml:space="preserve">AUC(i) = (t(i+1) − t(i)) × (C(i) + C(i+1)) / 2</w:t>
      </w:r>
    </w:p>
    <w:p>
      <w:pPr>
        <w:spacing w:after="120" w:line="276"/>
      </w:pPr>
      <w:r>
        <w:rPr>
          <w:rFonts w:ascii="Arial" w:cs="Arial" w:eastAsia="Arial" w:hAnsi="Arial"/>
          <w:sz w:val="22"/>
          <w:szCs w:val="22"/>
        </w:rPr>
        <w:t xml:space="preserve">This formula assumes that the concentration changes linearly between the two time points. During the absorption phase (concentrations rising), this is a reasonable approximation. However, during the elimination phase (concentrations declining), drug concentrations typically follow a mono-exponential decay, and the linear assumption leads to a systematic </w:t>
      </w:r>
      <w:r>
        <w:rPr>
          <w:rFonts w:ascii="Arial" w:cs="Arial" w:eastAsia="Arial" w:hAnsi="Arial"/>
          <w:b/>
          <w:bCs/>
          <w:sz w:val="22"/>
          <w:szCs w:val="22"/>
        </w:rPr>
        <w:t xml:space="preserve">overestimation</w:t>
      </w:r>
      <w:r>
        <w:rPr>
          <w:rFonts w:ascii="Arial" w:cs="Arial" w:eastAsia="Arial" w:hAnsi="Arial"/>
          <w:sz w:val="22"/>
          <w:szCs w:val="22"/>
        </w:rPr>
        <w:t xml:space="preserve"> of the true area. A straight line drawn between two points on an exponential decay curve lies above the true curve, enclosing more area than the actual integral.</w:t>
      </w:r>
    </w:p>
    <w:p>
      <w:pPr>
        <w:pStyle w:val="Heading3"/>
        <w:spacing w:before="200" w:after="120"/>
      </w:pPr>
      <w:r>
        <w:rPr>
          <w:rFonts w:ascii="Arial" w:cs="Arial" w:eastAsia="Arial" w:hAnsi="Arial"/>
          <w:b/>
          <w:bCs/>
          <w:sz w:val="22"/>
          <w:szCs w:val="22"/>
        </w:rPr>
        <w:t xml:space="preserve">The Logarithmic Trapezoidal Rule</w:t>
      </w:r>
    </w:p>
    <w:p>
      <w:pPr>
        <w:spacing w:after="120" w:line="276"/>
      </w:pPr>
      <w:r>
        <w:rPr>
          <w:rFonts w:ascii="Arial" w:cs="Arial" w:eastAsia="Arial" w:hAnsi="Arial"/>
          <w:sz w:val="22"/>
          <w:szCs w:val="22"/>
        </w:rPr>
        <w:t xml:space="preserve">If the concentration declines mono-exponentially between two time points (C(t) = C</w:t>
      </w:r>
      <w:r>
        <w:rPr>
          <w:rFonts w:ascii="Arial" w:cs="Arial" w:eastAsia="Arial" w:hAnsi="Arial"/>
          <w:sz w:val="22"/>
          <w:szCs w:val="22"/>
          <w:vertAlign w:val="subscript"/>
        </w:rPr>
        <w:t xml:space="preserve">i</w:t>
      </w:r>
      <w:r>
        <w:rPr>
          <w:rFonts w:ascii="Arial" w:cs="Arial" w:eastAsia="Arial" w:hAnsi="Arial"/>
          <w:sz w:val="22"/>
          <w:szCs w:val="22"/>
        </w:rPr>
        <w:t xml:space="preserve"> · e</w:t>
      </w:r>
      <w:r>
        <w:rPr>
          <w:rFonts w:ascii="Arial" w:cs="Arial" w:eastAsia="Arial" w:hAnsi="Arial"/>
          <w:sz w:val="22"/>
          <w:szCs w:val="22"/>
          <w:vertAlign w:val="superscript"/>
        </w:rPr>
        <w:t xml:space="preserve">−k·(t−t₀)</w:t>
      </w:r>
      <w:r>
        <w:rPr>
          <w:rFonts w:ascii="Arial" w:cs="Arial" w:eastAsia="Arial" w:hAnsi="Arial"/>
          <w:sz w:val="22"/>
          <w:szCs w:val="22"/>
        </w:rPr>
        <w:t xml:space="preserve">), the exact integral can be computed analytically:</w:t>
      </w:r>
    </w:p>
    <w:p>
      <w:pPr>
        <w:spacing w:before="80" w:after="80"/>
        <w:ind w:left="720"/>
      </w:pPr>
      <w:r>
        <w:rPr>
          <w:rFonts w:ascii="Courier New" w:cs="Courier New" w:eastAsia="Courier New" w:hAnsi="Courier New"/>
          <w:color w:val="2C3E50"/>
          <w:sz w:val="21"/>
          <w:szCs w:val="21"/>
        </w:rPr>
        <w:t xml:space="preserve">AUC(i) = (t(i+1) − t(i)) × (C(i) − C(i+1)) / (ln C(i) − ln C(i+1))</w:t>
      </w:r>
    </w:p>
    <w:p>
      <w:pPr>
        <w:spacing w:after="120" w:line="276"/>
      </w:pPr>
      <w:r>
        <w:rPr>
          <w:rFonts w:ascii="Arial" w:cs="Arial" w:eastAsia="Arial" w:hAnsi="Arial"/>
          <w:sz w:val="22"/>
          <w:szCs w:val="22"/>
        </w:rPr>
        <w:t xml:space="preserve">This formula gives a more accurate estimate during the terminal elimination phase because it accounts for the curvature of the exponential decline. It requires both C</w:t>
      </w:r>
      <w:r>
        <w:rPr>
          <w:rFonts w:ascii="Arial" w:cs="Arial" w:eastAsia="Arial" w:hAnsi="Arial"/>
          <w:sz w:val="22"/>
          <w:szCs w:val="22"/>
          <w:vertAlign w:val="subscript"/>
        </w:rPr>
        <w:t xml:space="preserve">i</w:t>
      </w:r>
      <w:r>
        <w:rPr>
          <w:rFonts w:ascii="Arial" w:cs="Arial" w:eastAsia="Arial" w:hAnsi="Arial"/>
          <w:sz w:val="22"/>
          <w:szCs w:val="22"/>
        </w:rPr>
        <w:t xml:space="preserve"> and C</w:t>
      </w:r>
      <w:r>
        <w:rPr>
          <w:rFonts w:ascii="Arial" w:cs="Arial" w:eastAsia="Arial" w:hAnsi="Arial"/>
          <w:sz w:val="22"/>
          <w:szCs w:val="22"/>
          <w:vertAlign w:val="subscript"/>
        </w:rPr>
        <w:t xml:space="preserve">i+1</w:t>
      </w:r>
      <w:r>
        <w:rPr>
          <w:rFonts w:ascii="Arial" w:cs="Arial" w:eastAsia="Arial" w:hAnsi="Arial"/>
          <w:sz w:val="22"/>
          <w:szCs w:val="22"/>
        </w:rPr>
        <w:t xml:space="preserve"> to be positive (logarithms of zero or negative values are undefined).</w:t>
      </w:r>
    </w:p>
    <w:p>
      <w:pPr>
        <w:pStyle w:val="Heading3"/>
        <w:spacing w:before="200" w:after="120"/>
      </w:pPr>
      <w:r>
        <w:rPr>
          <w:rFonts w:ascii="Arial" w:cs="Arial" w:eastAsia="Arial" w:hAnsi="Arial"/>
          <w:b/>
          <w:bCs/>
          <w:sz w:val="22"/>
          <w:szCs w:val="22"/>
        </w:rPr>
        <w:t xml:space="preserve">The Linear-Up / Log-Down Hybrid Method</w:t>
      </w:r>
    </w:p>
    <w:p>
      <w:pPr>
        <w:spacing w:after="120" w:line="276"/>
      </w:pPr>
      <w:r>
        <w:rPr>
          <w:rFonts w:ascii="Arial" w:cs="Arial" w:eastAsia="Arial" w:hAnsi="Arial"/>
          <w:sz w:val="22"/>
          <w:szCs w:val="22"/>
        </w:rPr>
        <w:t xml:space="preserve">The recommended approach, proposed by Yeh and Kwan (1978), combines both formulas:</w:t>
      </w:r>
    </w:p>
    <w:p>
      <w:pPr>
        <w:spacing w:after="120" w:line="276"/>
      </w:pPr>
      <w:r>
        <w:rPr>
          <w:rFonts w:ascii="Arial" w:cs="Arial" w:eastAsia="Arial" w:hAnsi="Arial"/>
          <w:sz w:val="22"/>
          <w:szCs w:val="22"/>
        </w:rPr>
        <w:t xml:space="preserve">• </w:t>
      </w:r>
      <w:r>
        <w:rPr>
          <w:rFonts w:ascii="Arial" w:cs="Arial" w:eastAsia="Arial" w:hAnsi="Arial"/>
          <w:b/>
          <w:bCs/>
          <w:sz w:val="22"/>
          <w:szCs w:val="22"/>
        </w:rPr>
        <w:t xml:space="preserve">Ascending phase</w:t>
      </w:r>
      <w:r>
        <w:rPr>
          <w:rFonts w:ascii="Arial" w:cs="Arial" w:eastAsia="Arial" w:hAnsi="Arial"/>
          <w:sz w:val="22"/>
          <w:szCs w:val="22"/>
        </w:rPr>
        <w:t xml:space="preserve"> (C</w:t>
      </w:r>
      <w:r>
        <w:rPr>
          <w:rFonts w:ascii="Arial" w:cs="Arial" w:eastAsia="Arial" w:hAnsi="Arial"/>
          <w:sz w:val="22"/>
          <w:szCs w:val="22"/>
          <w:vertAlign w:val="subscript"/>
        </w:rPr>
        <w:t xml:space="preserve">i+1</w:t>
      </w:r>
      <w:r>
        <w:rPr>
          <w:rFonts w:ascii="Arial" w:cs="Arial" w:eastAsia="Arial" w:hAnsi="Arial"/>
          <w:sz w:val="22"/>
          <w:szCs w:val="22"/>
        </w:rPr>
        <w:t xml:space="preserve"> ≥ C</w:t>
      </w:r>
      <w:r>
        <w:rPr>
          <w:rFonts w:ascii="Arial" w:cs="Arial" w:eastAsia="Arial" w:hAnsi="Arial"/>
          <w:sz w:val="22"/>
          <w:szCs w:val="22"/>
          <w:vertAlign w:val="subscript"/>
        </w:rPr>
        <w:t xml:space="preserve">i</w:t>
      </w:r>
      <w:r>
        <w:rPr>
          <w:rFonts w:ascii="Arial" w:cs="Arial" w:eastAsia="Arial" w:hAnsi="Arial"/>
          <w:sz w:val="22"/>
          <w:szCs w:val="22"/>
        </w:rPr>
        <w:t xml:space="preserve">): use the linear trapezoidal formula. During absorption, the concentration–time profile is not exponential, so the mono-exponential assumption is invalid.</w:t>
      </w:r>
    </w:p>
    <w:p>
      <w:pPr>
        <w:spacing w:after="120" w:line="276"/>
      </w:pPr>
      <w:r>
        <w:rPr>
          <w:rFonts w:ascii="Arial" w:cs="Arial" w:eastAsia="Arial" w:hAnsi="Arial"/>
          <w:sz w:val="22"/>
          <w:szCs w:val="22"/>
        </w:rPr>
        <w:t xml:space="preserve">• </w:t>
      </w:r>
      <w:r>
        <w:rPr>
          <w:rFonts w:ascii="Arial" w:cs="Arial" w:eastAsia="Arial" w:hAnsi="Arial"/>
          <w:b/>
          <w:bCs/>
          <w:sz w:val="22"/>
          <w:szCs w:val="22"/>
        </w:rPr>
        <w:t xml:space="preserve">Descending phase</w:t>
      </w:r>
      <w:r>
        <w:rPr>
          <w:rFonts w:ascii="Arial" w:cs="Arial" w:eastAsia="Arial" w:hAnsi="Arial"/>
          <w:sz w:val="22"/>
          <w:szCs w:val="22"/>
        </w:rPr>
        <w:t xml:space="preserve"> (C</w:t>
      </w:r>
      <w:r>
        <w:rPr>
          <w:rFonts w:ascii="Arial" w:cs="Arial" w:eastAsia="Arial" w:hAnsi="Arial"/>
          <w:sz w:val="22"/>
          <w:szCs w:val="22"/>
          <w:vertAlign w:val="subscript"/>
        </w:rPr>
        <w:t xml:space="preserve">i+1</w:t>
      </w:r>
      <w:r>
        <w:rPr>
          <w:rFonts w:ascii="Arial" w:cs="Arial" w:eastAsia="Arial" w:hAnsi="Arial"/>
          <w:sz w:val="22"/>
          <w:szCs w:val="22"/>
        </w:rPr>
        <w:t xml:space="preserve"> &lt; C</w:t>
      </w:r>
      <w:r>
        <w:rPr>
          <w:rFonts w:ascii="Arial" w:cs="Arial" w:eastAsia="Arial" w:hAnsi="Arial"/>
          <w:sz w:val="22"/>
          <w:szCs w:val="22"/>
          <w:vertAlign w:val="subscript"/>
        </w:rPr>
        <w:t xml:space="preserve">i</w:t>
      </w:r>
      <w:r>
        <w:rPr>
          <w:rFonts w:ascii="Arial" w:cs="Arial" w:eastAsia="Arial" w:hAnsi="Arial"/>
          <w:sz w:val="22"/>
          <w:szCs w:val="22"/>
        </w:rPr>
        <w:t xml:space="preserve">): use the logarithmic trapezoidal formula. During elimination, the mono-exponential assumption is appropriate, and the logarithmic formula avoids the systematic overestimation of the linear method.</w:t>
      </w:r>
    </w:p>
    <w:p>
      <w:pPr>
        <w:spacing w:after="120" w:line="276"/>
      </w:pPr>
      <w:r>
        <w:rPr>
          <w:rFonts w:ascii="Arial" w:cs="Arial" w:eastAsia="Arial" w:hAnsi="Arial"/>
          <w:sz w:val="22"/>
          <w:szCs w:val="22"/>
        </w:rPr>
        <w:t xml:space="preserve">This hybrid is the default in the NCA Assistant, in Phoenix WinNonlin, and in most regulatory submissions. The purely linear method is available as an alternative for comparison or for datasets with noisy terminal phases where the log-down formula may amplify errors.</w:t>
      </w:r>
    </w:p>
    <w:p>
      <w:pPr>
        <w:pStyle w:val="Heading3"/>
        <w:spacing w:before="200" w:after="120"/>
      </w:pPr>
      <w:r>
        <w:rPr>
          <w:rFonts w:ascii="Arial" w:cs="Arial" w:eastAsia="Arial" w:hAnsi="Arial"/>
          <w:b/>
          <w:bCs/>
          <w:sz w:val="22"/>
          <w:szCs w:val="22"/>
        </w:rPr>
        <w:t xml:space="preserve">When Does the Choice of Method Matter?</w:t>
      </w:r>
    </w:p>
    <w:p>
      <w:pPr>
        <w:spacing w:after="120" w:line="276"/>
      </w:pPr>
      <w:r>
        <w:rPr>
          <w:rFonts w:ascii="Arial" w:cs="Arial" w:eastAsia="Arial" w:hAnsi="Arial"/>
          <w:sz w:val="22"/>
          <w:szCs w:val="22"/>
        </w:rPr>
        <w:t xml:space="preserve">The difference between linear and log-down AUC is largest when the sampling intervals are wide relative to the half-life. With dense sampling (many points close together), both methods converge to the true area. With sparse sampling during a steep decline, the linear method can overestimate AUC by 5–15%. For most well-designed PK studies with adequate sampling, the difference is less than 2%.</w:t>
      </w:r>
    </w:p>
    <w:p>
      <w:pPr>
        <w:pStyle w:val="Heading2"/>
        <w:spacing w:before="280" w:after="160"/>
      </w:pPr>
      <w:r>
        <w:rPr>
          <w:rFonts w:ascii="Arial" w:cs="Arial" w:eastAsia="Arial" w:hAnsi="Arial"/>
          <w:b/>
          <w:bCs/>
          <w:sz w:val="26"/>
          <w:szCs w:val="26"/>
        </w:rPr>
        <w:t xml:space="preserve">Terminal Phase Characterisation and Half-Life Estimation</w:t>
      </w:r>
    </w:p>
    <w:p>
      <w:pPr>
        <w:pStyle w:val="Heading3"/>
        <w:spacing w:before="200" w:after="120"/>
      </w:pPr>
      <w:r>
        <w:rPr>
          <w:rFonts w:ascii="Arial" w:cs="Arial" w:eastAsia="Arial" w:hAnsi="Arial"/>
          <w:b/>
          <w:bCs/>
          <w:sz w:val="22"/>
          <w:szCs w:val="22"/>
        </w:rPr>
        <w:t xml:space="preserve">What Is the Terminal Phase?</w:t>
      </w:r>
    </w:p>
    <w:p>
      <w:pPr>
        <w:spacing w:after="120" w:line="276"/>
      </w:pPr>
      <w:r>
        <w:rPr>
          <w:rFonts w:ascii="Arial" w:cs="Arial" w:eastAsia="Arial" w:hAnsi="Arial"/>
          <w:sz w:val="22"/>
          <w:szCs w:val="22"/>
        </w:rPr>
        <w:t xml:space="preserve">After absorption and distribution are complete, the drug is eliminated from the body at a rate governed by the terminal elimination rate constant (λ</w:t>
      </w:r>
      <w:r>
        <w:rPr>
          <w:rFonts w:ascii="Arial" w:cs="Arial" w:eastAsia="Arial" w:hAnsi="Arial"/>
          <w:sz w:val="22"/>
          <w:szCs w:val="22"/>
          <w:vertAlign w:val="subscript"/>
        </w:rPr>
        <w:t xml:space="preserve">z</w:t>
      </w:r>
      <w:r>
        <w:rPr>
          <w:rFonts w:ascii="Arial" w:cs="Arial" w:eastAsia="Arial" w:hAnsi="Arial"/>
          <w:sz w:val="22"/>
          <w:szCs w:val="22"/>
        </w:rPr>
        <w:t xml:space="preserve">). During this phase, the concentration declines mono-exponentially: C(t) = C</w:t>
      </w:r>
      <w:r>
        <w:rPr>
          <w:rFonts w:ascii="Arial" w:cs="Arial" w:eastAsia="Arial" w:hAnsi="Arial"/>
          <w:sz w:val="22"/>
          <w:szCs w:val="22"/>
          <w:vertAlign w:val="subscript"/>
        </w:rPr>
        <w:t xml:space="preserve">0</w:t>
      </w:r>
      <w:r>
        <w:rPr>
          <w:rFonts w:ascii="Arial" w:cs="Arial" w:eastAsia="Arial" w:hAnsi="Arial"/>
          <w:sz w:val="22"/>
          <w:szCs w:val="22"/>
        </w:rPr>
        <w:t xml:space="preserve"> · e</w:t>
      </w:r>
      <w:r>
        <w:rPr>
          <w:rFonts w:ascii="Arial" w:cs="Arial" w:eastAsia="Arial" w:hAnsi="Arial"/>
          <w:sz w:val="22"/>
          <w:szCs w:val="22"/>
          <w:vertAlign w:val="superscript"/>
        </w:rPr>
        <w:t xml:space="preserve">−λz·t</w:t>
      </w:r>
      <w:r>
        <w:rPr>
          <w:rFonts w:ascii="Arial" w:cs="Arial" w:eastAsia="Arial" w:hAnsi="Arial"/>
          <w:sz w:val="22"/>
          <w:szCs w:val="22"/>
        </w:rPr>
        <w:t xml:space="preserve">. On a log-linear plot (ln(C) vs. time), this phase appears as a straight line with slope −λ</w:t>
      </w:r>
      <w:r>
        <w:rPr>
          <w:rFonts w:ascii="Arial" w:cs="Arial" w:eastAsia="Arial" w:hAnsi="Arial"/>
          <w:sz w:val="22"/>
          <w:szCs w:val="22"/>
          <w:vertAlign w:val="subscript"/>
        </w:rPr>
        <w:t xml:space="preserve">z</w:t>
      </w:r>
      <w:r>
        <w:rPr>
          <w:rFonts w:ascii="Arial" w:cs="Arial" w:eastAsia="Arial" w:hAnsi="Arial"/>
          <w:sz w:val="22"/>
          <w:szCs w:val="22"/>
        </w:rPr>
        <w:t xml:space="preserve">.</w:t>
      </w:r>
    </w:p>
    <w:p>
      <w:pPr>
        <w:pStyle w:val="Heading3"/>
        <w:spacing w:before="200" w:after="120"/>
      </w:pPr>
      <w:r>
        <w:rPr>
          <w:rFonts w:ascii="Arial" w:cs="Arial" w:eastAsia="Arial" w:hAnsi="Arial"/>
          <w:b/>
          <w:bCs/>
          <w:sz w:val="22"/>
          <w:szCs w:val="22"/>
        </w:rPr>
        <w:t xml:space="preserve">Estimation by Log-Linear Regression</w:t>
      </w:r>
    </w:p>
    <w:p>
      <w:pPr>
        <w:spacing w:after="120" w:line="276"/>
      </w:pPr>
      <w:r>
        <w:rPr>
          <w:rFonts w:ascii="Arial" w:cs="Arial" w:eastAsia="Arial" w:hAnsi="Arial"/>
          <w:sz w:val="22"/>
          <w:szCs w:val="22"/>
        </w:rPr>
        <w:t xml:space="preserve">The terminal rate constant is estimated by fitting an ordinary least squares (OLS) linear regression to ln(concentration) versus time in the terminal phase. The slope of this regression equals −λ</w:t>
      </w:r>
      <w:r>
        <w:rPr>
          <w:rFonts w:ascii="Arial" w:cs="Arial" w:eastAsia="Arial" w:hAnsi="Arial"/>
          <w:sz w:val="22"/>
          <w:szCs w:val="22"/>
          <w:vertAlign w:val="subscript"/>
        </w:rPr>
        <w:t xml:space="preserve">z</w:t>
      </w:r>
      <w:r>
        <w:rPr>
          <w:rFonts w:ascii="Arial" w:cs="Arial" w:eastAsia="Arial" w:hAnsi="Arial"/>
          <w:sz w:val="22"/>
          <w:szCs w:val="22"/>
        </w:rPr>
        <w:t xml:space="preserve">, and the half-life is calculated as t</w:t>
      </w:r>
      <w:r>
        <w:rPr>
          <w:rFonts w:ascii="Arial" w:cs="Arial" w:eastAsia="Arial" w:hAnsi="Arial"/>
          <w:sz w:val="22"/>
          <w:szCs w:val="22"/>
          <w:vertAlign w:val="subscript"/>
        </w:rPr>
        <w:t xml:space="preserve">½</w:t>
      </w:r>
      <w:r>
        <w:rPr>
          <w:rFonts w:ascii="Arial" w:cs="Arial" w:eastAsia="Arial" w:hAnsi="Arial"/>
          <w:sz w:val="22"/>
          <w:szCs w:val="22"/>
        </w:rPr>
        <w:t xml:space="preserve"> = ln(2) / λ</w:t>
      </w:r>
      <w:r>
        <w:rPr>
          <w:rFonts w:ascii="Arial" w:cs="Arial" w:eastAsia="Arial" w:hAnsi="Arial"/>
          <w:sz w:val="22"/>
          <w:szCs w:val="22"/>
          <w:vertAlign w:val="subscript"/>
        </w:rPr>
        <w:t xml:space="preserve">z</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key challenge is determining which data points belong to the terminal phase. Including points from the distribution phase (too early) will underestimate the true half-life. Including points where the concentration is near or below the assay’s sensitivity (too late) will introduce noise.</w:t>
      </w:r>
    </w:p>
    <w:p>
      <w:pPr>
        <w:pStyle w:val="Heading3"/>
        <w:spacing w:before="200" w:after="120"/>
      </w:pPr>
      <w:r>
        <w:rPr>
          <w:rFonts w:ascii="Arial" w:cs="Arial" w:eastAsia="Arial" w:hAnsi="Arial"/>
          <w:b/>
          <w:bCs/>
          <w:sz w:val="22"/>
          <w:szCs w:val="22"/>
        </w:rPr>
        <w:t xml:space="preserve">Automated Point Selection</w:t>
      </w:r>
    </w:p>
    <w:p>
      <w:pPr>
        <w:spacing w:after="120" w:line="276"/>
      </w:pPr>
      <w:r>
        <w:rPr>
          <w:rFonts w:ascii="Arial" w:cs="Arial" w:eastAsia="Arial" w:hAnsi="Arial"/>
          <w:sz w:val="22"/>
          <w:szCs w:val="22"/>
        </w:rPr>
        <w:t xml:space="preserve">The NCA Assistant uses the same algorithm as NonCompart and WinNonlin: it considers all combinations of the last n data points after C</w:t>
      </w:r>
      <w:r>
        <w:rPr>
          <w:rFonts w:ascii="Arial" w:cs="Arial" w:eastAsia="Arial" w:hAnsi="Arial"/>
          <w:sz w:val="22"/>
          <w:szCs w:val="22"/>
          <w:vertAlign w:val="subscript"/>
        </w:rPr>
        <w:t xml:space="preserve">max</w:t>
      </w:r>
      <w:r>
        <w:rPr>
          <w:rFonts w:ascii="Arial" w:cs="Arial" w:eastAsia="Arial" w:hAnsi="Arial"/>
          <w:sz w:val="22"/>
          <w:szCs w:val="22"/>
        </w:rPr>
        <w:t xml:space="preserve"> (where n = 3, 4, 5, ... up to all available points), fits a regression to each combination, and selects the combination with the highest adjusted R².</w:t>
      </w:r>
    </w:p>
    <w:p>
      <w:pPr>
        <w:spacing w:after="120" w:line="276"/>
      </w:pPr>
      <w:r>
        <w:rPr>
          <w:rFonts w:ascii="Arial" w:cs="Arial" w:eastAsia="Arial" w:hAnsi="Arial"/>
          <w:sz w:val="22"/>
          <w:szCs w:val="22"/>
        </w:rPr>
        <w:t xml:space="preserve">The adjusted R² (R²</w:t>
      </w:r>
      <w:r>
        <w:rPr>
          <w:rFonts w:ascii="Arial" w:cs="Arial" w:eastAsia="Arial" w:hAnsi="Arial"/>
          <w:sz w:val="22"/>
          <w:szCs w:val="22"/>
          <w:vertAlign w:val="subscript"/>
        </w:rPr>
        <w:t xml:space="preserve">adj</w:t>
      </w:r>
      <w:r>
        <w:rPr>
          <w:rFonts w:ascii="Arial" w:cs="Arial" w:eastAsia="Arial" w:hAnsi="Arial"/>
          <w:sz w:val="22"/>
          <w:szCs w:val="22"/>
        </w:rPr>
        <w:t xml:space="preserve">) is used rather than the ordinary R² to penalise overfitting. Adding more points always increases R² but may decrease R²</w:t>
      </w:r>
      <w:r>
        <w:rPr>
          <w:rFonts w:ascii="Arial" w:cs="Arial" w:eastAsia="Arial" w:hAnsi="Arial"/>
          <w:sz w:val="22"/>
          <w:szCs w:val="22"/>
          <w:vertAlign w:val="subscript"/>
        </w:rPr>
        <w:t xml:space="preserve">adj</w:t>
      </w:r>
      <w:r>
        <w:rPr>
          <w:rFonts w:ascii="Arial" w:cs="Arial" w:eastAsia="Arial" w:hAnsi="Arial"/>
          <w:sz w:val="22"/>
          <w:szCs w:val="22"/>
        </w:rPr>
        <w:t xml:space="preserve"> if the additional points add noise rather than signal:</w:t>
      </w:r>
    </w:p>
    <w:p>
      <w:pPr>
        <w:spacing w:before="80" w:after="80"/>
        <w:ind w:left="720"/>
      </w:pPr>
      <w:r>
        <w:rPr>
          <w:rFonts w:ascii="Courier New" w:cs="Courier New" w:eastAsia="Courier New" w:hAnsi="Courier New"/>
          <w:color w:val="2C3E50"/>
          <w:sz w:val="21"/>
          <w:szCs w:val="21"/>
        </w:rPr>
        <w:t xml:space="preserve">R²(adj) = 1 − (1 − R²) × (n − 1) / (n − 2)</w:t>
      </w:r>
    </w:p>
    <w:p>
      <w:pPr>
        <w:spacing w:after="120" w:line="276"/>
      </w:pPr>
      <w:r>
        <w:rPr>
          <w:rFonts w:ascii="Arial" w:cs="Arial" w:eastAsia="Arial" w:hAnsi="Arial"/>
          <w:sz w:val="22"/>
          <w:szCs w:val="22"/>
        </w:rPr>
        <w:t xml:space="preserve">where n is the number of data points in the regression. A minimum R²</w:t>
      </w:r>
      <w:r>
        <w:rPr>
          <w:rFonts w:ascii="Arial" w:cs="Arial" w:eastAsia="Arial" w:hAnsi="Arial"/>
          <w:sz w:val="22"/>
          <w:szCs w:val="22"/>
          <w:vertAlign w:val="subscript"/>
        </w:rPr>
        <w:t xml:space="preserve">adj</w:t>
      </w:r>
      <w:r>
        <w:rPr>
          <w:rFonts w:ascii="Arial" w:cs="Arial" w:eastAsia="Arial" w:hAnsi="Arial"/>
          <w:sz w:val="22"/>
          <w:szCs w:val="22"/>
        </w:rPr>
        <w:t xml:space="preserve"> threshold (default: 0.70) is required. If no combination meets this threshold, the half-life is reported as not estimable.</w:t>
      </w:r>
    </w:p>
    <w:p>
      <w:pPr>
        <w:pStyle w:val="Heading3"/>
        <w:spacing w:before="200" w:after="120"/>
      </w:pPr>
      <w:r>
        <w:rPr>
          <w:rFonts w:ascii="Arial" w:cs="Arial" w:eastAsia="Arial" w:hAnsi="Arial"/>
          <w:b/>
          <w:bCs/>
          <w:sz w:val="22"/>
          <w:szCs w:val="22"/>
        </w:rPr>
        <w:t xml:space="preserve">The R² Threshold in Practice</w:t>
      </w:r>
    </w:p>
    <w:p>
      <w:pPr>
        <w:spacing w:after="120" w:line="276"/>
      </w:pPr>
      <w:r>
        <w:rPr>
          <w:rFonts w:ascii="Arial" w:cs="Arial" w:eastAsia="Arial" w:hAnsi="Arial"/>
          <w:b/>
          <w:bCs/>
          <w:sz w:val="22"/>
          <w:szCs w:val="22"/>
        </w:rPr>
        <w:t xml:space="preserve">0.70 (default)</w:t>
      </w:r>
      <w:r>
        <w:rPr>
          <w:rFonts w:ascii="Arial" w:cs="Arial" w:eastAsia="Arial" w:hAnsi="Arial"/>
          <w:sz w:val="22"/>
          <w:szCs w:val="22"/>
        </w:rPr>
        <w:t xml:space="preserve">: permissive. Accepts terminal phases with moderate noise. Appropriate for most drugs in typical clinical studies.</w:t>
      </w:r>
    </w:p>
    <w:p>
      <w:pPr>
        <w:spacing w:after="120" w:line="276"/>
      </w:pPr>
      <w:r>
        <w:rPr>
          <w:rFonts w:ascii="Arial" w:cs="Arial" w:eastAsia="Arial" w:hAnsi="Arial"/>
          <w:b/>
          <w:bCs/>
          <w:sz w:val="22"/>
          <w:szCs w:val="22"/>
        </w:rPr>
        <w:t xml:space="preserve">0.50</w:t>
      </w:r>
      <w:r>
        <w:rPr>
          <w:rFonts w:ascii="Arial" w:cs="Arial" w:eastAsia="Arial" w:hAnsi="Arial"/>
          <w:sz w:val="22"/>
          <w:szCs w:val="22"/>
        </w:rPr>
        <w:t xml:space="preserve">: very permissive. Use for drugs with inherently noisy terminal-phase data (e.g., low concentrations near the LLOQ) where an approximate half-life is better than none.</w:t>
      </w:r>
    </w:p>
    <w:p>
      <w:pPr>
        <w:spacing w:after="120" w:line="276"/>
      </w:pPr>
      <w:r>
        <w:rPr>
          <w:rFonts w:ascii="Arial" w:cs="Arial" w:eastAsia="Arial" w:hAnsi="Arial"/>
          <w:b/>
          <w:bCs/>
          <w:sz w:val="22"/>
          <w:szCs w:val="22"/>
        </w:rPr>
        <w:t xml:space="preserve">0.90</w:t>
      </w:r>
      <w:r>
        <w:rPr>
          <w:rFonts w:ascii="Arial" w:cs="Arial" w:eastAsia="Arial" w:hAnsi="Arial"/>
          <w:sz w:val="22"/>
          <w:szCs w:val="22"/>
        </w:rPr>
        <w:t xml:space="preserve">: strict. Use when high confidence in the half-life is required (e.g., for drugs with narrow therapeutic indices or when half-life drives dosing decisions).</w:t>
      </w:r>
    </w:p>
    <w:p>
      <w:pPr>
        <w:pStyle w:val="Heading3"/>
        <w:spacing w:before="200" w:after="120"/>
      </w:pPr>
      <w:r>
        <w:rPr>
          <w:rFonts w:ascii="Arial" w:cs="Arial" w:eastAsia="Arial" w:hAnsi="Arial"/>
          <w:b/>
          <w:bCs/>
          <w:sz w:val="22"/>
          <w:szCs w:val="22"/>
        </w:rPr>
        <w:t xml:space="preserve">Manual Point Selection</w:t>
      </w:r>
    </w:p>
    <w:p>
      <w:pPr>
        <w:spacing w:after="120" w:line="276"/>
      </w:pPr>
      <w:r>
        <w:rPr>
          <w:rFonts w:ascii="Arial" w:cs="Arial" w:eastAsia="Arial" w:hAnsi="Arial"/>
          <w:sz w:val="22"/>
          <w:szCs w:val="22"/>
        </w:rPr>
        <w:t xml:space="preserve">The automated algorithm is a starting point, not the final answer. The analyst should visually inspect the terminal slope using the Half-Life Review tab and adjust the point selection if needed. Common situations requiring manual adjustment:</w:t>
      </w:r>
    </w:p>
    <w:p>
      <w:pPr>
        <w:spacing w:after="120" w:line="276"/>
      </w:pPr>
      <w:r>
        <w:rPr>
          <w:rFonts w:ascii="Arial" w:cs="Arial" w:eastAsia="Arial" w:hAnsi="Arial"/>
          <w:sz w:val="22"/>
          <w:szCs w:val="22"/>
        </w:rPr>
        <w:t xml:space="preserve">• </w:t>
      </w:r>
      <w:r>
        <w:rPr>
          <w:rFonts w:ascii="Arial" w:cs="Arial" w:eastAsia="Arial" w:hAnsi="Arial"/>
          <w:b/>
          <w:bCs/>
          <w:sz w:val="22"/>
          <w:szCs w:val="22"/>
        </w:rPr>
        <w:t xml:space="preserve">Multi-phasic elimination</w:t>
      </w:r>
      <w:r>
        <w:rPr>
          <w:rFonts w:ascii="Arial" w:cs="Arial" w:eastAsia="Arial" w:hAnsi="Arial"/>
          <w:sz w:val="22"/>
          <w:szCs w:val="22"/>
        </w:rPr>
        <w:t xml:space="preserve">: some drugs show two or more distinct log-linear phases. The automated algorithm may fit a line across both, yielding an intermediate slope that represents neither the distribution phase nor the true terminal elimination.</w:t>
      </w:r>
    </w:p>
    <w:p>
      <w:pPr>
        <w:spacing w:after="120" w:line="276"/>
      </w:pPr>
      <w:r>
        <w:rPr>
          <w:rFonts w:ascii="Arial" w:cs="Arial" w:eastAsia="Arial" w:hAnsi="Arial"/>
          <w:sz w:val="22"/>
          <w:szCs w:val="22"/>
        </w:rPr>
        <w:t xml:space="preserve">• </w:t>
      </w:r>
      <w:r>
        <w:rPr>
          <w:rFonts w:ascii="Arial" w:cs="Arial" w:eastAsia="Arial" w:hAnsi="Arial"/>
          <w:b/>
          <w:bCs/>
          <w:sz w:val="22"/>
          <w:szCs w:val="22"/>
        </w:rPr>
        <w:t xml:space="preserve">Flip-flop kinetics</w:t>
      </w:r>
      <w:r>
        <w:rPr>
          <w:rFonts w:ascii="Arial" w:cs="Arial" w:eastAsia="Arial" w:hAnsi="Arial"/>
          <w:sz w:val="22"/>
          <w:szCs w:val="22"/>
        </w:rPr>
        <w:t xml:space="preserve">: when absorption is slower than elimination (e.g., sustained-release formulations), the terminal slope reflects the absorption rate, not the elimination rate.</w:t>
      </w:r>
    </w:p>
    <w:p>
      <w:pPr>
        <w:spacing w:after="120" w:line="276"/>
      </w:pPr>
      <w:r>
        <w:rPr>
          <w:rFonts w:ascii="Arial" w:cs="Arial" w:eastAsia="Arial" w:hAnsi="Arial"/>
          <w:sz w:val="22"/>
          <w:szCs w:val="22"/>
        </w:rPr>
        <w:t xml:space="preserve">• </w:t>
      </w:r>
      <w:r>
        <w:rPr>
          <w:rFonts w:ascii="Arial" w:cs="Arial" w:eastAsia="Arial" w:hAnsi="Arial"/>
          <w:b/>
          <w:bCs/>
          <w:sz w:val="22"/>
          <w:szCs w:val="22"/>
        </w:rPr>
        <w:t xml:space="preserve">Enterohepatic recirculation</w:t>
      </w:r>
      <w:r>
        <w:rPr>
          <w:rFonts w:ascii="Arial" w:cs="Arial" w:eastAsia="Arial" w:hAnsi="Arial"/>
          <w:sz w:val="22"/>
          <w:szCs w:val="22"/>
        </w:rPr>
        <w:t xml:space="preserve">: drugs that undergo biliary excretion and reabsorption may show secondary peaks that disrupt the terminal log-linear decline.</w:t>
      </w:r>
    </w:p>
    <w:p>
      <w:pPr>
        <w:spacing w:after="120" w:line="276"/>
      </w:pPr>
      <w:r>
        <w:rPr>
          <w:rFonts w:ascii="Arial" w:cs="Arial" w:eastAsia="Arial" w:hAnsi="Arial"/>
          <w:sz w:val="22"/>
          <w:szCs w:val="22"/>
        </w:rPr>
        <w:t xml:space="preserve">• </w:t>
      </w:r>
      <w:r>
        <w:rPr>
          <w:rFonts w:ascii="Arial" w:cs="Arial" w:eastAsia="Arial" w:hAnsi="Arial"/>
          <w:b/>
          <w:bCs/>
          <w:sz w:val="22"/>
          <w:szCs w:val="22"/>
        </w:rPr>
        <w:t xml:space="preserve">Late samples near LLOQ</w:t>
      </w:r>
      <w:r>
        <w:rPr>
          <w:rFonts w:ascii="Arial" w:cs="Arial" w:eastAsia="Arial" w:hAnsi="Arial"/>
          <w:sz w:val="22"/>
          <w:szCs w:val="22"/>
        </w:rPr>
        <w:t xml:space="preserve">: concentrations close to the assay’s limit of quantification have higher relative error and can distort the regression.</w:t>
      </w:r>
    </w:p>
    <w:p>
      <w:pPr>
        <w:pStyle w:val="Heading3"/>
        <w:spacing w:before="200" w:after="120"/>
      </w:pPr>
      <w:r>
        <w:rPr>
          <w:rFonts w:ascii="Arial" w:cs="Arial" w:eastAsia="Arial" w:hAnsi="Arial"/>
          <w:b/>
          <w:bCs/>
          <w:sz w:val="22"/>
          <w:szCs w:val="22"/>
        </w:rPr>
        <w:t xml:space="preserve">Why Terminal Phase Selection Matters</w:t>
      </w:r>
    </w:p>
    <w:p>
      <w:pPr>
        <w:spacing w:after="120" w:line="276"/>
      </w:pPr>
      <w:r>
        <w:rPr>
          <w:rFonts w:ascii="Arial" w:cs="Arial" w:eastAsia="Arial" w:hAnsi="Arial"/>
          <w:sz w:val="22"/>
          <w:szCs w:val="22"/>
        </w:rPr>
        <w:t xml:space="preserve">The terminal rate constant λ</w:t>
      </w:r>
      <w:r>
        <w:rPr>
          <w:rFonts w:ascii="Arial" w:cs="Arial" w:eastAsia="Arial" w:hAnsi="Arial"/>
          <w:sz w:val="22"/>
          <w:szCs w:val="22"/>
          <w:vertAlign w:val="subscript"/>
        </w:rPr>
        <w:t xml:space="preserve">z</w:t>
      </w:r>
      <w:r>
        <w:rPr>
          <w:rFonts w:ascii="Arial" w:cs="Arial" w:eastAsia="Arial" w:hAnsi="Arial"/>
          <w:sz w:val="22"/>
          <w:szCs w:val="22"/>
        </w:rPr>
        <w:t xml:space="preserve"> propagates through multiple derived parameters. A 20% error in λ</w:t>
      </w:r>
      <w:r>
        <w:rPr>
          <w:rFonts w:ascii="Arial" w:cs="Arial" w:eastAsia="Arial" w:hAnsi="Arial"/>
          <w:sz w:val="22"/>
          <w:szCs w:val="22"/>
          <w:vertAlign w:val="subscript"/>
        </w:rPr>
        <w:t xml:space="preserve">z</w:t>
      </w:r>
      <w:r>
        <w:rPr>
          <w:rFonts w:ascii="Arial" w:cs="Arial" w:eastAsia="Arial" w:hAnsi="Arial"/>
          <w:sz w:val="22"/>
          <w:szCs w:val="22"/>
        </w:rPr>
        <w:t xml:space="preserve"> leads to a 20% error in half-life, a variable error in AUC</w:t>
      </w:r>
      <w:r>
        <w:rPr>
          <w:rFonts w:ascii="Arial" w:cs="Arial" w:eastAsia="Arial" w:hAnsi="Arial"/>
          <w:sz w:val="22"/>
          <w:szCs w:val="22"/>
          <w:vertAlign w:val="subscript"/>
        </w:rPr>
        <w:t xml:space="preserve">0–∞</w:t>
      </w:r>
      <w:r>
        <w:rPr>
          <w:rFonts w:ascii="Arial" w:cs="Arial" w:eastAsia="Arial" w:hAnsi="Arial"/>
          <w:sz w:val="22"/>
          <w:szCs w:val="22"/>
        </w:rPr>
        <w:t xml:space="preserve"> (depending on how much AUC is extrapolated), and corresponding errors in CL/F and V</w:t>
      </w:r>
      <w:r>
        <w:rPr>
          <w:rFonts w:ascii="Arial" w:cs="Arial" w:eastAsia="Arial" w:hAnsi="Arial"/>
          <w:sz w:val="22"/>
          <w:szCs w:val="22"/>
          <w:vertAlign w:val="subscript"/>
        </w:rPr>
        <w:t xml:space="preserve">z</w:t>
      </w:r>
      <w:r>
        <w:rPr>
          <w:rFonts w:ascii="Arial" w:cs="Arial" w:eastAsia="Arial" w:hAnsi="Arial"/>
          <w:sz w:val="22"/>
          <w:szCs w:val="22"/>
        </w:rPr>
        <w:t xml:space="preserve">/F. When AUC extrapolation exceeds 20% of the total AUC, the AUC</w:t>
      </w:r>
      <w:r>
        <w:rPr>
          <w:rFonts w:ascii="Arial" w:cs="Arial" w:eastAsia="Arial" w:hAnsi="Arial"/>
          <w:sz w:val="22"/>
          <w:szCs w:val="22"/>
          <w:vertAlign w:val="subscript"/>
        </w:rPr>
        <w:t xml:space="preserve">0–∞</w:t>
      </w:r>
      <w:r>
        <w:rPr>
          <w:rFonts w:ascii="Arial" w:cs="Arial" w:eastAsia="Arial" w:hAnsi="Arial"/>
          <w:sz w:val="22"/>
          <w:szCs w:val="22"/>
        </w:rPr>
        <w:t xml:space="preserve"> estimate is highly sensitive to λ</w:t>
      </w:r>
      <w:r>
        <w:rPr>
          <w:rFonts w:ascii="Arial" w:cs="Arial" w:eastAsia="Arial" w:hAnsi="Arial"/>
          <w:sz w:val="22"/>
          <w:szCs w:val="22"/>
          <w:vertAlign w:val="subscript"/>
        </w:rPr>
        <w:t xml:space="preserve">z</w:t>
      </w:r>
      <w:r>
        <w:rPr>
          <w:rFonts w:ascii="Arial" w:cs="Arial" w:eastAsia="Arial" w:hAnsi="Arial"/>
          <w:sz w:val="22"/>
          <w:szCs w:val="22"/>
        </w:rPr>
        <w:t xml:space="preserve">, and results should be interpreted with caution.</w:t>
      </w:r>
    </w:p>
    <w:p>
      <w:pPr>
        <w:pStyle w:val="Heading2"/>
        <w:spacing w:before="280" w:after="160"/>
      </w:pPr>
      <w:r>
        <w:rPr>
          <w:rFonts w:ascii="Arial" w:cs="Arial" w:eastAsia="Arial" w:hAnsi="Arial"/>
          <w:b/>
          <w:bCs/>
          <w:sz w:val="26"/>
          <w:szCs w:val="26"/>
        </w:rPr>
        <w:t xml:space="preserve">BLQ Handling: Pharmacological Rationale</w:t>
      </w:r>
    </w:p>
    <w:p>
      <w:pPr>
        <w:pStyle w:val="Heading3"/>
        <w:spacing w:before="200" w:after="120"/>
      </w:pPr>
      <w:r>
        <w:rPr>
          <w:rFonts w:ascii="Arial" w:cs="Arial" w:eastAsia="Arial" w:hAnsi="Arial"/>
          <w:b/>
          <w:bCs/>
          <w:sz w:val="22"/>
          <w:szCs w:val="22"/>
        </w:rPr>
        <w:t xml:space="preserve">Why BLQ Values Exist</w:t>
      </w:r>
    </w:p>
    <w:p>
      <w:pPr>
        <w:spacing w:after="120" w:line="276"/>
      </w:pPr>
      <w:r>
        <w:rPr>
          <w:rFonts w:ascii="Arial" w:cs="Arial" w:eastAsia="Arial" w:hAnsi="Arial"/>
          <w:sz w:val="22"/>
          <w:szCs w:val="22"/>
        </w:rPr>
        <w:t xml:space="preserve">Every bioanalytical assay has a lower limit of quantification (LLOQ): the lowest concentration it can reliably measure with acceptable precision and accuracy. Samples with true concentrations below the LLOQ are reported as ‘BLQ’ or ‘&lt; [LLOQ value]’. The true concentration is not zero — it is simply too low to quantify reliably.</w:t>
      </w:r>
    </w:p>
    <w:p>
      <w:pPr>
        <w:pStyle w:val="Heading3"/>
        <w:spacing w:before="200" w:after="120"/>
      </w:pPr>
      <w:r>
        <w:rPr>
          <w:rFonts w:ascii="Arial" w:cs="Arial" w:eastAsia="Arial" w:hAnsi="Arial"/>
          <w:b/>
          <w:bCs/>
          <w:sz w:val="22"/>
          <w:szCs w:val="22"/>
        </w:rPr>
        <w:t xml:space="preserve">Impact on AUC</w:t>
      </w:r>
    </w:p>
    <w:p>
      <w:pPr>
        <w:spacing w:after="120" w:line="276"/>
      </w:pPr>
      <w:r>
        <w:rPr>
          <w:rFonts w:ascii="Arial" w:cs="Arial" w:eastAsia="Arial" w:hAnsi="Arial"/>
          <w:sz w:val="22"/>
          <w:szCs w:val="22"/>
        </w:rPr>
        <w:t xml:space="preserve">The choice of BLQ handling affects AUC calculation:</w:t>
      </w:r>
    </w:p>
    <w:p>
      <w:pPr>
        <w:spacing w:after="120" w:line="276"/>
      </w:pPr>
      <w:r>
        <w:rPr>
          <w:rFonts w:ascii="Arial" w:cs="Arial" w:eastAsia="Arial" w:hAnsi="Arial"/>
          <w:sz w:val="22"/>
          <w:szCs w:val="22"/>
        </w:rPr>
        <w:t xml:space="preserve">• Setting BLQ to </w:t>
      </w:r>
      <w:r>
        <w:rPr>
          <w:rFonts w:ascii="Arial" w:cs="Arial" w:eastAsia="Arial" w:hAnsi="Arial"/>
          <w:b/>
          <w:bCs/>
          <w:sz w:val="22"/>
          <w:szCs w:val="22"/>
        </w:rPr>
        <w:t xml:space="preserve">zero</w:t>
      </w:r>
      <w:r>
        <w:rPr>
          <w:rFonts w:ascii="Arial" w:cs="Arial" w:eastAsia="Arial" w:hAnsi="Arial"/>
          <w:sz w:val="22"/>
          <w:szCs w:val="22"/>
        </w:rPr>
        <w:t xml:space="preserve"> inflates early AUC (if the zero creates a larger trapezoid than the true sub-LLOQ concentration) but has minimal effect on AUC when BLQ values occur in the terminal phase (a zero truncates the profile).</w:t>
      </w:r>
    </w:p>
    <w:p>
      <w:pPr>
        <w:spacing w:after="120" w:line="276"/>
      </w:pPr>
      <w:r>
        <w:rPr>
          <w:rFonts w:ascii="Arial" w:cs="Arial" w:eastAsia="Arial" w:hAnsi="Arial"/>
          <w:sz w:val="22"/>
          <w:szCs w:val="22"/>
        </w:rPr>
        <w:t xml:space="preserve">• Setting BLQ to </w:t>
      </w:r>
      <w:r>
        <w:rPr>
          <w:rFonts w:ascii="Arial" w:cs="Arial" w:eastAsia="Arial" w:hAnsi="Arial"/>
          <w:b/>
          <w:bCs/>
          <w:sz w:val="22"/>
          <w:szCs w:val="22"/>
        </w:rPr>
        <w:t xml:space="preserve">missing (excluded)</w:t>
      </w:r>
      <w:r>
        <w:rPr>
          <w:rFonts w:ascii="Arial" w:cs="Arial" w:eastAsia="Arial" w:hAnsi="Arial"/>
          <w:sz w:val="22"/>
          <w:szCs w:val="22"/>
        </w:rPr>
        <w:t xml:space="preserve"> truncates the profile at the last quantifiable concentration, potentially underestimating AUC by losing information from the terminal phase.</w:t>
      </w:r>
    </w:p>
    <w:p>
      <w:pPr>
        <w:spacing w:after="120" w:line="276"/>
      </w:pPr>
      <w:r>
        <w:rPr>
          <w:rFonts w:ascii="Arial" w:cs="Arial" w:eastAsia="Arial" w:hAnsi="Arial"/>
          <w:sz w:val="22"/>
          <w:szCs w:val="22"/>
        </w:rPr>
        <w:t xml:space="preserve">• Setting BLQ to </w:t>
      </w:r>
      <w:r>
        <w:rPr>
          <w:rFonts w:ascii="Arial" w:cs="Arial" w:eastAsia="Arial" w:hAnsi="Arial"/>
          <w:b/>
          <w:bCs/>
          <w:sz w:val="22"/>
          <w:szCs w:val="22"/>
        </w:rPr>
        <w:t xml:space="preserve">LLOQ/2</w:t>
      </w:r>
      <w:r>
        <w:rPr>
          <w:rFonts w:ascii="Arial" w:cs="Arial" w:eastAsia="Arial" w:hAnsi="Arial"/>
          <w:sz w:val="22"/>
          <w:szCs w:val="22"/>
        </w:rPr>
        <w:t xml:space="preserve"> is a compromise: it uses the midpoint of the possible range [0, LLOQ], preserving some information while acknowledging uncertainty.</w:t>
      </w:r>
    </w:p>
    <w:p>
      <w:pPr>
        <w:pStyle w:val="Heading3"/>
        <w:spacing w:before="200" w:after="120"/>
      </w:pPr>
      <w:r>
        <w:rPr>
          <w:rFonts w:ascii="Arial" w:cs="Arial" w:eastAsia="Arial" w:hAnsi="Arial"/>
          <w:b/>
          <w:bCs/>
          <w:sz w:val="22"/>
          <w:szCs w:val="22"/>
        </w:rPr>
        <w:t xml:space="preserve">When to Use Each Rule</w:t>
      </w:r>
    </w:p>
    <w:p>
      <w:pPr>
        <w:spacing w:after="120" w:line="276"/>
      </w:pPr>
      <w:r>
        <w:rPr>
          <w:rFonts w:ascii="Arial" w:cs="Arial" w:eastAsia="Arial" w:hAnsi="Arial"/>
          <w:b/>
          <w:bCs/>
          <w:sz w:val="22"/>
          <w:szCs w:val="22"/>
        </w:rPr>
        <w:t xml:space="preserve">Rule 1 (default)</w:t>
      </w:r>
      <w:r>
        <w:rPr>
          <w:rFonts w:ascii="Arial" w:cs="Arial" w:eastAsia="Arial" w:hAnsi="Arial"/>
          <w:sz w:val="22"/>
          <w:szCs w:val="22"/>
        </w:rPr>
        <w:t xml:space="preserve">: the most widely used approach, recommended by Beal (2001) and implemented as the default in WinNonlin. Appropriate for most studies.</w:t>
      </w:r>
    </w:p>
    <w:p>
      <w:pPr>
        <w:spacing w:after="120" w:line="276"/>
      </w:pPr>
      <w:r>
        <w:rPr>
          <w:rFonts w:ascii="Arial" w:cs="Arial" w:eastAsia="Arial" w:hAnsi="Arial"/>
          <w:b/>
          <w:bCs/>
          <w:sz w:val="22"/>
          <w:szCs w:val="22"/>
        </w:rPr>
        <w:t xml:space="preserve">Rule 4 (LLOQ/2)</w:t>
      </w:r>
      <w:r>
        <w:rPr>
          <w:rFonts w:ascii="Arial" w:cs="Arial" w:eastAsia="Arial" w:hAnsi="Arial"/>
          <w:sz w:val="22"/>
          <w:szCs w:val="22"/>
        </w:rPr>
        <w:t xml:space="preserve">: often used in population PK analyses and in studies where the exact BLQ handling has regulatory significance.</w:t>
      </w:r>
    </w:p>
    <w:p>
      <w:pPr>
        <w:spacing w:after="120" w:line="276"/>
      </w:pPr>
      <w:r>
        <w:rPr>
          <w:rFonts w:ascii="Arial" w:cs="Arial" w:eastAsia="Arial" w:hAnsi="Arial"/>
          <w:b/>
          <w:bCs/>
          <w:sz w:val="22"/>
          <w:szCs w:val="22"/>
        </w:rPr>
        <w:t xml:space="preserve">Rule 6 (first BLQ = LLOQ/2)</w:t>
      </w:r>
      <w:r>
        <w:rPr>
          <w:rFonts w:ascii="Arial" w:cs="Arial" w:eastAsia="Arial" w:hAnsi="Arial"/>
          <w:sz w:val="22"/>
          <w:szCs w:val="22"/>
        </w:rPr>
        <w:t xml:space="preserve">: specifically for drugs with an absorption lag. The first post-dose sample may be BLQ not because the drug is absent, but because absorption has not yet started. Using LLOQ/2 for this sample is pharmacologically more appropriate than zero, as it reflects that the drug may be present at sub-LLOQ levels.</w:t>
      </w:r>
    </w:p>
    <w:p>
      <w:pPr>
        <w:spacing w:after="120" w:line="276"/>
      </w:pPr>
      <w:r>
        <w:rPr>
          <w:rFonts w:ascii="Arial" w:cs="Arial" w:eastAsia="Arial" w:hAnsi="Arial"/>
          <w:b/>
          <w:bCs/>
          <w:sz w:val="22"/>
          <w:szCs w:val="22"/>
        </w:rPr>
        <w:t xml:space="preserve">Sensitivity analysis</w:t>
      </w:r>
      <w:r>
        <w:rPr>
          <w:rFonts w:ascii="Arial" w:cs="Arial" w:eastAsia="Arial" w:hAnsi="Arial"/>
          <w:sz w:val="22"/>
          <w:szCs w:val="22"/>
        </w:rPr>
        <w:t xml:space="preserve">: for regulatory submissions, it is good practice to analyse the data with two different BLQ rules and demonstrate that the conclusions are not sensitive to this choice.</w:t>
      </w:r>
    </w:p>
    <w:p>
      <w:pPr>
        <w:pStyle w:val="Heading2"/>
        <w:spacing w:before="280" w:after="160"/>
      </w:pPr>
      <w:r>
        <w:rPr>
          <w:rFonts w:ascii="Arial" w:cs="Arial" w:eastAsia="Arial" w:hAnsi="Arial"/>
          <w:b/>
          <w:bCs/>
          <w:sz w:val="26"/>
          <w:szCs w:val="26"/>
        </w:rPr>
        <w:t xml:space="preserve">Steady-State Considerations</w:t>
      </w:r>
    </w:p>
    <w:p>
      <w:pPr>
        <w:pStyle w:val="Heading3"/>
        <w:spacing w:before="200" w:after="120"/>
      </w:pPr>
      <w:r>
        <w:rPr>
          <w:rFonts w:ascii="Arial" w:cs="Arial" w:eastAsia="Arial" w:hAnsi="Arial"/>
          <w:b/>
          <w:bCs/>
          <w:sz w:val="22"/>
          <w:szCs w:val="22"/>
        </w:rPr>
        <w:t xml:space="preserve">What Is Steady State?</w:t>
      </w:r>
    </w:p>
    <w:p>
      <w:pPr>
        <w:spacing w:after="120" w:line="276"/>
      </w:pPr>
      <w:r>
        <w:rPr>
          <w:rFonts w:ascii="Arial" w:cs="Arial" w:eastAsia="Arial" w:hAnsi="Arial"/>
          <w:sz w:val="22"/>
          <w:szCs w:val="22"/>
        </w:rPr>
        <w:t xml:space="preserve">When a drug is administered repeatedly at fixed intervals, the amount absorbed during each interval initially exceeds the amount eliminated. Concentrations accumulate over successive doses. Eventually, the amount absorbed equals the amount eliminated within each interval, and the concentration–time profile becomes reproducible from dose to dose. This is pharmacokinetic steady state, typically reached after approximately 4–5 half-lives of dosing.</w:t>
      </w:r>
    </w:p>
    <w:p>
      <w:pPr>
        <w:pStyle w:val="Heading3"/>
        <w:spacing w:before="200" w:after="120"/>
      </w:pPr>
      <w:r>
        <w:rPr>
          <w:rFonts w:ascii="Arial" w:cs="Arial" w:eastAsia="Arial" w:hAnsi="Arial"/>
          <w:b/>
          <w:bCs/>
          <w:sz w:val="22"/>
          <w:szCs w:val="22"/>
        </w:rPr>
        <w:t xml:space="preserve">AUC at Steady State</w:t>
      </w:r>
    </w:p>
    <w:p>
      <w:pPr>
        <w:spacing w:after="120" w:line="276"/>
      </w:pPr>
      <w:r>
        <w:rPr>
          <w:rFonts w:ascii="Arial" w:cs="Arial" w:eastAsia="Arial" w:hAnsi="Arial"/>
          <w:sz w:val="22"/>
          <w:szCs w:val="22"/>
        </w:rPr>
        <w:t xml:space="preserve">At steady state, the relevant measure of exposure is AUC within the dosing interval (AUC</w:t>
      </w:r>
      <w:r>
        <w:rPr>
          <w:rFonts w:ascii="Arial" w:cs="Arial" w:eastAsia="Arial" w:hAnsi="Arial"/>
          <w:sz w:val="22"/>
          <w:szCs w:val="22"/>
          <w:vertAlign w:val="subscript"/>
        </w:rPr>
        <w:t xml:space="preserve">τ</w:t>
      </w:r>
      <w:r>
        <w:rPr>
          <w:rFonts w:ascii="Arial" w:cs="Arial" w:eastAsia="Arial" w:hAnsi="Arial"/>
          <w:sz w:val="22"/>
          <w:szCs w:val="22"/>
        </w:rPr>
        <w:t xml:space="preserve">), not AUC extrapolated to infinity. Extrapolation to infinity is meaningless during repeated dosing because another dose is given at time τ. The app uses NonCompart’s SS=TRUE flag, which calculates CL/F = Dose / AUC</w:t>
      </w:r>
      <w:r>
        <w:rPr>
          <w:rFonts w:ascii="Arial" w:cs="Arial" w:eastAsia="Arial" w:hAnsi="Arial"/>
          <w:sz w:val="22"/>
          <w:szCs w:val="22"/>
          <w:vertAlign w:val="subscript"/>
        </w:rPr>
        <w:t xml:space="preserve">0–t</w:t>
      </w:r>
      <w:r>
        <w:rPr>
          <w:rFonts w:ascii="Arial" w:cs="Arial" w:eastAsia="Arial" w:hAnsi="Arial"/>
          <w:sz w:val="22"/>
          <w:szCs w:val="22"/>
        </w:rPr>
        <w:t xml:space="preserve"> (where t equals the last sampling time within the dosing interval), rather than CL/F = Dose / AUC</w:t>
      </w:r>
      <w:r>
        <w:rPr>
          <w:rFonts w:ascii="Arial" w:cs="Arial" w:eastAsia="Arial" w:hAnsi="Arial"/>
          <w:sz w:val="22"/>
          <w:szCs w:val="22"/>
          <w:vertAlign w:val="subscript"/>
        </w:rPr>
        <w:t xml:space="preserve">0–∞</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When steady-state is ticked in the app, AUC</w:t>
      </w:r>
      <w:r>
        <w:rPr>
          <w:rFonts w:ascii="Arial" w:cs="Arial" w:eastAsia="Arial" w:hAnsi="Arial"/>
          <w:sz w:val="22"/>
          <w:szCs w:val="22"/>
          <w:vertAlign w:val="subscript"/>
        </w:rPr>
        <w:t xml:space="preserve">0–∞</w:t>
      </w:r>
      <w:r>
        <w:rPr>
          <w:rFonts w:ascii="Arial" w:cs="Arial" w:eastAsia="Arial" w:hAnsi="Arial"/>
          <w:sz w:val="22"/>
          <w:szCs w:val="22"/>
        </w:rPr>
        <w:t xml:space="preserve"> and V</w:t>
      </w:r>
      <w:r>
        <w:rPr>
          <w:rFonts w:ascii="Arial" w:cs="Arial" w:eastAsia="Arial" w:hAnsi="Arial"/>
          <w:sz w:val="22"/>
          <w:szCs w:val="22"/>
          <w:vertAlign w:val="subscript"/>
        </w:rPr>
        <w:t xml:space="preserve">z</w:t>
      </w:r>
      <w:r>
        <w:rPr>
          <w:rFonts w:ascii="Arial" w:cs="Arial" w:eastAsia="Arial" w:hAnsi="Arial"/>
          <w:sz w:val="22"/>
          <w:szCs w:val="22"/>
        </w:rPr>
        <w:t xml:space="preserve">/F (which depends on AUC</w:t>
      </w:r>
      <w:r>
        <w:rPr>
          <w:rFonts w:ascii="Arial" w:cs="Arial" w:eastAsia="Arial" w:hAnsi="Arial"/>
          <w:sz w:val="22"/>
          <w:szCs w:val="22"/>
          <w:vertAlign w:val="subscript"/>
        </w:rPr>
        <w:t xml:space="preserve">0–∞</w:t>
      </w:r>
      <w:r>
        <w:rPr>
          <w:rFonts w:ascii="Arial" w:cs="Arial" w:eastAsia="Arial" w:hAnsi="Arial"/>
          <w:sz w:val="22"/>
          <w:szCs w:val="22"/>
        </w:rPr>
        <w:t xml:space="preserve">) are hidden from the default display because they are not pharmacokinetically meaningful at steady state.</w:t>
      </w:r>
    </w:p>
    <w:p>
      <w:pPr>
        <w:pStyle w:val="Heading3"/>
        <w:spacing w:before="200" w:after="120"/>
      </w:pPr>
      <w:r>
        <w:rPr>
          <w:rFonts w:ascii="Arial" w:cs="Arial" w:eastAsia="Arial" w:hAnsi="Arial"/>
          <w:b/>
          <w:bCs/>
          <w:sz w:val="22"/>
          <w:szCs w:val="22"/>
        </w:rPr>
        <w:t xml:space="preserve">Half-Life at Steady State</w:t>
      </w:r>
    </w:p>
    <w:p>
      <w:pPr>
        <w:spacing w:after="120" w:line="276"/>
      </w:pPr>
      <w:r>
        <w:rPr>
          <w:rFonts w:ascii="Arial" w:cs="Arial" w:eastAsia="Arial" w:hAnsi="Arial"/>
          <w:sz w:val="22"/>
          <w:szCs w:val="22"/>
        </w:rPr>
        <w:t xml:space="preserve">Estimating the terminal half-life from a single dosing interval can be unreliable. The sampling window (typically one dosing interval, e.g., 0–24 h for once-daily dosing) may not be long enough to adequately characterise the true terminal log-linear phase, especially for drugs with longer half-lives. Residual drug from previous doses can distort the apparent terminal slope. When the estimated half-life appears much shorter than expected (based on the dosing interval or known pharmacology), the terminal phase data should be examined carefully.</w:t>
      </w:r>
    </w:p>
    <w:p>
      <w:r>
        <w:br w:type="page"/>
      </w:r>
    </w:p>
    <w:p>
      <w:pPr>
        <w:pStyle w:val="Heading1"/>
        <w:spacing w:before="360" w:after="200"/>
      </w:pPr>
      <w:r>
        <w:rPr>
          <w:rFonts w:ascii="Arial" w:cs="Arial" w:eastAsia="Arial" w:hAnsi="Arial"/>
          <w:b/>
          <w:bCs/>
          <w:sz w:val="32"/>
          <w:szCs w:val="32"/>
        </w:rPr>
        <w:t xml:space="preserve">Part VI: Statistical Methods</w:t>
      </w:r>
    </w:p>
    <w:p>
      <w:pPr>
        <w:pStyle w:val="Heading2"/>
        <w:spacing w:before="280" w:after="160"/>
      </w:pPr>
      <w:r>
        <w:rPr>
          <w:rFonts w:ascii="Arial" w:cs="Arial" w:eastAsia="Arial" w:hAnsi="Arial"/>
          <w:b/>
          <w:bCs/>
          <w:sz w:val="26"/>
          <w:szCs w:val="26"/>
        </w:rPr>
        <w:t xml:space="preserve">The Two One-Sided Tests (TOST) Procedure</w:t>
      </w:r>
    </w:p>
    <w:p>
      <w:pPr>
        <w:pStyle w:val="Heading3"/>
        <w:spacing w:before="200" w:after="120"/>
      </w:pPr>
      <w:r>
        <w:rPr>
          <w:rFonts w:ascii="Arial" w:cs="Arial" w:eastAsia="Arial" w:hAnsi="Arial"/>
          <w:b/>
          <w:bCs/>
          <w:sz w:val="22"/>
          <w:szCs w:val="22"/>
        </w:rPr>
        <w:t xml:space="preserve">The Problem with Conventional Hypothesis Testing</w:t>
      </w:r>
    </w:p>
    <w:p>
      <w:pPr>
        <w:spacing w:after="120" w:line="276"/>
      </w:pPr>
      <w:r>
        <w:rPr>
          <w:rFonts w:ascii="Arial" w:cs="Arial" w:eastAsia="Arial" w:hAnsi="Arial"/>
          <w:sz w:val="22"/>
          <w:szCs w:val="22"/>
        </w:rPr>
        <w:t xml:space="preserve">In conventional hypothesis testing, the null hypothesis states that two treatments are equal (H</w:t>
      </w:r>
      <w:r>
        <w:rPr>
          <w:rFonts w:ascii="Arial" w:cs="Arial" w:eastAsia="Arial" w:hAnsi="Arial"/>
          <w:sz w:val="22"/>
          <w:szCs w:val="22"/>
          <w:vertAlign w:val="subscript"/>
        </w:rPr>
        <w:t xml:space="preserve">0</w:t>
      </w:r>
      <w:r>
        <w:rPr>
          <w:rFonts w:ascii="Arial" w:cs="Arial" w:eastAsia="Arial" w:hAnsi="Arial"/>
          <w:sz w:val="22"/>
          <w:szCs w:val="22"/>
        </w:rPr>
        <w:t xml:space="preserve">: μ</w:t>
      </w:r>
      <w:r>
        <w:rPr>
          <w:rFonts w:ascii="Arial" w:cs="Arial" w:eastAsia="Arial" w:hAnsi="Arial"/>
          <w:sz w:val="22"/>
          <w:szCs w:val="22"/>
          <w:vertAlign w:val="subscript"/>
        </w:rPr>
        <w:t xml:space="preserve">T</w:t>
      </w:r>
      <w:r>
        <w:rPr>
          <w:rFonts w:ascii="Arial" w:cs="Arial" w:eastAsia="Arial" w:hAnsi="Arial"/>
          <w:sz w:val="22"/>
          <w:szCs w:val="22"/>
        </w:rPr>
        <w:t xml:space="preserve"> = μ</w:t>
      </w:r>
      <w:r>
        <w:rPr>
          <w:rFonts w:ascii="Arial" w:cs="Arial" w:eastAsia="Arial" w:hAnsi="Arial"/>
          <w:sz w:val="22"/>
          <w:szCs w:val="22"/>
          <w:vertAlign w:val="subscript"/>
        </w:rPr>
        <w:t xml:space="preserve">R</w:t>
      </w:r>
      <w:r>
        <w:rPr>
          <w:rFonts w:ascii="Arial" w:cs="Arial" w:eastAsia="Arial" w:hAnsi="Arial"/>
          <w:sz w:val="22"/>
          <w:szCs w:val="22"/>
        </w:rPr>
        <w:t xml:space="preserve">). Rejecting this hypothesis demonstrates that the treatments differ, but failing to reject it does not prove they are equal — it merely means the study lacked the power to detect a difference. Bioequivalence requires a positive demonstration of similarity, not just absence of evidence for a difference.</w:t>
      </w:r>
    </w:p>
    <w:p>
      <w:pPr>
        <w:pStyle w:val="Heading3"/>
        <w:spacing w:before="200" w:after="120"/>
      </w:pPr>
      <w:r>
        <w:rPr>
          <w:rFonts w:ascii="Arial" w:cs="Arial" w:eastAsia="Arial" w:hAnsi="Arial"/>
          <w:b/>
          <w:bCs/>
          <w:sz w:val="22"/>
          <w:szCs w:val="22"/>
        </w:rPr>
        <w:t xml:space="preserve">Schuirmann’s TOST</w:t>
      </w:r>
    </w:p>
    <w:p>
      <w:pPr>
        <w:spacing w:after="120" w:line="276"/>
      </w:pPr>
      <w:r>
        <w:rPr>
          <w:rFonts w:ascii="Arial" w:cs="Arial" w:eastAsia="Arial" w:hAnsi="Arial"/>
          <w:sz w:val="22"/>
          <w:szCs w:val="22"/>
        </w:rPr>
        <w:t xml:space="preserve">Schuirmann (1987) reformulated the problem as two one-sided tests. Define the bioequivalence limits as θ</w:t>
      </w:r>
      <w:r>
        <w:rPr>
          <w:rFonts w:ascii="Arial" w:cs="Arial" w:eastAsia="Arial" w:hAnsi="Arial"/>
          <w:sz w:val="22"/>
          <w:szCs w:val="22"/>
          <w:vertAlign w:val="subscript"/>
        </w:rPr>
        <w:t xml:space="preserve">1</w:t>
      </w:r>
      <w:r>
        <w:rPr>
          <w:rFonts w:ascii="Arial" w:cs="Arial" w:eastAsia="Arial" w:hAnsi="Arial"/>
          <w:sz w:val="22"/>
          <w:szCs w:val="22"/>
        </w:rPr>
        <w:t xml:space="preserve"> (lower, typically 0.80) and θ</w:t>
      </w:r>
      <w:r>
        <w:rPr>
          <w:rFonts w:ascii="Arial" w:cs="Arial" w:eastAsia="Arial" w:hAnsi="Arial"/>
          <w:sz w:val="22"/>
          <w:szCs w:val="22"/>
          <w:vertAlign w:val="subscript"/>
        </w:rPr>
        <w:t xml:space="preserve">2</w:t>
      </w:r>
      <w:r>
        <w:rPr>
          <w:rFonts w:ascii="Arial" w:cs="Arial" w:eastAsia="Arial" w:hAnsi="Arial"/>
          <w:sz w:val="22"/>
          <w:szCs w:val="22"/>
        </w:rPr>
        <w:t xml:space="preserve"> (upper, typically 1.25) for the geometric mean ratio μ</w:t>
      </w:r>
      <w:r>
        <w:rPr>
          <w:rFonts w:ascii="Arial" w:cs="Arial" w:eastAsia="Arial" w:hAnsi="Arial"/>
          <w:sz w:val="22"/>
          <w:szCs w:val="22"/>
          <w:vertAlign w:val="subscript"/>
        </w:rPr>
        <w:t xml:space="preserve">T</w:t>
      </w:r>
      <w:r>
        <w:rPr>
          <w:rFonts w:ascii="Arial" w:cs="Arial" w:eastAsia="Arial" w:hAnsi="Arial"/>
          <w:sz w:val="22"/>
          <w:szCs w:val="22"/>
        </w:rPr>
        <w:t xml:space="preserve">/μ</w:t>
      </w:r>
      <w:r>
        <w:rPr>
          <w:rFonts w:ascii="Arial" w:cs="Arial" w:eastAsia="Arial" w:hAnsi="Arial"/>
          <w:sz w:val="22"/>
          <w:szCs w:val="22"/>
          <w:vertAlign w:val="subscript"/>
        </w:rPr>
        <w:t xml:space="preserve">R</w:t>
      </w:r>
      <w:r>
        <w:rPr>
          <w:rFonts w:ascii="Arial" w:cs="Arial" w:eastAsia="Arial" w:hAnsi="Arial"/>
          <w:sz w:val="22"/>
          <w:szCs w:val="22"/>
        </w:rPr>
        <w:t xml:space="preserve">. On the log scale, these become ln(0.80) and ln(1.25). The two null hypotheses are:</w:t>
      </w:r>
    </w:p>
    <w:p>
      <w:pPr>
        <w:spacing w:before="80" w:after="80"/>
        <w:ind w:left="720"/>
      </w:pPr>
      <w:r>
        <w:rPr>
          <w:rFonts w:ascii="Courier New" w:cs="Courier New" w:eastAsia="Courier New" w:hAnsi="Courier New"/>
          <w:color w:val="2C3E50"/>
          <w:sz w:val="21"/>
          <w:szCs w:val="21"/>
        </w:rPr>
        <w:t xml:space="preserve">H₀₁: μ(T)/μ(R) ≤ θ₁  (the ratio is too low)</w:t>
      </w:r>
    </w:p>
    <w:p>
      <w:pPr>
        <w:spacing w:before="80" w:after="80"/>
        <w:ind w:left="720"/>
      </w:pPr>
      <w:r>
        <w:rPr>
          <w:rFonts w:ascii="Courier New" w:cs="Courier New" w:eastAsia="Courier New" w:hAnsi="Courier New"/>
          <w:color w:val="2C3E50"/>
          <w:sz w:val="21"/>
          <w:szCs w:val="21"/>
        </w:rPr>
        <w:t xml:space="preserve">H₀₂: μ(T)/μ(R) ≥ θ₂  (the ratio is too high)</w:t>
      </w:r>
    </w:p>
    <w:p>
      <w:pPr>
        <w:spacing w:after="120" w:line="276"/>
      </w:pPr>
      <w:r>
        <w:rPr>
          <w:rFonts w:ascii="Arial" w:cs="Arial" w:eastAsia="Arial" w:hAnsi="Arial"/>
          <w:sz w:val="22"/>
          <w:szCs w:val="22"/>
        </w:rPr>
        <w:t xml:space="preserve">If </w:t>
      </w:r>
      <w:r>
        <w:rPr>
          <w:rFonts w:ascii="Arial" w:cs="Arial" w:eastAsia="Arial" w:hAnsi="Arial"/>
          <w:b/>
          <w:bCs/>
          <w:sz w:val="22"/>
          <w:szCs w:val="22"/>
        </w:rPr>
        <w:t xml:space="preserve">both</w:t>
      </w:r>
      <w:r>
        <w:rPr>
          <w:rFonts w:ascii="Arial" w:cs="Arial" w:eastAsia="Arial" w:hAnsi="Arial"/>
          <w:sz w:val="22"/>
          <w:szCs w:val="22"/>
        </w:rPr>
        <w:t xml:space="preserve"> null hypotheses are rejected at significance level α = 0.05, we conclude that the ratio lies within [θ</w:t>
      </w:r>
      <w:r>
        <w:rPr>
          <w:rFonts w:ascii="Arial" w:cs="Arial" w:eastAsia="Arial" w:hAnsi="Arial"/>
          <w:sz w:val="22"/>
          <w:szCs w:val="22"/>
          <w:vertAlign w:val="subscript"/>
        </w:rPr>
        <w:t xml:space="preserve">1</w:t>
      </w:r>
      <w:r>
        <w:rPr>
          <w:rFonts w:ascii="Arial" w:cs="Arial" w:eastAsia="Arial" w:hAnsi="Arial"/>
          <w:sz w:val="22"/>
          <w:szCs w:val="22"/>
        </w:rPr>
        <w:t xml:space="preserve">, θ</w:t>
      </w:r>
      <w:r>
        <w:rPr>
          <w:rFonts w:ascii="Arial" w:cs="Arial" w:eastAsia="Arial" w:hAnsi="Arial"/>
          <w:sz w:val="22"/>
          <w:szCs w:val="22"/>
          <w:vertAlign w:val="subscript"/>
        </w:rPr>
        <w:t xml:space="preserve">2</w:t>
      </w:r>
      <w:r>
        <w:rPr>
          <w:rFonts w:ascii="Arial" w:cs="Arial" w:eastAsia="Arial" w:hAnsi="Arial"/>
          <w:sz w:val="22"/>
          <w:szCs w:val="22"/>
        </w:rPr>
        <w:t xml:space="preserve">] and the formulations are bioequivalent.</w:t>
      </w:r>
    </w:p>
    <w:p>
      <w:pPr>
        <w:pStyle w:val="Heading3"/>
        <w:spacing w:before="200" w:after="120"/>
      </w:pPr>
      <w:r>
        <w:rPr>
          <w:rFonts w:ascii="Arial" w:cs="Arial" w:eastAsia="Arial" w:hAnsi="Arial"/>
          <w:b/>
          <w:bCs/>
          <w:sz w:val="22"/>
          <w:szCs w:val="22"/>
        </w:rPr>
        <w:t xml:space="preserve">Equivalence to the Confidence Interval Approach</w:t>
      </w:r>
    </w:p>
    <w:p>
      <w:pPr>
        <w:spacing w:after="120" w:line="276"/>
      </w:pPr>
      <w:r>
        <w:rPr>
          <w:rFonts w:ascii="Arial" w:cs="Arial" w:eastAsia="Arial" w:hAnsi="Arial"/>
          <w:sz w:val="22"/>
          <w:szCs w:val="22"/>
        </w:rPr>
        <w:t xml:space="preserve">The TOST procedure is mathematically equivalent to constructing a (1 − 2α) × 100% confidence interval for the ratio and checking whether it falls entirely within the acceptance limits. At α = 0.05, this is a 90% confidence interval. Bioequivalence is concluded if and only if the entire 90% CI falls within [80%, 125%].</w:t>
      </w:r>
    </w:p>
    <w:p>
      <w:pPr>
        <w:spacing w:after="120" w:line="276"/>
      </w:pPr>
      <w:r>
        <w:rPr>
          <w:rFonts w:ascii="Arial" w:cs="Arial" w:eastAsia="Arial" w:hAnsi="Arial"/>
          <w:sz w:val="22"/>
          <w:szCs w:val="22"/>
        </w:rPr>
        <w:t xml:space="preserve">The reason for using 90% (not 95%) is that there are two one-sided tests, each at the 5% level. The overall Type I error rate (the probability of falsely concluding bioequivalence when the formulations are not equivalent) is controlled at 5%.</w:t>
      </w:r>
    </w:p>
    <w:p>
      <w:pPr>
        <w:pStyle w:val="Heading3"/>
        <w:spacing w:before="200" w:after="120"/>
      </w:pPr>
      <w:r>
        <w:rPr>
          <w:rFonts w:ascii="Arial" w:cs="Arial" w:eastAsia="Arial" w:hAnsi="Arial"/>
          <w:b/>
          <w:bCs/>
          <w:sz w:val="22"/>
          <w:szCs w:val="22"/>
        </w:rPr>
        <w:t xml:space="preserve">Why 80–125% and Not 80–120%?</w:t>
      </w:r>
    </w:p>
    <w:p>
      <w:pPr>
        <w:spacing w:after="120" w:line="276"/>
      </w:pPr>
      <w:r>
        <w:rPr>
          <w:rFonts w:ascii="Arial" w:cs="Arial" w:eastAsia="Arial" w:hAnsi="Arial"/>
          <w:sz w:val="22"/>
          <w:szCs w:val="22"/>
        </w:rPr>
        <w:t xml:space="preserve">The bioequivalence limits are symmetric on the </w:t>
      </w:r>
      <w:r>
        <w:rPr>
          <w:rFonts w:ascii="Arial" w:cs="Arial" w:eastAsia="Arial" w:hAnsi="Arial"/>
          <w:b/>
          <w:bCs/>
          <w:sz w:val="22"/>
          <w:szCs w:val="22"/>
        </w:rPr>
        <w:t xml:space="preserve">log scale</w:t>
      </w:r>
      <w:r>
        <w:rPr>
          <w:rFonts w:ascii="Arial" w:cs="Arial" w:eastAsia="Arial" w:hAnsi="Arial"/>
          <w:sz w:val="22"/>
          <w:szCs w:val="22"/>
        </w:rPr>
        <w:t xml:space="preserve">: ln(0.80) = −0.2231 and ln(1.25) = +0.2231. On the original scale, this symmetry translates to asymmetric-looking limits (80% and 125%) because the exponential function is non-linear. The reciprocal of 0.80 is 1.25, so if the Test/Reference ratio is 80%, the Reference/Test ratio is 125%. The limits are defined such that swapping Test and Reference does not change the conclusion.</w:t>
      </w:r>
    </w:p>
    <w:p>
      <w:pPr>
        <w:pStyle w:val="Heading2"/>
        <w:spacing w:before="280" w:after="160"/>
      </w:pPr>
      <w:r>
        <w:rPr>
          <w:rFonts w:ascii="Arial" w:cs="Arial" w:eastAsia="Arial" w:hAnsi="Arial"/>
          <w:b/>
          <w:bCs/>
          <w:sz w:val="26"/>
          <w:szCs w:val="26"/>
        </w:rPr>
        <w:t xml:space="preserve">The ANOVA Model for Crossover Bioequivalence</w:t>
      </w:r>
    </w:p>
    <w:p>
      <w:pPr>
        <w:pStyle w:val="Heading3"/>
        <w:spacing w:before="200" w:after="120"/>
      </w:pPr>
      <w:r>
        <w:rPr>
          <w:rFonts w:ascii="Arial" w:cs="Arial" w:eastAsia="Arial" w:hAnsi="Arial"/>
          <w:b/>
          <w:bCs/>
          <w:sz w:val="22"/>
          <w:szCs w:val="22"/>
        </w:rPr>
        <w:t xml:space="preserve">Why Log-Transform?</w:t>
      </w:r>
    </w:p>
    <w:p>
      <w:pPr>
        <w:spacing w:after="120" w:line="276"/>
      </w:pPr>
      <w:r>
        <w:rPr>
          <w:rFonts w:ascii="Arial" w:cs="Arial" w:eastAsia="Arial" w:hAnsi="Arial"/>
          <w:sz w:val="22"/>
          <w:szCs w:val="22"/>
        </w:rPr>
        <w:t xml:space="preserve">Pharmacokinetic parameters such as C</w:t>
      </w:r>
      <w:r>
        <w:rPr>
          <w:rFonts w:ascii="Arial" w:cs="Arial" w:eastAsia="Arial" w:hAnsi="Arial"/>
          <w:sz w:val="22"/>
          <w:szCs w:val="22"/>
          <w:vertAlign w:val="subscript"/>
        </w:rPr>
        <w:t xml:space="preserve">max</w:t>
      </w:r>
      <w:r>
        <w:rPr>
          <w:rFonts w:ascii="Arial" w:cs="Arial" w:eastAsia="Arial" w:hAnsi="Arial"/>
          <w:sz w:val="22"/>
          <w:szCs w:val="22"/>
        </w:rPr>
        <w:t xml:space="preserve"> and AUC are typically right-skewed and approximately log-normally distributed. The multiplicative pharmacokinetic model (individual exposure = population mean × subject-specific factor × formulation effect × residual) becomes additive on the log scale. The log-transformation satisfies the normality and homoscedasticity assumptions of the linear model and is required by both EMA and FDA guidance.</w:t>
      </w:r>
    </w:p>
    <w:p>
      <w:pPr>
        <w:pStyle w:val="Heading3"/>
        <w:spacing w:before="200" w:after="120"/>
      </w:pPr>
      <w:r>
        <w:rPr>
          <w:rFonts w:ascii="Arial" w:cs="Arial" w:eastAsia="Arial" w:hAnsi="Arial"/>
          <w:b/>
          <w:bCs/>
          <w:sz w:val="22"/>
          <w:szCs w:val="22"/>
        </w:rPr>
        <w:t xml:space="preserve">The Model for the 2×2×2 Crossover</w:t>
      </w:r>
    </w:p>
    <w:p>
      <w:pPr>
        <w:spacing w:after="120" w:line="276"/>
      </w:pPr>
      <w:r>
        <w:rPr>
          <w:rFonts w:ascii="Arial" w:cs="Arial" w:eastAsia="Arial" w:hAnsi="Arial"/>
          <w:sz w:val="22"/>
          <w:szCs w:val="22"/>
        </w:rPr>
        <w:t xml:space="preserve">The standard ANOVA model for a 2-sequence, 2-period crossover design is:</w:t>
      </w:r>
    </w:p>
    <w:p>
      <w:pPr>
        <w:spacing w:before="80" w:after="80"/>
        <w:ind w:left="720"/>
      </w:pPr>
      <w:r>
        <w:rPr>
          <w:rFonts w:ascii="Courier New" w:cs="Courier New" w:eastAsia="Courier New" w:hAnsi="Courier New"/>
          <w:color w:val="2C3E50"/>
          <w:sz w:val="21"/>
          <w:szCs w:val="21"/>
        </w:rPr>
        <w:t xml:space="preserve">ln(Y(ijk)) = μ + SEQ(i) + SUBJ(i,j) + PER(k) + TRT(k) + ε(ijk)</w:t>
      </w:r>
    </w:p>
    <w:p>
      <w:pPr>
        <w:spacing w:after="120" w:line="276"/>
      </w:pPr>
      <w:r>
        <w:rPr>
          <w:rFonts w:ascii="Arial" w:cs="Arial" w:eastAsia="Arial" w:hAnsi="Arial"/>
          <w:sz w:val="22"/>
          <w:szCs w:val="22"/>
        </w:rPr>
        <w:t xml:space="preserve">where:</w:t>
      </w:r>
    </w:p>
    <w:p>
      <w:pPr>
        <w:spacing w:after="120" w:line="276"/>
      </w:pPr>
      <w:r>
        <w:rPr>
          <w:rFonts w:ascii="Arial" w:cs="Arial" w:eastAsia="Arial" w:hAnsi="Arial"/>
          <w:sz w:val="22"/>
          <w:szCs w:val="22"/>
        </w:rPr>
        <w:t xml:space="preserve">• Y</w:t>
      </w:r>
      <w:r>
        <w:rPr>
          <w:rFonts w:ascii="Arial" w:cs="Arial" w:eastAsia="Arial" w:hAnsi="Arial"/>
          <w:sz w:val="22"/>
          <w:szCs w:val="22"/>
          <w:vertAlign w:val="subscript"/>
        </w:rPr>
        <w:t xml:space="preserve">ijk</w:t>
      </w:r>
      <w:r>
        <w:rPr>
          <w:rFonts w:ascii="Arial" w:cs="Arial" w:eastAsia="Arial" w:hAnsi="Arial"/>
          <w:sz w:val="22"/>
          <w:szCs w:val="22"/>
        </w:rPr>
        <w:t xml:space="preserve"> is the pharmacokinetic parameter for subject j in sequence i during period k</w:t>
      </w:r>
    </w:p>
    <w:p>
      <w:pPr>
        <w:spacing w:after="120" w:line="276"/>
      </w:pPr>
      <w:r>
        <w:rPr>
          <w:rFonts w:ascii="Arial" w:cs="Arial" w:eastAsia="Arial" w:hAnsi="Arial"/>
          <w:sz w:val="22"/>
          <w:szCs w:val="22"/>
        </w:rPr>
        <w:t xml:space="preserve">• μ is the overall mean</w:t>
      </w:r>
    </w:p>
    <w:p>
      <w:pPr>
        <w:spacing w:after="120" w:line="276"/>
      </w:pPr>
      <w:r>
        <w:rPr>
          <w:rFonts w:ascii="Arial" w:cs="Arial" w:eastAsia="Arial" w:hAnsi="Arial"/>
          <w:sz w:val="22"/>
          <w:szCs w:val="22"/>
        </w:rPr>
        <w:t xml:space="preserve">• SEQ</w:t>
      </w:r>
      <w:r>
        <w:rPr>
          <w:rFonts w:ascii="Arial" w:cs="Arial" w:eastAsia="Arial" w:hAnsi="Arial"/>
          <w:sz w:val="22"/>
          <w:szCs w:val="22"/>
          <w:vertAlign w:val="subscript"/>
        </w:rPr>
        <w:t xml:space="preserve">i</w:t>
      </w:r>
      <w:r>
        <w:rPr>
          <w:rFonts w:ascii="Arial" w:cs="Arial" w:eastAsia="Arial" w:hAnsi="Arial"/>
          <w:sz w:val="22"/>
          <w:szCs w:val="22"/>
        </w:rPr>
        <w:t xml:space="preserve"> is the sequence effect (TR vs RT) — accounts for potential baseline differences between the groups assigned to each sequence</w:t>
      </w:r>
    </w:p>
    <w:p>
      <w:pPr>
        <w:spacing w:after="120" w:line="276"/>
      </w:pPr>
      <w:r>
        <w:rPr>
          <w:rFonts w:ascii="Arial" w:cs="Arial" w:eastAsia="Arial" w:hAnsi="Arial"/>
          <w:sz w:val="22"/>
          <w:szCs w:val="22"/>
        </w:rPr>
        <w:t xml:space="preserve">• SUBJ</w:t>
      </w:r>
      <w:r>
        <w:rPr>
          <w:rFonts w:ascii="Arial" w:cs="Arial" w:eastAsia="Arial" w:hAnsi="Arial"/>
          <w:sz w:val="22"/>
          <w:szCs w:val="22"/>
          <w:vertAlign w:val="subscript"/>
        </w:rPr>
        <w:t xml:space="preserve">ij</w:t>
      </w:r>
      <w:r>
        <w:rPr>
          <w:rFonts w:ascii="Arial" w:cs="Arial" w:eastAsia="Arial" w:hAnsi="Arial"/>
          <w:sz w:val="22"/>
          <w:szCs w:val="22"/>
        </w:rPr>
        <w:t xml:space="preserve"> is the subject effect nested within sequence — each person has their own baseline exposure level, and this term removes between-subject variability from the residual</w:t>
      </w:r>
    </w:p>
    <w:p>
      <w:pPr>
        <w:spacing w:after="120" w:line="276"/>
      </w:pPr>
      <w:r>
        <w:rPr>
          <w:rFonts w:ascii="Arial" w:cs="Arial" w:eastAsia="Arial" w:hAnsi="Arial"/>
          <w:sz w:val="22"/>
          <w:szCs w:val="22"/>
        </w:rPr>
        <w:t xml:space="preserve">• PER</w:t>
      </w:r>
      <w:r>
        <w:rPr>
          <w:rFonts w:ascii="Arial" w:cs="Arial" w:eastAsia="Arial" w:hAnsi="Arial"/>
          <w:sz w:val="22"/>
          <w:szCs w:val="22"/>
          <w:vertAlign w:val="subscript"/>
        </w:rPr>
        <w:t xml:space="preserve">k</w:t>
      </w:r>
      <w:r>
        <w:rPr>
          <w:rFonts w:ascii="Arial" w:cs="Arial" w:eastAsia="Arial" w:hAnsi="Arial"/>
          <w:sz w:val="22"/>
          <w:szCs w:val="22"/>
        </w:rPr>
        <w:t xml:space="preserve"> is the period effect — accounts for any change between study visits (e.g., weight change, seasonal variation, practice effect)</w:t>
      </w:r>
    </w:p>
    <w:p>
      <w:pPr>
        <w:spacing w:after="120" w:line="276"/>
      </w:pPr>
      <w:r>
        <w:rPr>
          <w:rFonts w:ascii="Arial" w:cs="Arial" w:eastAsia="Arial" w:hAnsi="Arial"/>
          <w:sz w:val="22"/>
          <w:szCs w:val="22"/>
        </w:rPr>
        <w:t xml:space="preserve">• TRT</w:t>
      </w:r>
      <w:r>
        <w:rPr>
          <w:rFonts w:ascii="Arial" w:cs="Arial" w:eastAsia="Arial" w:hAnsi="Arial"/>
          <w:sz w:val="22"/>
          <w:szCs w:val="22"/>
          <w:vertAlign w:val="subscript"/>
        </w:rPr>
        <w:t xml:space="preserve">k</w:t>
      </w:r>
      <w:r>
        <w:rPr>
          <w:rFonts w:ascii="Arial" w:cs="Arial" w:eastAsia="Arial" w:hAnsi="Arial"/>
          <w:sz w:val="22"/>
          <w:szCs w:val="22"/>
        </w:rPr>
        <w:t xml:space="preserve"> is the treatment (formulation) effect — the quantity of interest</w:t>
      </w:r>
    </w:p>
    <w:p>
      <w:pPr>
        <w:spacing w:after="120" w:line="276"/>
      </w:pPr>
      <w:r>
        <w:rPr>
          <w:rFonts w:ascii="Arial" w:cs="Arial" w:eastAsia="Arial" w:hAnsi="Arial"/>
          <w:sz w:val="22"/>
          <w:szCs w:val="22"/>
        </w:rPr>
        <w:t xml:space="preserve">• ε</w:t>
      </w:r>
      <w:r>
        <w:rPr>
          <w:rFonts w:ascii="Arial" w:cs="Arial" w:eastAsia="Arial" w:hAnsi="Arial"/>
          <w:sz w:val="22"/>
          <w:szCs w:val="22"/>
          <w:vertAlign w:val="subscript"/>
        </w:rPr>
        <w:t xml:space="preserve">ijk</w:t>
      </w:r>
      <w:r>
        <w:rPr>
          <w:rFonts w:ascii="Arial" w:cs="Arial" w:eastAsia="Arial" w:hAnsi="Arial"/>
          <w:sz w:val="22"/>
          <w:szCs w:val="22"/>
        </w:rPr>
        <w:t xml:space="preserve"> is the within-subject residual error</w:t>
      </w:r>
    </w:p>
    <w:p>
      <w:pPr>
        <w:spacing w:after="120" w:line="276"/>
      </w:pPr>
      <w:r>
        <w:rPr>
          <w:rFonts w:ascii="Arial" w:cs="Arial" w:eastAsia="Arial" w:hAnsi="Arial"/>
          <w:sz w:val="22"/>
          <w:szCs w:val="22"/>
        </w:rPr>
        <w:t xml:space="preserve">The treatment coefficient from this model estimates the log-ratio of geometric means (Test/Reference). Its standard error reflects the within-subject variability, which is the appropriate error term for a crossover design because each subject serves as their own control.</w:t>
      </w:r>
    </w:p>
    <w:p>
      <w:pPr>
        <w:pStyle w:val="Heading3"/>
        <w:spacing w:before="200" w:after="120"/>
      </w:pPr>
      <w:r>
        <w:rPr>
          <w:rFonts w:ascii="Arial" w:cs="Arial" w:eastAsia="Arial" w:hAnsi="Arial"/>
          <w:b/>
          <w:bCs/>
          <w:sz w:val="22"/>
          <w:szCs w:val="22"/>
        </w:rPr>
        <w:t xml:space="preserve">Why Each Term Matters</w:t>
      </w:r>
    </w:p>
    <w:p>
      <w:pPr>
        <w:spacing w:after="120" w:line="276"/>
      </w:pPr>
      <w:r>
        <w:rPr>
          <w:rFonts w:ascii="Arial" w:cs="Arial" w:eastAsia="Arial" w:hAnsi="Arial"/>
          <w:sz w:val="22"/>
          <w:szCs w:val="22"/>
        </w:rPr>
        <w:t xml:space="preserve">Omitting </w:t>
      </w:r>
      <w:r>
        <w:rPr>
          <w:rFonts w:ascii="Arial" w:cs="Arial" w:eastAsia="Arial" w:hAnsi="Arial"/>
          <w:b/>
          <w:bCs/>
          <w:sz w:val="22"/>
          <w:szCs w:val="22"/>
        </w:rPr>
        <w:t xml:space="preserve">Sequence</w:t>
      </w:r>
      <w:r>
        <w:rPr>
          <w:rFonts w:ascii="Arial" w:cs="Arial" w:eastAsia="Arial" w:hAnsi="Arial"/>
          <w:sz w:val="22"/>
          <w:szCs w:val="22"/>
        </w:rPr>
        <w:t xml:space="preserve"> would bias the treatment estimate if the two sequence groups differ systematically at baseline.</w:t>
      </w:r>
    </w:p>
    <w:p>
      <w:pPr>
        <w:spacing w:after="120" w:line="276"/>
      </w:pPr>
      <w:r>
        <w:rPr>
          <w:rFonts w:ascii="Arial" w:cs="Arial" w:eastAsia="Arial" w:hAnsi="Arial"/>
          <w:sz w:val="22"/>
          <w:szCs w:val="22"/>
        </w:rPr>
        <w:t xml:space="preserve">Omitting </w:t>
      </w:r>
      <w:r>
        <w:rPr>
          <w:rFonts w:ascii="Arial" w:cs="Arial" w:eastAsia="Arial" w:hAnsi="Arial"/>
          <w:b/>
          <w:bCs/>
          <w:sz w:val="22"/>
          <w:szCs w:val="22"/>
        </w:rPr>
        <w:t xml:space="preserve">Subject</w:t>
      </w:r>
      <w:r>
        <w:rPr>
          <w:rFonts w:ascii="Arial" w:cs="Arial" w:eastAsia="Arial" w:hAnsi="Arial"/>
          <w:sz w:val="22"/>
          <w:szCs w:val="22"/>
        </w:rPr>
        <w:t xml:space="preserve"> would inflate the residual error with between-subject variability, dramatically widening the confidence interval and reducing power.</w:t>
      </w:r>
    </w:p>
    <w:p>
      <w:pPr>
        <w:spacing w:after="120" w:line="276"/>
      </w:pPr>
      <w:r>
        <w:rPr>
          <w:rFonts w:ascii="Arial" w:cs="Arial" w:eastAsia="Arial" w:hAnsi="Arial"/>
          <w:sz w:val="22"/>
          <w:szCs w:val="22"/>
        </w:rPr>
        <w:t xml:space="preserve">Omitting </w:t>
      </w:r>
      <w:r>
        <w:rPr>
          <w:rFonts w:ascii="Arial" w:cs="Arial" w:eastAsia="Arial" w:hAnsi="Arial"/>
          <w:b/>
          <w:bCs/>
          <w:sz w:val="22"/>
          <w:szCs w:val="22"/>
        </w:rPr>
        <w:t xml:space="preserve">Period</w:t>
      </w:r>
      <w:r>
        <w:rPr>
          <w:rFonts w:ascii="Arial" w:cs="Arial" w:eastAsia="Arial" w:hAnsi="Arial"/>
          <w:sz w:val="22"/>
          <w:szCs w:val="22"/>
        </w:rPr>
        <w:t xml:space="preserve"> would bias the treatment estimate if there is a true period effect (e.g., a carry-over effect from period 1 to period 2, or a physiological change between visits).</w:t>
      </w:r>
    </w:p>
    <w:p>
      <w:pPr>
        <w:pStyle w:val="Heading2"/>
        <w:spacing w:before="280" w:after="160"/>
      </w:pPr>
      <w:r>
        <w:rPr>
          <w:rFonts w:ascii="Arial" w:cs="Arial" w:eastAsia="Arial" w:hAnsi="Arial"/>
          <w:b/>
          <w:bCs/>
          <w:sz w:val="26"/>
          <w:szCs w:val="26"/>
        </w:rPr>
        <w:t xml:space="preserve">Fixed-Effects vs. Mixed-Effects Models</w:t>
      </w:r>
    </w:p>
    <w:p>
      <w:pPr>
        <w:pStyle w:val="Heading3"/>
        <w:spacing w:before="200" w:after="120"/>
      </w:pPr>
      <w:r>
        <w:rPr>
          <w:rFonts w:ascii="Arial" w:cs="Arial" w:eastAsia="Arial" w:hAnsi="Arial"/>
          <w:b/>
          <w:bCs/>
          <w:sz w:val="22"/>
          <w:szCs w:val="22"/>
        </w:rPr>
        <w:t xml:space="preserve">The Fixed-Effects Approach</w:t>
      </w:r>
    </w:p>
    <w:p>
      <w:pPr>
        <w:spacing w:after="120" w:line="276"/>
      </w:pPr>
      <w:r>
        <w:rPr>
          <w:rFonts w:ascii="Arial" w:cs="Arial" w:eastAsia="Arial" w:hAnsi="Arial"/>
          <w:sz w:val="22"/>
          <w:szCs w:val="22"/>
        </w:rPr>
        <w:t xml:space="preserve">In the fixed-effects model (fitted with R’s lm() function), all terms including Subject are treated as fixed effects. The residual mean square error (MSE) provides the estimate of within-subject variance. This approach is computationally simple and gives valid inference when the design is balanced (all subjects complete all periods).</w:t>
      </w:r>
    </w:p>
    <w:p>
      <w:pPr>
        <w:spacing w:after="120" w:line="276"/>
      </w:pPr>
      <w:r>
        <w:rPr>
          <w:rFonts w:ascii="Arial" w:cs="Arial" w:eastAsia="Arial" w:hAnsi="Arial"/>
          <w:sz w:val="22"/>
          <w:szCs w:val="22"/>
        </w:rPr>
        <w:t xml:space="preserve">The residual degrees of freedom equal the total number of observations minus the number of parameters estimated. For a balanced 2×2×2 crossover with N subjects: df = 2N − N − 2 = N − 2.</w:t>
      </w:r>
    </w:p>
    <w:p>
      <w:pPr>
        <w:pStyle w:val="Heading3"/>
        <w:spacing w:before="200" w:after="120"/>
      </w:pPr>
      <w:r>
        <w:rPr>
          <w:rFonts w:ascii="Arial" w:cs="Arial" w:eastAsia="Arial" w:hAnsi="Arial"/>
          <w:b/>
          <w:bCs/>
          <w:sz w:val="22"/>
          <w:szCs w:val="22"/>
        </w:rPr>
        <w:t xml:space="preserve">The Mixed-Effects Approach</w:t>
      </w:r>
    </w:p>
    <w:p>
      <w:pPr>
        <w:spacing w:after="120" w:line="276"/>
      </w:pPr>
      <w:r>
        <w:rPr>
          <w:rFonts w:ascii="Arial" w:cs="Arial" w:eastAsia="Arial" w:hAnsi="Arial"/>
          <w:sz w:val="22"/>
          <w:szCs w:val="22"/>
        </w:rPr>
        <w:t xml:space="preserve">In the mixed-effects model (fitted with R’s nlme::lme() function), Subject nested within Sequence is modelled as a random effect drawn from a normal distribution with mean zero and variance σ²</w:t>
      </w:r>
      <w:r>
        <w:rPr>
          <w:rFonts w:ascii="Arial" w:cs="Arial" w:eastAsia="Arial" w:hAnsi="Arial"/>
          <w:sz w:val="22"/>
          <w:szCs w:val="22"/>
          <w:vertAlign w:val="subscript"/>
        </w:rPr>
        <w:t xml:space="preserve">B</w:t>
      </w:r>
      <w:r>
        <w:rPr>
          <w:rFonts w:ascii="Arial" w:cs="Arial" w:eastAsia="Arial" w:hAnsi="Arial"/>
          <w:sz w:val="22"/>
          <w:szCs w:val="22"/>
        </w:rPr>
        <w:t xml:space="preserve"> (between-subject variance). Sequence, Period, and Treatment remain fixed effects.</w:t>
      </w:r>
    </w:p>
    <w:p>
      <w:pPr>
        <w:spacing w:before="80" w:after="80"/>
        <w:ind w:left="720"/>
      </w:pPr>
      <w:r>
        <w:rPr>
          <w:rFonts w:ascii="Courier New" w:cs="Courier New" w:eastAsia="Courier New" w:hAnsi="Courier New"/>
          <w:color w:val="2C3E50"/>
          <w:sz w:val="21"/>
          <w:szCs w:val="21"/>
        </w:rPr>
        <w:t xml:space="preserve">ln(Y) = (β₀ + β(Seq) + β(Per) + β(Trt)) + b(Subj) + ε</w:t>
      </w:r>
    </w:p>
    <w:p>
      <w:pPr>
        <w:spacing w:after="120" w:line="276"/>
      </w:pPr>
      <w:r>
        <w:rPr>
          <w:rFonts w:ascii="Arial" w:cs="Arial" w:eastAsia="Arial" w:hAnsi="Arial"/>
          <w:sz w:val="22"/>
          <w:szCs w:val="22"/>
        </w:rPr>
        <w:t xml:space="preserve">where b</w:t>
      </w:r>
      <w:r>
        <w:rPr>
          <w:rFonts w:ascii="Arial" w:cs="Arial" w:eastAsia="Arial" w:hAnsi="Arial"/>
          <w:sz w:val="22"/>
          <w:szCs w:val="22"/>
          <w:vertAlign w:val="subscript"/>
        </w:rPr>
        <w:t xml:space="preserve">Subj</w:t>
      </w:r>
      <w:r>
        <w:rPr>
          <w:rFonts w:ascii="Arial" w:cs="Arial" w:eastAsia="Arial" w:hAnsi="Arial"/>
          <w:sz w:val="22"/>
          <w:szCs w:val="22"/>
        </w:rPr>
        <w:t xml:space="preserve"> ~ N(0, σ²</w:t>
      </w:r>
      <w:r>
        <w:rPr>
          <w:rFonts w:ascii="Arial" w:cs="Arial" w:eastAsia="Arial" w:hAnsi="Arial"/>
          <w:sz w:val="22"/>
          <w:szCs w:val="22"/>
          <w:vertAlign w:val="subscript"/>
        </w:rPr>
        <w:t xml:space="preserve">B</w:t>
      </w:r>
      <w:r>
        <w:rPr>
          <w:rFonts w:ascii="Arial" w:cs="Arial" w:eastAsia="Arial" w:hAnsi="Arial"/>
          <w:sz w:val="22"/>
          <w:szCs w:val="22"/>
        </w:rPr>
        <w:t xml:space="preserve">) and ε ~ N(0, σ²</w:t>
      </w:r>
      <w:r>
        <w:rPr>
          <w:rFonts w:ascii="Arial" w:cs="Arial" w:eastAsia="Arial" w:hAnsi="Arial"/>
          <w:sz w:val="22"/>
          <w:szCs w:val="22"/>
          <w:vertAlign w:val="subscript"/>
        </w:rPr>
        <w:t xml:space="preserve">W</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mixed-effects model has three advantages: it handles unbalanced data correctly (subjects who drop out still contribute information from their completed period), it separates between-subject (σ²</w:t>
      </w:r>
      <w:r>
        <w:rPr>
          <w:rFonts w:ascii="Arial" w:cs="Arial" w:eastAsia="Arial" w:hAnsi="Arial"/>
          <w:sz w:val="22"/>
          <w:szCs w:val="22"/>
          <w:vertAlign w:val="subscript"/>
        </w:rPr>
        <w:t xml:space="preserve">B</w:t>
      </w:r>
      <w:r>
        <w:rPr>
          <w:rFonts w:ascii="Arial" w:cs="Arial" w:eastAsia="Arial" w:hAnsi="Arial"/>
          <w:sz w:val="22"/>
          <w:szCs w:val="22"/>
        </w:rPr>
        <w:t xml:space="preserve">) and within-subject (σ²</w:t>
      </w:r>
      <w:r>
        <w:rPr>
          <w:rFonts w:ascii="Arial" w:cs="Arial" w:eastAsia="Arial" w:hAnsi="Arial"/>
          <w:sz w:val="22"/>
          <w:szCs w:val="22"/>
          <w:vertAlign w:val="subscript"/>
        </w:rPr>
        <w:t xml:space="preserve">W</w:t>
      </w:r>
      <w:r>
        <w:rPr>
          <w:rFonts w:ascii="Arial" w:cs="Arial" w:eastAsia="Arial" w:hAnsi="Arial"/>
          <w:sz w:val="22"/>
          <w:szCs w:val="22"/>
        </w:rPr>
        <w:t xml:space="preserve">) variance explicitly, and it can be extended to more complex designs (e.g., replicate crossover with separate variance estimates per formulation).</w:t>
      </w:r>
    </w:p>
    <w:p>
      <w:pPr>
        <w:pStyle w:val="Heading3"/>
        <w:spacing w:before="200" w:after="120"/>
      </w:pPr>
      <w:r>
        <w:rPr>
          <w:rFonts w:ascii="Arial" w:cs="Arial" w:eastAsia="Arial" w:hAnsi="Arial"/>
          <w:b/>
          <w:bCs/>
          <w:sz w:val="22"/>
          <w:szCs w:val="22"/>
        </w:rPr>
        <w:t xml:space="preserve">Degrees of Freedom: The Containment Method</w:t>
      </w:r>
    </w:p>
    <w:p>
      <w:pPr>
        <w:spacing w:after="120" w:line="276"/>
      </w:pPr>
      <w:r>
        <w:rPr>
          <w:rFonts w:ascii="Arial" w:cs="Arial" w:eastAsia="Arial" w:hAnsi="Arial"/>
          <w:sz w:val="22"/>
          <w:szCs w:val="22"/>
        </w:rPr>
        <w:t xml:space="preserve">In mixed-effects models, the degrees of freedom for testing fixed effects are not simply the residual df. The nlme package uses the </w:t>
      </w:r>
      <w:r>
        <w:rPr>
          <w:rFonts w:ascii="Arial" w:cs="Arial" w:eastAsia="Arial" w:hAnsi="Arial"/>
          <w:b/>
          <w:bCs/>
          <w:sz w:val="22"/>
          <w:szCs w:val="22"/>
        </w:rPr>
        <w:t xml:space="preserve">containment method</w:t>
      </w:r>
      <w:r>
        <w:rPr>
          <w:rFonts w:ascii="Arial" w:cs="Arial" w:eastAsia="Arial" w:hAnsi="Arial"/>
          <w:sz w:val="22"/>
          <w:szCs w:val="22"/>
        </w:rPr>
        <w:t xml:space="preserve">: the df for testing a fixed effect at a given level of the model hierarchy equal the df of the smallest unit that contains the effect. For the treatment effect in a crossover, this is the within-subject level, yielding N − 2 df for a balanced 2×2×2.</w:t>
      </w:r>
    </w:p>
    <w:p>
      <w:pPr>
        <w:spacing w:after="120" w:line="276"/>
      </w:pPr>
      <w:r>
        <w:rPr>
          <w:rFonts w:ascii="Arial" w:cs="Arial" w:eastAsia="Arial" w:hAnsi="Arial"/>
          <w:sz w:val="22"/>
          <w:szCs w:val="22"/>
        </w:rPr>
        <w:t xml:space="preserve">This differs from the Satterthwaite or Kenward-Roger approximations used by lme4/lmerTest. For balanced designs, all three methods give identical df. For unbalanced designs, the containment method tends to be conservative (fewer df, wider CI).</w:t>
      </w:r>
    </w:p>
    <w:p>
      <w:pPr>
        <w:pStyle w:val="Heading3"/>
        <w:spacing w:before="200" w:after="120"/>
      </w:pPr>
      <w:r>
        <w:rPr>
          <w:rFonts w:ascii="Arial" w:cs="Arial" w:eastAsia="Arial" w:hAnsi="Arial"/>
          <w:b/>
          <w:bCs/>
          <w:sz w:val="22"/>
          <w:szCs w:val="22"/>
        </w:rPr>
        <w:t xml:space="preserve">When to Use Which</w:t>
      </w:r>
    </w:p>
    <w:p>
      <w:pPr>
        <w:spacing w:after="120" w:line="276"/>
      </w:pPr>
      <w:r>
        <w:rPr>
          <w:rFonts w:ascii="Arial" w:cs="Arial" w:eastAsia="Arial" w:hAnsi="Arial"/>
          <w:sz w:val="22"/>
          <w:szCs w:val="22"/>
        </w:rPr>
        <w:t xml:space="preserve">The FDA recommends mixed-effects models for crossover BE studies. The EMA accepts both approaches. In practice, for balanced complete datasets, both methods give identical point estimates and very similar confidence intervals. The choice matters primarily when subjects drop out or when the design is unbalanced.</w:t>
      </w:r>
    </w:p>
    <w:p>
      <w:pPr>
        <w:pStyle w:val="Heading2"/>
        <w:spacing w:before="280" w:after="160"/>
      </w:pPr>
      <w:r>
        <w:rPr>
          <w:rFonts w:ascii="Arial" w:cs="Arial" w:eastAsia="Arial" w:hAnsi="Arial"/>
          <w:b/>
          <w:bCs/>
          <w:sz w:val="26"/>
          <w:szCs w:val="26"/>
        </w:rPr>
        <w:t xml:space="preserve">Confidence Interval Construction</w:t>
      </w:r>
    </w:p>
    <w:p>
      <w:pPr>
        <w:pStyle w:val="Heading3"/>
        <w:spacing w:before="200" w:after="120"/>
      </w:pPr>
      <w:r>
        <w:rPr>
          <w:rFonts w:ascii="Arial" w:cs="Arial" w:eastAsia="Arial" w:hAnsi="Arial"/>
          <w:b/>
          <w:bCs/>
          <w:sz w:val="22"/>
          <w:szCs w:val="22"/>
        </w:rPr>
        <w:t xml:space="preserve">From Model Output to 90% CI</w:t>
      </w:r>
    </w:p>
    <w:p>
      <w:pPr>
        <w:spacing w:after="120" w:line="276"/>
      </w:pPr>
      <w:r>
        <w:rPr>
          <w:rFonts w:ascii="Arial" w:cs="Arial" w:eastAsia="Arial" w:hAnsi="Arial"/>
          <w:sz w:val="22"/>
          <w:szCs w:val="22"/>
        </w:rPr>
        <w:t xml:space="preserve">The treatment coefficient δ from the ANOVA model estimates the difference in log means: δ = ln(μ</w:t>
      </w:r>
      <w:r>
        <w:rPr>
          <w:rFonts w:ascii="Arial" w:cs="Arial" w:eastAsia="Arial" w:hAnsi="Arial"/>
          <w:sz w:val="22"/>
          <w:szCs w:val="22"/>
          <w:vertAlign w:val="subscript"/>
        </w:rPr>
        <w:t xml:space="preserve">T</w:t>
      </w:r>
      <w:r>
        <w:rPr>
          <w:rFonts w:ascii="Arial" w:cs="Arial" w:eastAsia="Arial" w:hAnsi="Arial"/>
          <w:sz w:val="22"/>
          <w:szCs w:val="22"/>
        </w:rPr>
        <w:t xml:space="preserve">) − ln(μ</w:t>
      </w:r>
      <w:r>
        <w:rPr>
          <w:rFonts w:ascii="Arial" w:cs="Arial" w:eastAsia="Arial" w:hAnsi="Arial"/>
          <w:sz w:val="22"/>
          <w:szCs w:val="22"/>
          <w:vertAlign w:val="subscript"/>
        </w:rPr>
        <w:t xml:space="preserve">R</w:t>
      </w:r>
      <w:r>
        <w:rPr>
          <w:rFonts w:ascii="Arial" w:cs="Arial" w:eastAsia="Arial" w:hAnsi="Arial"/>
          <w:sz w:val="22"/>
          <w:szCs w:val="22"/>
        </w:rPr>
        <w:t xml:space="preserve">) = ln(μ</w:t>
      </w:r>
      <w:r>
        <w:rPr>
          <w:rFonts w:ascii="Arial" w:cs="Arial" w:eastAsia="Arial" w:hAnsi="Arial"/>
          <w:sz w:val="22"/>
          <w:szCs w:val="22"/>
          <w:vertAlign w:val="subscript"/>
        </w:rPr>
        <w:t xml:space="preserve">T</w:t>
      </w:r>
      <w:r>
        <w:rPr>
          <w:rFonts w:ascii="Arial" w:cs="Arial" w:eastAsia="Arial" w:hAnsi="Arial"/>
          <w:sz w:val="22"/>
          <w:szCs w:val="22"/>
        </w:rPr>
        <w:t xml:space="preserve">/μ</w:t>
      </w:r>
      <w:r>
        <w:rPr>
          <w:rFonts w:ascii="Arial" w:cs="Arial" w:eastAsia="Arial" w:hAnsi="Arial"/>
          <w:sz w:val="22"/>
          <w:szCs w:val="22"/>
          <w:vertAlign w:val="subscript"/>
        </w:rPr>
        <w:t xml:space="preserve">R</w:t>
      </w:r>
      <w:r>
        <w:rPr>
          <w:rFonts w:ascii="Arial" w:cs="Arial" w:eastAsia="Arial" w:hAnsi="Arial"/>
          <w:sz w:val="22"/>
          <w:szCs w:val="22"/>
        </w:rPr>
        <w:t xml:space="preserve">). The 90% confidence interval for δ is:</w:t>
      </w:r>
    </w:p>
    <w:p>
      <w:pPr>
        <w:spacing w:before="80" w:after="80"/>
        <w:ind w:left="720"/>
      </w:pPr>
      <w:r>
        <w:rPr>
          <w:rFonts w:ascii="Courier New" w:cs="Courier New" w:eastAsia="Courier New" w:hAnsi="Courier New"/>
          <w:color w:val="2C3E50"/>
          <w:sz w:val="21"/>
          <w:szCs w:val="21"/>
        </w:rPr>
        <w:t xml:space="preserve">δ ± t(0.95, df) × SE(δ)</w:t>
      </w:r>
    </w:p>
    <w:p>
      <w:pPr>
        <w:spacing w:after="120" w:line="276"/>
      </w:pPr>
      <w:r>
        <w:rPr>
          <w:rFonts w:ascii="Arial" w:cs="Arial" w:eastAsia="Arial" w:hAnsi="Arial"/>
          <w:sz w:val="22"/>
          <w:szCs w:val="22"/>
        </w:rPr>
        <w:t xml:space="preserve">where SE(δ) is the standard error of the treatment coefficient from the model’s variance-covariance matrix, df is the denominator degrees of freedom (residual for fixed effects, containment for mixed effects), and t(0.95, df) is the 95th percentile of the t-distribution with df degrees of freedom.</w:t>
      </w:r>
    </w:p>
    <w:p>
      <w:pPr>
        <w:pStyle w:val="Heading3"/>
        <w:spacing w:before="200" w:after="120"/>
      </w:pPr>
      <w:r>
        <w:rPr>
          <w:rFonts w:ascii="Arial" w:cs="Arial" w:eastAsia="Arial" w:hAnsi="Arial"/>
          <w:b/>
          <w:bCs/>
          <w:sz w:val="22"/>
          <w:szCs w:val="22"/>
        </w:rPr>
        <w:t xml:space="preserve">Back-Transformation</w:t>
      </w:r>
    </w:p>
    <w:p>
      <w:pPr>
        <w:spacing w:after="120" w:line="276"/>
      </w:pPr>
      <w:r>
        <w:rPr>
          <w:rFonts w:ascii="Arial" w:cs="Arial" w:eastAsia="Arial" w:hAnsi="Arial"/>
          <w:sz w:val="22"/>
          <w:szCs w:val="22"/>
        </w:rPr>
        <w:t xml:space="preserve">The confidence interval on the log scale is back-transformed by exponentiation:</w:t>
      </w:r>
    </w:p>
    <w:p>
      <w:pPr>
        <w:spacing w:before="80" w:after="80"/>
        <w:ind w:left="720"/>
      </w:pPr>
      <w:r>
        <w:rPr>
          <w:rFonts w:ascii="Courier New" w:cs="Courier New" w:eastAsia="Courier New" w:hAnsi="Courier New"/>
          <w:color w:val="2C3E50"/>
          <w:sz w:val="21"/>
          <w:szCs w:val="21"/>
        </w:rPr>
        <w:t xml:space="preserve">90% CI = [exp(δ − t × SE) × 100%, exp(δ + t × SE) × 100%]</w:t>
      </w:r>
    </w:p>
    <w:p>
      <w:pPr>
        <w:spacing w:after="120" w:line="276"/>
      </w:pPr>
      <w:r>
        <w:rPr>
          <w:rFonts w:ascii="Arial" w:cs="Arial" w:eastAsia="Arial" w:hAnsi="Arial"/>
          <w:sz w:val="22"/>
          <w:szCs w:val="22"/>
        </w:rPr>
        <w:t xml:space="preserve">The point estimate exp(δ) × 100% is the geometric mean ratio (Test/Reference) expressed as a percentage. If the entire interval [lower%, upper%] falls within [80.00%, 125.00%], bioequivalence is concluded.</w:t>
      </w:r>
    </w:p>
    <w:p>
      <w:pPr>
        <w:pStyle w:val="Heading2"/>
        <w:spacing w:before="280" w:after="160"/>
      </w:pPr>
      <w:r>
        <w:rPr>
          <w:rFonts w:ascii="Arial" w:cs="Arial" w:eastAsia="Arial" w:hAnsi="Arial"/>
          <w:b/>
          <w:bCs/>
          <w:sz w:val="26"/>
          <w:szCs w:val="26"/>
        </w:rPr>
        <w:t xml:space="preserve">Design-Specific Considerations</w:t>
      </w:r>
    </w:p>
    <w:p>
      <w:pPr>
        <w:pStyle w:val="Heading3"/>
        <w:spacing w:before="200" w:after="120"/>
      </w:pPr>
      <w:r>
        <w:rPr>
          <w:rFonts w:ascii="Arial" w:cs="Arial" w:eastAsia="Arial" w:hAnsi="Arial"/>
          <w:b/>
          <w:bCs/>
          <w:sz w:val="22"/>
          <w:szCs w:val="22"/>
        </w:rPr>
        <w:t xml:space="preserve">Fixed-Order Crossover</w:t>
      </w:r>
    </w:p>
    <w:p>
      <w:pPr>
        <w:spacing w:after="120" w:line="276"/>
      </w:pPr>
      <w:r>
        <w:rPr>
          <w:rFonts w:ascii="Arial" w:cs="Arial" w:eastAsia="Arial" w:hAnsi="Arial"/>
          <w:sz w:val="22"/>
          <w:szCs w:val="22"/>
        </w:rPr>
        <w:t xml:space="preserve">When all subjects receive treatments in the same order, the Sequence effect has zero degrees of freedom and the Period effect is completely confounded with the Treatment effect. The appropriate model is:</w:t>
      </w:r>
    </w:p>
    <w:p>
      <w:pPr>
        <w:spacing w:before="80" w:after="80"/>
        <w:ind w:left="720"/>
      </w:pPr>
      <w:r>
        <w:rPr>
          <w:rFonts w:ascii="Courier New" w:cs="Courier New" w:eastAsia="Courier New" w:hAnsi="Courier New"/>
          <w:color w:val="2C3E50"/>
          <w:sz w:val="21"/>
          <w:szCs w:val="21"/>
        </w:rPr>
        <w:t xml:space="preserve">ln(Y) = μ + SUBJ + TRT + ε</w:t>
      </w:r>
    </w:p>
    <w:p>
      <w:pPr>
        <w:spacing w:after="120" w:line="276"/>
      </w:pPr>
      <w:r>
        <w:rPr>
          <w:rFonts w:ascii="Arial" w:cs="Arial" w:eastAsia="Arial" w:hAnsi="Arial"/>
          <w:sz w:val="22"/>
          <w:szCs w:val="22"/>
        </w:rPr>
        <w:t xml:space="preserve">This is algebraically equivalent to a paired t-test on the log-transformed parameters. The degrees of freedom are N − 1. Because period and treatment cannot be separated, an observed treatment difference may partly reflect a period effect (e.g., carry-over, disease progression).</w:t>
      </w:r>
    </w:p>
    <w:p>
      <w:pPr>
        <w:pStyle w:val="Heading3"/>
        <w:spacing w:before="200" w:after="120"/>
      </w:pPr>
      <w:r>
        <w:rPr>
          <w:rFonts w:ascii="Arial" w:cs="Arial" w:eastAsia="Arial" w:hAnsi="Arial"/>
          <w:b/>
          <w:bCs/>
          <w:sz w:val="22"/>
          <w:szCs w:val="22"/>
        </w:rPr>
        <w:t xml:space="preserve">3-Period and Replicate Crossover</w:t>
      </w:r>
    </w:p>
    <w:p>
      <w:pPr>
        <w:spacing w:after="120" w:line="276"/>
      </w:pPr>
      <w:r>
        <w:rPr>
          <w:rFonts w:ascii="Arial" w:cs="Arial" w:eastAsia="Arial" w:hAnsi="Arial"/>
          <w:sz w:val="22"/>
          <w:szCs w:val="22"/>
        </w:rPr>
        <w:t xml:space="preserve">The same model structure applies with Period having 3 or 4 levels. In a 2-sequence, 3-period design (TRT|RTR), one treatment is given twice per subject, providing additional within-subject replication. In a 4-period replicate design (TRTR|RTRT), each treatment appears twice, enabling estimation of within-subject variability for each formulation separately. The NCA Assistant applies the standard ABE criterion (80–125%) to all designs; it does not perform reference-scaled analyses.</w:t>
      </w:r>
    </w:p>
    <w:p>
      <w:pPr>
        <w:pStyle w:val="Heading3"/>
        <w:spacing w:before="200" w:after="120"/>
      </w:pPr>
      <w:r>
        <w:rPr>
          <w:rFonts w:ascii="Arial" w:cs="Arial" w:eastAsia="Arial" w:hAnsi="Arial"/>
          <w:b/>
          <w:bCs/>
          <w:sz w:val="22"/>
          <w:szCs w:val="22"/>
        </w:rPr>
        <w:t xml:space="preserve">Parallel Design</w:t>
      </w:r>
    </w:p>
    <w:p>
      <w:pPr>
        <w:spacing w:after="120" w:line="276"/>
      </w:pPr>
      <w:r>
        <w:rPr>
          <w:rFonts w:ascii="Arial" w:cs="Arial" w:eastAsia="Arial" w:hAnsi="Arial"/>
          <w:sz w:val="22"/>
          <w:szCs w:val="22"/>
        </w:rPr>
        <w:t xml:space="preserve">Each subject receives one treatment only. The model reduces to:</w:t>
      </w:r>
    </w:p>
    <w:p>
      <w:pPr>
        <w:spacing w:before="80" w:after="80"/>
        <w:ind w:left="720"/>
      </w:pPr>
      <w:r>
        <w:rPr>
          <w:rFonts w:ascii="Courier New" w:cs="Courier New" w:eastAsia="Courier New" w:hAnsi="Courier New"/>
          <w:color w:val="2C3E50"/>
          <w:sz w:val="21"/>
          <w:szCs w:val="21"/>
        </w:rPr>
        <w:t xml:space="preserve">ln(Y) = μ + TRT + ε</w:t>
      </w:r>
    </w:p>
    <w:p>
      <w:pPr>
        <w:spacing w:after="120" w:line="276"/>
      </w:pPr>
      <w:r>
        <w:rPr>
          <w:rFonts w:ascii="Arial" w:cs="Arial" w:eastAsia="Arial" w:hAnsi="Arial"/>
          <w:sz w:val="22"/>
          <w:szCs w:val="22"/>
        </w:rPr>
        <w:t xml:space="preserve">The residual variance now includes both within-subject and between-subject variability (they cannot be separated). The degrees of freedom are N</w:t>
      </w:r>
      <w:r>
        <w:rPr>
          <w:rFonts w:ascii="Arial" w:cs="Arial" w:eastAsia="Arial" w:hAnsi="Arial"/>
          <w:sz w:val="22"/>
          <w:szCs w:val="22"/>
          <w:vertAlign w:val="subscript"/>
        </w:rPr>
        <w:t xml:space="preserve">T</w:t>
      </w:r>
      <w:r>
        <w:rPr>
          <w:rFonts w:ascii="Arial" w:cs="Arial" w:eastAsia="Arial" w:hAnsi="Arial"/>
          <w:sz w:val="22"/>
          <w:szCs w:val="22"/>
        </w:rPr>
        <w:t xml:space="preserve"> + N</w:t>
      </w:r>
      <w:r>
        <w:rPr>
          <w:rFonts w:ascii="Arial" w:cs="Arial" w:eastAsia="Arial" w:hAnsi="Arial"/>
          <w:sz w:val="22"/>
          <w:szCs w:val="22"/>
          <w:vertAlign w:val="subscript"/>
        </w:rPr>
        <w:t xml:space="preserve">R</w:t>
      </w:r>
      <w:r>
        <w:rPr>
          <w:rFonts w:ascii="Arial" w:cs="Arial" w:eastAsia="Arial" w:hAnsi="Arial"/>
          <w:sz w:val="22"/>
          <w:szCs w:val="22"/>
        </w:rPr>
        <w:t xml:space="preserve"> − 2. Parallel designs require substantially more subjects than crossover designs to achieve the same power.</w:t>
      </w:r>
    </w:p>
    <w:p>
      <w:pPr>
        <w:pStyle w:val="Heading2"/>
        <w:spacing w:before="280" w:after="160"/>
      </w:pPr>
      <w:r>
        <w:rPr>
          <w:rFonts w:ascii="Arial" w:cs="Arial" w:eastAsia="Arial" w:hAnsi="Arial"/>
          <w:b/>
          <w:bCs/>
          <w:sz w:val="26"/>
          <w:szCs w:val="26"/>
        </w:rPr>
        <w:t xml:space="preserve">Power and Sample Size for Bioequivalence</w:t>
      </w:r>
    </w:p>
    <w:p>
      <w:pPr>
        <w:pStyle w:val="Heading3"/>
        <w:spacing w:before="200" w:after="120"/>
      </w:pPr>
      <w:r>
        <w:rPr>
          <w:rFonts w:ascii="Arial" w:cs="Arial" w:eastAsia="Arial" w:hAnsi="Arial"/>
          <w:b/>
          <w:bCs/>
          <w:sz w:val="22"/>
          <w:szCs w:val="22"/>
        </w:rPr>
        <w:t xml:space="preserve">The Power Function</w:t>
      </w:r>
    </w:p>
    <w:p>
      <w:pPr>
        <w:spacing w:after="120" w:line="276"/>
      </w:pPr>
      <w:r>
        <w:rPr>
          <w:rFonts w:ascii="Arial" w:cs="Arial" w:eastAsia="Arial" w:hAnsi="Arial"/>
          <w:sz w:val="22"/>
          <w:szCs w:val="22"/>
        </w:rPr>
        <w:t xml:space="preserve">The power of a bioequivalence study is the probability of concluding bioequivalence when the formulations are truly equivalent (or have a known true ratio θ</w:t>
      </w:r>
      <w:r>
        <w:rPr>
          <w:rFonts w:ascii="Arial" w:cs="Arial" w:eastAsia="Arial" w:hAnsi="Arial"/>
          <w:sz w:val="22"/>
          <w:szCs w:val="22"/>
          <w:vertAlign w:val="subscript"/>
        </w:rPr>
        <w:t xml:space="preserve">0</w:t>
      </w:r>
      <w:r>
        <w:rPr>
          <w:rFonts w:ascii="Arial" w:cs="Arial" w:eastAsia="Arial" w:hAnsi="Arial"/>
          <w:sz w:val="22"/>
          <w:szCs w:val="22"/>
        </w:rPr>
        <w:t xml:space="preserve">). Power depends on:</w:t>
      </w:r>
    </w:p>
    <w:p>
      <w:pPr>
        <w:spacing w:after="120" w:line="276"/>
      </w:pPr>
      <w:r>
        <w:rPr>
          <w:rFonts w:ascii="Arial" w:cs="Arial" w:eastAsia="Arial" w:hAnsi="Arial"/>
          <w:sz w:val="22"/>
          <w:szCs w:val="22"/>
        </w:rPr>
        <w:t xml:space="preserve">• The within-subject coefficient of variation (CV): higher CV → more subjects needed</w:t>
      </w:r>
    </w:p>
    <w:p>
      <w:pPr>
        <w:spacing w:after="120" w:line="276"/>
      </w:pPr>
      <w:r>
        <w:rPr>
          <w:rFonts w:ascii="Arial" w:cs="Arial" w:eastAsia="Arial" w:hAnsi="Arial"/>
          <w:sz w:val="22"/>
          <w:szCs w:val="22"/>
        </w:rPr>
        <w:t xml:space="preserve">• The true geometric mean ratio (θ</w:t>
      </w:r>
      <w:r>
        <w:rPr>
          <w:rFonts w:ascii="Arial" w:cs="Arial" w:eastAsia="Arial" w:hAnsi="Arial"/>
          <w:sz w:val="22"/>
          <w:szCs w:val="22"/>
          <w:vertAlign w:val="subscript"/>
        </w:rPr>
        <w:t xml:space="preserve">0</w:t>
      </w:r>
      <w:r>
        <w:rPr>
          <w:rFonts w:ascii="Arial" w:cs="Arial" w:eastAsia="Arial" w:hAnsi="Arial"/>
          <w:sz w:val="22"/>
          <w:szCs w:val="22"/>
        </w:rPr>
        <w:t xml:space="preserve">): the further from 1.00, the harder to demonstrate equivalence</w:t>
      </w:r>
    </w:p>
    <w:p>
      <w:pPr>
        <w:spacing w:after="120" w:line="276"/>
      </w:pPr>
      <w:r>
        <w:rPr>
          <w:rFonts w:ascii="Arial" w:cs="Arial" w:eastAsia="Arial" w:hAnsi="Arial"/>
          <w:sz w:val="22"/>
          <w:szCs w:val="22"/>
        </w:rPr>
        <w:t xml:space="preserve">• The sample size (N): more subjects → higher power</w:t>
      </w:r>
    </w:p>
    <w:p>
      <w:pPr>
        <w:spacing w:after="120" w:line="276"/>
      </w:pPr>
      <w:r>
        <w:rPr>
          <w:rFonts w:ascii="Arial" w:cs="Arial" w:eastAsia="Arial" w:hAnsi="Arial"/>
          <w:sz w:val="22"/>
          <w:szCs w:val="22"/>
        </w:rPr>
        <w:t xml:space="preserve">• The study design: crossover designs have more power than parallel designs at the same N</w:t>
      </w:r>
    </w:p>
    <w:p>
      <w:pPr>
        <w:spacing w:after="120" w:line="276"/>
      </w:pPr>
      <w:r>
        <w:rPr>
          <w:rFonts w:ascii="Arial" w:cs="Arial" w:eastAsia="Arial" w:hAnsi="Arial"/>
          <w:sz w:val="22"/>
          <w:szCs w:val="22"/>
        </w:rPr>
        <w:t xml:space="preserve">• The significance level (α = 0.05) and the bioequivalence limits (θ</w:t>
      </w:r>
      <w:r>
        <w:rPr>
          <w:rFonts w:ascii="Arial" w:cs="Arial" w:eastAsia="Arial" w:hAnsi="Arial"/>
          <w:sz w:val="22"/>
          <w:szCs w:val="22"/>
          <w:vertAlign w:val="subscript"/>
        </w:rPr>
        <w:t xml:space="preserve">1</w:t>
      </w:r>
      <w:r>
        <w:rPr>
          <w:rFonts w:ascii="Arial" w:cs="Arial" w:eastAsia="Arial" w:hAnsi="Arial"/>
          <w:sz w:val="22"/>
          <w:szCs w:val="22"/>
        </w:rPr>
        <w:t xml:space="preserve">, θ</w:t>
      </w:r>
      <w:r>
        <w:rPr>
          <w:rFonts w:ascii="Arial" w:cs="Arial" w:eastAsia="Arial" w:hAnsi="Arial"/>
          <w:sz w:val="22"/>
          <w:szCs w:val="22"/>
          <w:vertAlign w:val="subscript"/>
        </w:rPr>
        <w:t xml:space="preserve">2</w:t>
      </w:r>
      <w:r>
        <w:rPr>
          <w:rFonts w:ascii="Arial" w:cs="Arial" w:eastAsia="Arial" w:hAnsi="Arial"/>
          <w:sz w:val="22"/>
          <w:szCs w:val="22"/>
        </w:rPr>
        <w:t xml:space="preserve">)</w:t>
      </w:r>
    </w:p>
    <w:p>
      <w:pPr>
        <w:pStyle w:val="Heading3"/>
        <w:spacing w:before="200" w:after="120"/>
      </w:pPr>
      <w:r>
        <w:rPr>
          <w:rFonts w:ascii="Arial" w:cs="Arial" w:eastAsia="Arial" w:hAnsi="Arial"/>
          <w:b/>
          <w:bCs/>
          <w:sz w:val="22"/>
          <w:szCs w:val="22"/>
        </w:rPr>
        <w:t xml:space="preserve">Exact Power via Owen’s Q Function</w:t>
      </w:r>
    </w:p>
    <w:p>
      <w:pPr>
        <w:spacing w:after="120" w:line="276"/>
      </w:pPr>
      <w:r>
        <w:rPr>
          <w:rFonts w:ascii="Arial" w:cs="Arial" w:eastAsia="Arial" w:hAnsi="Arial"/>
          <w:sz w:val="22"/>
          <w:szCs w:val="22"/>
        </w:rPr>
        <w:t xml:space="preserve">For standard ABE, the power can be computed exactly (not by simulation) using Owen’s Q function — a bivariate non-central t-distribution. This gives the probability that both one-sided test statistics exceed their critical values simultaneously. The PowerTOST R package implements this exact method for all standard crossover and parallel designs.</w:t>
      </w:r>
    </w:p>
    <w:p>
      <w:pPr>
        <w:pStyle w:val="Heading3"/>
        <w:spacing w:before="200" w:after="120"/>
      </w:pPr>
      <w:r>
        <w:rPr>
          <w:rFonts w:ascii="Arial" w:cs="Arial" w:eastAsia="Arial" w:hAnsi="Arial"/>
          <w:b/>
          <w:bCs/>
          <w:sz w:val="22"/>
          <w:szCs w:val="22"/>
        </w:rPr>
        <w:t xml:space="preserve">Simulation-Based Power</w:t>
      </w:r>
    </w:p>
    <w:p>
      <w:pPr>
        <w:spacing w:after="120" w:line="276"/>
      </w:pPr>
      <w:r>
        <w:rPr>
          <w:rFonts w:ascii="Arial" w:cs="Arial" w:eastAsia="Arial" w:hAnsi="Arial"/>
          <w:sz w:val="22"/>
          <w:szCs w:val="22"/>
        </w:rPr>
        <w:t xml:space="preserve">For reference-scaled approaches (ABEL, RSABE, NTID), exact power formulas do not exist because the acceptance limits are random variables that depend on the estimated reference variability. Power is estimated by simulating a large number of studies (default: 100,000 in the NCA Assistant) and counting the proportion that conclude bioequivalence. The simulation generates data under the assumed parameters, fits the appropriate model, and applies the scaled criterion.</w:t>
      </w:r>
    </w:p>
    <w:p>
      <w:pPr>
        <w:pStyle w:val="Heading3"/>
        <w:spacing w:before="200" w:after="120"/>
      </w:pPr>
      <w:r>
        <w:rPr>
          <w:rFonts w:ascii="Arial" w:cs="Arial" w:eastAsia="Arial" w:hAnsi="Arial"/>
          <w:b/>
          <w:bCs/>
          <w:sz w:val="22"/>
          <w:szCs w:val="22"/>
        </w:rPr>
        <w:t xml:space="preserve">Practical Guidance for Sample Size Planning</w:t>
      </w:r>
    </w:p>
    <w:p>
      <w:pPr>
        <w:spacing w:after="120" w:line="276"/>
      </w:pPr>
      <w:r>
        <w:rPr>
          <w:rFonts w:ascii="Arial" w:cs="Arial" w:eastAsia="Arial" w:hAnsi="Arial"/>
          <w:sz w:val="22"/>
          <w:szCs w:val="22"/>
        </w:rPr>
        <w:t xml:space="preserve">• Use a CV estimate from a pilot study, a crossover PK study of a similar drug, or the literature. If no data exist, assume CV = 30% as a conservative starting point for most orally administered drugs.</w:t>
      </w:r>
    </w:p>
    <w:p>
      <w:pPr>
        <w:spacing w:after="120" w:line="276"/>
      </w:pPr>
      <w:r>
        <w:rPr>
          <w:rFonts w:ascii="Arial" w:cs="Arial" w:eastAsia="Arial" w:hAnsi="Arial"/>
          <w:sz w:val="22"/>
          <w:szCs w:val="22"/>
        </w:rPr>
        <w:t xml:space="preserve">• Assume GMR = 0.95 unless you have strong evidence of a different ratio. Using 1.00 (perfect equivalence) gives an optimistic sample size estimate.</w:t>
      </w:r>
    </w:p>
    <w:p>
      <w:pPr>
        <w:spacing w:after="120" w:line="276"/>
      </w:pPr>
      <w:r>
        <w:rPr>
          <w:rFonts w:ascii="Arial" w:cs="Arial" w:eastAsia="Arial" w:hAnsi="Arial"/>
          <w:sz w:val="22"/>
          <w:szCs w:val="22"/>
        </w:rPr>
        <w:t xml:space="preserve">• Target power of 0.80 is standard; 0.90 is used for critical studies where failure would have major consequences.</w:t>
      </w:r>
    </w:p>
    <w:p>
      <w:pPr>
        <w:spacing w:after="120" w:line="276"/>
      </w:pPr>
      <w:r>
        <w:rPr>
          <w:rFonts w:ascii="Arial" w:cs="Arial" w:eastAsia="Arial" w:hAnsi="Arial"/>
          <w:sz w:val="22"/>
          <w:szCs w:val="22"/>
        </w:rPr>
        <w:t xml:space="preserve">• Always examine the sensitivity plot (sample size vs. CV) to understand how robust your design is to uncertainty in the CV estimate. If a small increase in CV dramatically increases the required N, consider building in a safety margin.</w:t>
      </w:r>
    </w:p>
    <w:p>
      <w:r>
        <w:br w:type="page"/>
      </w:r>
    </w:p>
    <w:p>
      <w:pPr>
        <w:pStyle w:val="Heading2"/>
        <w:spacing w:before="280" w:after="160"/>
      </w:pPr>
      <w:r>
        <w:rPr>
          <w:rFonts w:ascii="Arial" w:cs="Arial" w:eastAsia="Arial" w:hAnsi="Arial"/>
          <w:b/>
          <w:bCs/>
          <w:sz w:val="26"/>
          <w:szCs w:val="26"/>
        </w:rPr>
        <w:t xml:space="preserve">Regulatory Guidelines</w:t>
      </w:r>
    </w:p>
    <w:p>
      <w:pPr>
        <w:pStyle w:val="Heading3"/>
        <w:spacing w:before="200" w:after="120"/>
      </w:pPr>
      <w:r>
        <w:rPr>
          <w:rFonts w:ascii="Arial" w:cs="Arial" w:eastAsia="Arial" w:hAnsi="Arial"/>
          <w:b/>
          <w:bCs/>
          <w:sz w:val="22"/>
          <w:szCs w:val="22"/>
        </w:rPr>
        <w:t xml:space="preserve">EMA Guideline on the Investigation of Bioequivalence</w:t>
      </w:r>
    </w:p>
    <w:p>
      <w:pPr>
        <w:spacing w:after="120" w:line="276"/>
      </w:pPr>
      <w:r>
        <w:rPr>
          <w:rFonts w:ascii="Arial" w:cs="Arial" w:eastAsia="Arial" w:hAnsi="Arial"/>
          <w:sz w:val="22"/>
          <w:szCs w:val="22"/>
        </w:rPr>
        <w:t xml:space="preserve">CPMP/EWP/QWP/1401/98 Rev. 1 (January 2010). Defines the requirements for bioequivalence studies in the European Union. Key provisions: standard BE limits 80.00–125.00%; widened limits for highly variable drugs (ABEL approach, CV</w:t>
      </w:r>
      <w:r>
        <w:rPr>
          <w:rFonts w:ascii="Arial" w:cs="Arial" w:eastAsia="Arial" w:hAnsi="Arial"/>
          <w:sz w:val="22"/>
          <w:szCs w:val="22"/>
          <w:vertAlign w:val="subscript"/>
        </w:rPr>
        <w:t xml:space="preserve">wR</w:t>
      </w:r>
      <w:r>
        <w:rPr>
          <w:rFonts w:ascii="Arial" w:cs="Arial" w:eastAsia="Arial" w:hAnsi="Arial"/>
          <w:sz w:val="22"/>
          <w:szCs w:val="22"/>
        </w:rPr>
        <w:t xml:space="preserve"> &gt; 30%); log-transformation required for C</w:t>
      </w:r>
      <w:r>
        <w:rPr>
          <w:rFonts w:ascii="Arial" w:cs="Arial" w:eastAsia="Arial" w:hAnsi="Arial"/>
          <w:sz w:val="22"/>
          <w:szCs w:val="22"/>
          <w:vertAlign w:val="subscript"/>
        </w:rPr>
        <w:t xml:space="preserve">max</w:t>
      </w:r>
      <w:r>
        <w:rPr>
          <w:rFonts w:ascii="Arial" w:cs="Arial" w:eastAsia="Arial" w:hAnsi="Arial"/>
          <w:sz w:val="22"/>
          <w:szCs w:val="22"/>
        </w:rPr>
        <w:t xml:space="preserve"> and AUC; the 90% confidence interval approach; acceptance of both fixed- and mixed-effects models.</w:t>
      </w:r>
    </w:p>
    <w:p>
      <w:pPr>
        <w:spacing w:after="120" w:line="276"/>
      </w:pPr>
      <w:r>
        <w:rPr>
          <w:rFonts w:ascii="Arial" w:cs="Arial" w:eastAsia="Arial" w:hAnsi="Arial"/>
          <w:sz w:val="22"/>
          <w:szCs w:val="22"/>
        </w:rPr>
        <w:t xml:space="preserve">Available at: https://www.ema.europa.eu/en/investigation-bioequivalence-scientific-guideline</w:t>
      </w:r>
    </w:p>
    <w:p>
      <w:pPr>
        <w:pStyle w:val="Heading3"/>
        <w:spacing w:before="200" w:after="120"/>
      </w:pPr>
      <w:r>
        <w:rPr>
          <w:rFonts w:ascii="Arial" w:cs="Arial" w:eastAsia="Arial" w:hAnsi="Arial"/>
          <w:b/>
          <w:bCs/>
          <w:sz w:val="22"/>
          <w:szCs w:val="22"/>
        </w:rPr>
        <w:t xml:space="preserve">FDA Guidance for Industry: Statistical Approaches to Establishing Bioequivalence</w:t>
      </w:r>
    </w:p>
    <w:p>
      <w:pPr>
        <w:spacing w:after="120" w:line="276"/>
      </w:pPr>
      <w:r>
        <w:rPr>
          <w:rFonts w:ascii="Arial" w:cs="Arial" w:eastAsia="Arial" w:hAnsi="Arial"/>
          <w:sz w:val="22"/>
          <w:szCs w:val="22"/>
        </w:rPr>
        <w:t xml:space="preserve">(January 2001, with updates). Defines the FDA’s statistical requirements. Key provisions: preference for the mixed-effects model; the RSABE approach for highly variable drugs; the NTID approach for narrow therapeutic index drugs; the requirement for a reference-scaled criterion when CV</w:t>
      </w:r>
      <w:r>
        <w:rPr>
          <w:rFonts w:ascii="Arial" w:cs="Arial" w:eastAsia="Arial" w:hAnsi="Arial"/>
          <w:sz w:val="22"/>
          <w:szCs w:val="22"/>
          <w:vertAlign w:val="subscript"/>
        </w:rPr>
        <w:t xml:space="preserve">wR</w:t>
      </w:r>
      <w:r>
        <w:rPr>
          <w:rFonts w:ascii="Arial" w:cs="Arial" w:eastAsia="Arial" w:hAnsi="Arial"/>
          <w:sz w:val="22"/>
          <w:szCs w:val="22"/>
        </w:rPr>
        <w:t xml:space="preserve"> &gt; 30%.</w:t>
      </w:r>
    </w:p>
    <w:p>
      <w:pPr>
        <w:spacing w:after="120" w:line="276"/>
      </w:pPr>
      <w:r>
        <w:rPr>
          <w:rFonts w:ascii="Arial" w:cs="Arial" w:eastAsia="Arial" w:hAnsi="Arial"/>
          <w:sz w:val="22"/>
          <w:szCs w:val="22"/>
        </w:rPr>
        <w:t xml:space="preserve">Available at: https://www.fda.gov/regulatory-information/search-fda-guidance-documents/statistical-approaches-establishing-bioequivalence</w:t>
      </w:r>
    </w:p>
    <w:p>
      <w:pPr>
        <w:pStyle w:val="Heading3"/>
        <w:spacing w:before="200" w:after="120"/>
      </w:pPr>
      <w:r>
        <w:rPr>
          <w:rFonts w:ascii="Arial" w:cs="Arial" w:eastAsia="Arial" w:hAnsi="Arial"/>
          <w:b/>
          <w:bCs/>
          <w:sz w:val="22"/>
          <w:szCs w:val="22"/>
        </w:rPr>
        <w:t xml:space="preserve">FDA Guidance: Bioavailability and Bioequivalence Studies</w:t>
      </w:r>
    </w:p>
    <w:p>
      <w:pPr>
        <w:spacing w:after="120" w:line="276"/>
      </w:pPr>
      <w:r>
        <w:rPr>
          <w:rFonts w:ascii="Arial" w:cs="Arial" w:eastAsia="Arial" w:hAnsi="Arial"/>
          <w:sz w:val="22"/>
          <w:szCs w:val="22"/>
        </w:rPr>
        <w:t xml:space="preserve">Guidance for Industry: Bioavailability and Bioequivalence Studies Submitted in NDAs or INDs — General Considerations (December 2003). Covers study design, statistical analysis, and reporting requirements.</w:t>
      </w:r>
    </w:p>
    <w:p>
      <w:pPr>
        <w:spacing w:after="120" w:line="276"/>
      </w:pPr>
      <w:r>
        <w:rPr>
          <w:rFonts w:ascii="Arial" w:cs="Arial" w:eastAsia="Arial" w:hAnsi="Arial"/>
          <w:sz w:val="22"/>
          <w:szCs w:val="22"/>
        </w:rPr>
        <w:t xml:space="preserve">Available at: https://www.fda.gov/regulatory-information/search-fda-guidance-documents/bioavailability-and-bioequivalence-studies-submitted-ndas-or-inds-general-considerations</w:t>
      </w:r>
    </w:p>
    <w:p>
      <w:pPr>
        <w:pStyle w:val="Heading3"/>
        <w:spacing w:before="200" w:after="120"/>
      </w:pPr>
      <w:r>
        <w:rPr>
          <w:rFonts w:ascii="Arial" w:cs="Arial" w:eastAsia="Arial" w:hAnsi="Arial"/>
          <w:b/>
          <w:bCs/>
          <w:sz w:val="22"/>
          <w:szCs w:val="22"/>
        </w:rPr>
        <w:t xml:space="preserve">ICH M3(R2): Nonclinical Safety Studies</w:t>
      </w:r>
    </w:p>
    <w:p>
      <w:pPr>
        <w:spacing w:after="120" w:line="276"/>
      </w:pPr>
      <w:r>
        <w:rPr>
          <w:rFonts w:ascii="Arial" w:cs="Arial" w:eastAsia="Arial" w:hAnsi="Arial"/>
          <w:sz w:val="22"/>
          <w:szCs w:val="22"/>
        </w:rPr>
        <w:t xml:space="preserve">Defines when bioequivalence studies are required in the drug development timeline and the relationship between nonclinical and clinical studies.</w:t>
      </w:r>
    </w:p>
    <w:p>
      <w:pPr>
        <w:spacing w:after="120" w:line="276"/>
      </w:pPr>
      <w:r>
        <w:rPr>
          <w:rFonts w:ascii="Arial" w:cs="Arial" w:eastAsia="Arial" w:hAnsi="Arial"/>
          <w:sz w:val="22"/>
          <w:szCs w:val="22"/>
        </w:rPr>
        <w:t xml:space="preserve">Available at: https://www.ich.org/page/multidisciplinary-guidelines</w:t>
      </w:r>
    </w:p>
    <w:p>
      <w:r>
        <w:br w:type="page"/>
      </w:r>
    </w:p>
    <w:p>
      <w:pPr>
        <w:pStyle w:val="Heading1"/>
        <w:spacing w:before="360" w:after="200"/>
      </w:pPr>
      <w:r>
        <w:rPr>
          <w:rFonts w:ascii="Arial" w:cs="Arial" w:eastAsia="Arial" w:hAnsi="Arial"/>
          <w:b/>
          <w:bCs/>
          <w:sz w:val="32"/>
          <w:szCs w:val="32"/>
        </w:rPr>
        <w:t xml:space="preserve">Appendices</w:t>
      </w:r>
    </w:p>
    <w:p>
      <w:pPr>
        <w:pStyle w:val="Heading2"/>
        <w:spacing w:before="280" w:after="160"/>
      </w:pPr>
      <w:r>
        <w:rPr>
          <w:rFonts w:ascii="Arial" w:cs="Arial" w:eastAsia="Arial" w:hAnsi="Arial"/>
          <w:b/>
          <w:bCs/>
          <w:sz w:val="26"/>
          <w:szCs w:val="26"/>
        </w:rP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Abbreviation</w:t>
            </w:r>
          </w:p>
        </w:tc>
        <w:tc>
          <w:tcPr>
            <w:tcW w:type="dxa" w:w="6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Bioequivalence. Standard BE with fixed 80–125% limits.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ABEL</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Bioequivalence with Expanding Limits (EMA, for HVDs).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ANOVA</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Analysis of Variance.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Area Under the Curve. Total drug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AUCτ</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 within the dosing interval (steady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BLQ</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Below the Limit of Quantification.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CL/F</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clearance.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Cmax</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observed concentration.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CV%</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Coefficient of Variation.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GMR</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Geometric Mean Ratio (Test/Reference).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HVD</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Highly Variable Drug (CV &gt; 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LLOQ</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Lower Limit of Quantification.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MRT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Residence 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NCA</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Non-Compartmental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NTID</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Narrow Therapeutic Index Drug.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OLS</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Ordinary Least Squares (regression).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RSABE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Reference-Scaled Average Bioequivalence (FDA, for HVDs).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TOST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One-Sided Tests.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Tmax</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of maximum observed concentration.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t½</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elimination half-life.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Vz/F</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volume of distribution (terminal phase).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λz</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elimination rate constant.</w:t>
            </w:r>
          </w:p>
        </w:tc>
      </w:tr>
    </w:tbl>
    <w:p>
      <w:pPr>
        <w:pStyle w:val="Heading2"/>
        <w:spacing w:before="280" w:after="160"/>
      </w:pPr>
      <w:r>
        <w:rPr>
          <w:rFonts w:ascii="Arial" w:cs="Arial" w:eastAsia="Arial" w:hAnsi="Arial"/>
          <w:b/>
          <w:bCs/>
          <w:sz w:val="26"/>
          <w:szCs w:val="26"/>
        </w:rPr>
        <w:t xml:space="preserve">Appendix B: Recognised Column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6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Recognised names (case-insensitive)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 SubjectID, USUBJID, ID, Pat, PatID, Proband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Hours, Hour, Tpt, NTIM, APTS, Zeit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Concentration</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 Concentration, DV, Cp, Result, Konz, Plasma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Treatment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Treatment, Trt, Formulation, Drug, Arm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 Per, Prd, Phase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Sequence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Sequence, Seq, Grp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Dose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Dose, Amt, Amount</w:t>
            </w:r>
          </w:p>
        </w:tc>
      </w:tr>
    </w:tbl>
    <w:p>
      <w:pPr>
        <w:pStyle w:val="Heading2"/>
        <w:spacing w:before="280" w:after="160"/>
      </w:pPr>
      <w:r>
        <w:rPr>
          <w:rFonts w:ascii="Arial" w:cs="Arial" w:eastAsia="Arial" w:hAnsi="Arial"/>
          <w:b/>
          <w:bCs/>
          <w:sz w:val="26"/>
          <w:szCs w:val="26"/>
        </w:rPr>
        <w:t xml:space="preserve">Appendix C: Troubleshooting</w:t>
      </w:r>
    </w:p>
    <w:p>
      <w:pPr>
        <w:spacing w:after="120" w:line="276"/>
      </w:pPr>
      <w:r>
        <w:rPr>
          <w:rFonts w:ascii="Arial" w:cs="Arial" w:eastAsia="Arial" w:hAnsi="Arial"/>
          <w:b/>
          <w:bCs/>
          <w:sz w:val="22"/>
          <w:szCs w:val="22"/>
        </w:rPr>
        <w:t xml:space="preserve">“Disconnected from the server”</w:t>
      </w:r>
      <w:r>
        <w:rPr>
          <w:rFonts w:ascii="Arial" w:cs="Arial" w:eastAsia="Arial" w:hAnsi="Arial"/>
          <w:sz w:val="22"/>
          <w:szCs w:val="22"/>
        </w:rPr>
        <w:t xml:space="preserve"> — Analysis exceeded memory or time limits. Run locally in RStudio.</w:t>
      </w:r>
    </w:p>
    <w:p>
      <w:pPr>
        <w:spacing w:after="120" w:line="276"/>
      </w:pPr>
      <w:r>
        <w:rPr>
          <w:rFonts w:ascii="Arial" w:cs="Arial" w:eastAsia="Arial" w:hAnsi="Arial"/>
          <w:b/>
          <w:bCs/>
          <w:sz w:val="22"/>
          <w:szCs w:val="22"/>
        </w:rPr>
        <w:t xml:space="preserve">“Error: An error has occurred”</w:t>
      </w:r>
      <w:r>
        <w:rPr>
          <w:rFonts w:ascii="Arial" w:cs="Arial" w:eastAsia="Arial" w:hAnsi="Arial"/>
          <w:sz w:val="22"/>
          <w:szCs w:val="22"/>
        </w:rPr>
        <w:t xml:space="preserve"> — Usually NA values in concentration reaching a log-scale plot. Check BLQ processing (LLOQ &gt; 0).</w:t>
      </w:r>
    </w:p>
    <w:p>
      <w:pPr>
        <w:spacing w:after="120" w:line="276"/>
      </w:pPr>
      <w:r>
        <w:rPr>
          <w:rFonts w:ascii="Arial" w:cs="Arial" w:eastAsia="Arial" w:hAnsi="Arial"/>
          <w:b/>
          <w:bCs/>
          <w:sz w:val="22"/>
          <w:szCs w:val="22"/>
        </w:rPr>
        <w:t xml:space="preserve">Half-life differs from WinNonlin</w:t>
      </w:r>
      <w:r>
        <w:rPr>
          <w:rFonts w:ascii="Arial" w:cs="Arial" w:eastAsia="Arial" w:hAnsi="Arial"/>
          <w:sz w:val="22"/>
          <w:szCs w:val="22"/>
        </w:rPr>
        <w:t xml:space="preserve"> — Check R² threshold and terminal phase point selection. Use the Half-Life Review tab.</w:t>
      </w:r>
    </w:p>
    <w:p>
      <w:pPr>
        <w:spacing w:after="120" w:line="276"/>
      </w:pPr>
      <w:r>
        <w:rPr>
          <w:rFonts w:ascii="Arial" w:cs="Arial" w:eastAsia="Arial" w:hAnsi="Arial"/>
          <w:b/>
          <w:bCs/>
          <w:sz w:val="22"/>
          <w:szCs w:val="22"/>
        </w:rPr>
        <w:t xml:space="preserve">BE page crashes</w:t>
      </w:r>
      <w:r>
        <w:rPr>
          <w:rFonts w:ascii="Arial" w:cs="Arial" w:eastAsia="Arial" w:hAnsi="Arial"/>
          <w:sz w:val="22"/>
          <w:szCs w:val="22"/>
        </w:rPr>
        <w:t xml:space="preserve"> — Ensure all six columns are present and correctly mapped.</w:t>
      </w:r>
    </w:p>
    <w:p>
      <w:pPr>
        <w:spacing w:after="120" w:line="276"/>
      </w:pPr>
      <w:r>
        <w:rPr>
          <w:rFonts w:ascii="Arial" w:cs="Arial" w:eastAsia="Arial" w:hAnsi="Arial"/>
          <w:b/>
          <w:bCs/>
          <w:sz w:val="22"/>
          <w:szCs w:val="22"/>
        </w:rPr>
        <w:t xml:space="preserve">Old warnings persist</w:t>
      </w:r>
      <w:r>
        <w:rPr>
          <w:rFonts w:ascii="Arial" w:cs="Arial" w:eastAsia="Arial" w:hAnsi="Arial"/>
          <w:sz w:val="22"/>
          <w:szCs w:val="22"/>
        </w:rPr>
        <w:t xml:space="preserve"> — Fixed in v1.0. Clear browser cache or reload.</w:t>
      </w:r>
    </w:p>
    <w:p>
      <w:pPr>
        <w:pStyle w:val="Heading2"/>
        <w:spacing w:before="280" w:after="160"/>
      </w:pPr>
      <w:r>
        <w:rPr>
          <w:rFonts w:ascii="Arial" w:cs="Arial" w:eastAsia="Arial" w:hAnsi="Arial"/>
          <w:b/>
          <w:bCs/>
          <w:sz w:val="26"/>
          <w:szCs w:val="26"/>
        </w:rPr>
        <w:t xml:space="preserve">Appendix D: Software References</w:t>
      </w:r>
    </w:p>
    <w:p>
      <w:pPr>
        <w:spacing w:after="120" w:line="276"/>
      </w:pPr>
      <w:r>
        <w:rPr>
          <w:rFonts w:ascii="Arial" w:cs="Arial" w:eastAsia="Arial" w:hAnsi="Arial"/>
          <w:sz w:val="22"/>
          <w:szCs w:val="22"/>
        </w:rPr>
        <w:t xml:space="preserve">Beal SL. Ways to fit a PK model with some data below the quantification limit. </w:t>
      </w:r>
      <w:r>
        <w:rPr>
          <w:rFonts w:ascii="Arial" w:cs="Arial" w:eastAsia="Arial" w:hAnsi="Arial"/>
          <w:i/>
          <w:iCs/>
          <w:sz w:val="22"/>
          <w:szCs w:val="22"/>
        </w:rPr>
        <w:t xml:space="preserve">J Pharmacokinet Pharmacodyn</w:t>
      </w:r>
      <w:r>
        <w:rPr>
          <w:rFonts w:ascii="Arial" w:cs="Arial" w:eastAsia="Arial" w:hAnsi="Arial"/>
          <w:sz w:val="22"/>
          <w:szCs w:val="22"/>
        </w:rPr>
        <w:t xml:space="preserve">. 2001;28(5):481–504.</w:t>
      </w:r>
    </w:p>
    <w:p>
      <w:pPr>
        <w:spacing w:after="120" w:line="276"/>
      </w:pPr>
      <w:r>
        <w:rPr>
          <w:rFonts w:ascii="Arial" w:cs="Arial" w:eastAsia="Arial" w:hAnsi="Arial"/>
          <w:sz w:val="22"/>
          <w:szCs w:val="22"/>
        </w:rPr>
        <w:t xml:space="preserve">Kim H, et al. NonCompart: Noncompartmental Analysis for Pharmacokinetic Data. </w:t>
      </w:r>
      <w:r>
        <w:rPr>
          <w:rFonts w:ascii="Arial" w:cs="Arial" w:eastAsia="Arial" w:hAnsi="Arial"/>
          <w:i/>
          <w:iCs/>
          <w:sz w:val="22"/>
          <w:szCs w:val="22"/>
        </w:rPr>
        <w:t xml:space="preserve">Transl Clin Pharmacol</w:t>
      </w:r>
      <w:r>
        <w:rPr>
          <w:rFonts w:ascii="Arial" w:cs="Arial" w:eastAsia="Arial" w:hAnsi="Arial"/>
          <w:sz w:val="22"/>
          <w:szCs w:val="22"/>
        </w:rPr>
        <w:t xml:space="preserve">. 2018;26(1):10–15.</w:t>
      </w:r>
    </w:p>
    <w:p>
      <w:pPr>
        <w:spacing w:after="120" w:line="276"/>
      </w:pPr>
      <w:r>
        <w:rPr>
          <w:rFonts w:ascii="Arial" w:cs="Arial" w:eastAsia="Arial" w:hAnsi="Arial"/>
          <w:sz w:val="22"/>
          <w:szCs w:val="22"/>
        </w:rPr>
        <w:t xml:space="preserve">Labes D, Schütz H, Lang B. PowerTOST: Power and Sample Size for (Bio)Equivalence Studies. R package.</w:t>
      </w:r>
    </w:p>
    <w:p>
      <w:pPr>
        <w:spacing w:after="120" w:line="276"/>
      </w:pPr>
      <w:r>
        <w:rPr>
          <w:rFonts w:ascii="Arial" w:cs="Arial" w:eastAsia="Arial" w:hAnsi="Arial"/>
          <w:sz w:val="22"/>
          <w:szCs w:val="22"/>
        </w:rPr>
        <w:t xml:space="preserve">Owen DB. A special case of a bivariate non-central t-distribution. </w:t>
      </w:r>
      <w:r>
        <w:rPr>
          <w:rFonts w:ascii="Arial" w:cs="Arial" w:eastAsia="Arial" w:hAnsi="Arial"/>
          <w:i/>
          <w:iCs/>
          <w:sz w:val="22"/>
          <w:szCs w:val="22"/>
        </w:rPr>
        <w:t xml:space="preserve">Biometrika</w:t>
      </w:r>
      <w:r>
        <w:rPr>
          <w:rFonts w:ascii="Arial" w:cs="Arial" w:eastAsia="Arial" w:hAnsi="Arial"/>
          <w:sz w:val="22"/>
          <w:szCs w:val="22"/>
        </w:rPr>
        <w:t xml:space="preserve">. 1965;52(3/4):437–446.</w:t>
      </w:r>
    </w:p>
    <w:p>
      <w:pPr>
        <w:spacing w:after="120" w:line="276"/>
      </w:pPr>
      <w:r>
        <w:rPr>
          <w:rFonts w:ascii="Arial" w:cs="Arial" w:eastAsia="Arial" w:hAnsi="Arial"/>
          <w:sz w:val="22"/>
          <w:szCs w:val="22"/>
        </w:rPr>
        <w:t xml:space="preserve">Pinheiro JC, Bates DM. </w:t>
      </w:r>
      <w:r>
        <w:rPr>
          <w:rFonts w:ascii="Arial" w:cs="Arial" w:eastAsia="Arial" w:hAnsi="Arial"/>
          <w:i/>
          <w:iCs/>
          <w:sz w:val="22"/>
          <w:szCs w:val="22"/>
        </w:rPr>
        <w:t xml:space="preserve">Mixed-Effects Models in S and S-PLUS</w:t>
      </w:r>
      <w:r>
        <w:rPr>
          <w:rFonts w:ascii="Arial" w:cs="Arial" w:eastAsia="Arial" w:hAnsi="Arial"/>
          <w:sz w:val="22"/>
          <w:szCs w:val="22"/>
        </w:rPr>
        <w:t xml:space="preserve">. Springer, 2000.</w:t>
      </w:r>
    </w:p>
    <w:p>
      <w:pPr>
        <w:spacing w:after="120" w:line="276"/>
      </w:pPr>
      <w:r>
        <w:rPr>
          <w:rFonts w:ascii="Arial" w:cs="Arial" w:eastAsia="Arial" w:hAnsi="Arial"/>
          <w:sz w:val="22"/>
          <w:szCs w:val="22"/>
        </w:rPr>
        <w:t xml:space="preserve">Schuirmann DJ. A comparison of the two one-sided tests procedure and the power approach. </w:t>
      </w:r>
      <w:r>
        <w:rPr>
          <w:rFonts w:ascii="Arial" w:cs="Arial" w:eastAsia="Arial" w:hAnsi="Arial"/>
          <w:i/>
          <w:iCs/>
          <w:sz w:val="22"/>
          <w:szCs w:val="22"/>
        </w:rPr>
        <w:t xml:space="preserve">J Pharmacokinet Biopharm</w:t>
      </w:r>
      <w:r>
        <w:rPr>
          <w:rFonts w:ascii="Arial" w:cs="Arial" w:eastAsia="Arial" w:hAnsi="Arial"/>
          <w:sz w:val="22"/>
          <w:szCs w:val="22"/>
        </w:rPr>
        <w:t xml:space="preserve">. 1987;15(6):657–680.</w:t>
      </w:r>
    </w:p>
    <w:p>
      <w:pPr>
        <w:spacing w:after="120" w:line="276"/>
      </w:pPr>
      <w:r>
        <w:rPr>
          <w:rFonts w:ascii="Arial" w:cs="Arial" w:eastAsia="Arial" w:hAnsi="Arial"/>
          <w:sz w:val="22"/>
          <w:szCs w:val="22"/>
        </w:rPr>
        <w:t xml:space="preserve">Yeh KC, Kwan KC. A comparison of numerical integrating algorithms by trapezoidal, Lagrange, and spline approximation. </w:t>
      </w:r>
      <w:r>
        <w:rPr>
          <w:rFonts w:ascii="Arial" w:cs="Arial" w:eastAsia="Arial" w:hAnsi="Arial"/>
          <w:i/>
          <w:iCs/>
          <w:sz w:val="22"/>
          <w:szCs w:val="22"/>
        </w:rPr>
        <w:t xml:space="preserve">J Pharmacokinet Biopharm</w:t>
      </w:r>
      <w:r>
        <w:rPr>
          <w:rFonts w:ascii="Arial" w:cs="Arial" w:eastAsia="Arial" w:hAnsi="Arial"/>
          <w:sz w:val="22"/>
          <w:szCs w:val="22"/>
        </w:rPr>
        <w:t xml:space="preserve">. 1978;6(1):79–98.</w:t>
      </w:r>
    </w:p>
    <w:p>
      <w:pPr>
        <w:spacing w:after="120" w:line="276"/>
      </w:pPr>
      <w:r>
        <w:rPr>
          <w:rFonts w:ascii="Arial" w:cs="Arial" w:eastAsia="Arial" w:hAnsi="Arial"/>
          <w:sz w:val="22"/>
          <w:szCs w:val="22"/>
        </w:rPr>
        <w:t xml:space="preserve">R Core Team. R: A Language and Environment for Statistical Computing. Vienna, Austria.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NCA Assistant — User Manual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498D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2026-04-02T10:28:01.763Z</dcterms:created>
  <dcterms:modified xsi:type="dcterms:W3CDTF">2026-04-02T10:28:01.764Z</dcterms:modified>
</cp:coreProperties>
</file>

<file path=docProps/custom.xml><?xml version="1.0" encoding="utf-8"?>
<Properties xmlns="http://schemas.openxmlformats.org/officeDocument/2006/custom-properties" xmlns:vt="http://schemas.openxmlformats.org/officeDocument/2006/docPropsVTypes"/>
</file>