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2C3E50"/>
          <w:sz w:val="52"/>
          <w:szCs w:val="52"/>
        </w:rPr>
        <w:t xml:space="preserve">NCA Assistant</w:t>
      </w:r>
    </w:p>
    <w:p>
      <w:pPr>
        <w:spacing w:after="100"/>
        <w:jc w:val="center"/>
      </w:pPr>
      <w:r>
        <w:rPr>
          <w:rFonts w:ascii="Arial" w:cs="Arial" w:eastAsia="Arial" w:hAnsi="Arial"/>
          <w:color w:val="3498DB"/>
          <w:sz w:val="36"/>
          <w:szCs w:val="36"/>
        </w:rPr>
        <w:t xml:space="preserve">User Manual</w:t>
      </w:r>
    </w:p>
    <w:p>
      <w:pPr>
        <w:spacing w:after="400"/>
        <w:jc w:val="center"/>
      </w:pPr>
      <w:r>
        <w:rPr>
          <w:rFonts w:ascii="Arial" w:cs="Arial" w:eastAsia="Arial" w:hAnsi="Arial"/>
          <w:color w:val="7F8C8D"/>
          <w:sz w:val="24"/>
          <w:szCs w:val="24"/>
        </w:rPr>
        <w:t xml:space="preserve">Version 1.1</w:t>
      </w:r>
    </w:p>
    <w:p>
      <w:pPr>
        <w:spacing w:after="100"/>
        <w:jc w:val="center"/>
      </w:pPr>
      <w:r>
        <w:rPr>
          <w:rFonts w:ascii="Arial" w:cs="Arial" w:eastAsia="Arial" w:hAnsi="Arial"/>
          <w:sz w:val="24"/>
          <w:szCs w:val="24"/>
        </w:rPr>
        <w:t xml:space="preserve">Non-Compartmental Pharmacokinetic Analysis</w:t>
      </w:r>
    </w:p>
    <w:p>
      <w:pPr>
        <w:spacing w:after="100"/>
        <w:jc w:val="center"/>
      </w:pPr>
      <w:r>
        <w:rPr>
          <w:rFonts w:ascii="Arial" w:cs="Arial" w:eastAsia="Arial" w:hAnsi="Arial"/>
          <w:sz w:val="24"/>
          <w:szCs w:val="24"/>
        </w:rPr>
        <w:t xml:space="preserve">Bioequivalence Testing • Drug Interaction Studies • Power &amp; Sample Size</w:t>
      </w:r>
    </w:p>
    <w:p>
      <w:pPr>
        <w:spacing w:before="800"/>
        <w:jc w:val="center"/>
      </w:pPr>
      <w:r>
        <w:rPr>
          <w:rFonts w:ascii="Arial" w:cs="Arial" w:eastAsia="Arial" w:hAnsi="Arial"/>
          <w:i/>
          <w:iCs/>
          <w:sz w:val="22"/>
          <w:szCs w:val="22"/>
        </w:rPr>
        <w:t xml:space="preserve">Radboud Applied Pharmacometrics</w:t>
      </w:r>
    </w:p>
    <w:p>
      <w:pPr>
        <w:jc w:val="center"/>
      </w:pPr>
      <w:r>
        <w:rPr>
          <w:rFonts w:ascii="Arial" w:cs="Arial" w:eastAsia="Arial" w:hAnsi="Arial"/>
          <w:i/>
          <w:iCs/>
          <w:sz w:val="22"/>
          <w:szCs w:val="22"/>
        </w:rPr>
        <w:t xml:space="preserve">Radboudumc, Nijmegen, The Netherlands</w:t>
      </w:r>
    </w:p>
    <w:p>
      <w:pPr>
        <w:spacing w:before="400"/>
        <w:jc w:val="center"/>
      </w:pPr>
      <w:r>
        <w:rPr>
          <w:rFonts w:ascii="Arial" w:cs="Arial" w:eastAsia="Arial" w:hAnsi="Arial"/>
          <w:color w:val="999999"/>
          <w:sz w:val="18"/>
          <w:szCs w:val="18"/>
        </w:rPr>
        <w:t xml:space="preserve">Manual version 1.1 — corresponds to NCA Assistant v1.0</w:t>
      </w:r>
    </w:p>
    <w:p>
      <w:r>
        <w:br w:type="page"/>
      </w:r>
    </w:p>
    <w:p>
      <w:pPr>
        <w:pStyle w:val="Heading1"/>
        <w:spacing w:after="200" w:before="360"/>
      </w:pPr>
      <w:r>
        <w:rPr>
          <w:rFonts w:ascii="Arial" w:cs="Arial" w:eastAsia="Arial" w:hAnsi="Arial"/>
          <w:b/>
          <w:bCs/>
          <w:sz w:val="32"/>
          <w:szCs w:val="32"/>
        </w:rPr>
        <w:t xml:space="preserve">Document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526"/>
        <w:gridCol w:w="3000"/>
      </w:tblGrid>
      <w:tr>
        <w:tc>
          <w:tcPr>
            <w:tcW w:type="dxa" w:w="15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Version</w:t>
            </w:r>
          </w:p>
        </w:tc>
        <w:tc>
          <w:tcPr>
            <w:tcW w:type="dxa" w:w="2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Date</w:t>
            </w:r>
          </w:p>
        </w:tc>
        <w:tc>
          <w:tcPr>
            <w:tcW w:type="dxa" w:w="2526"/>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Author</w:t>
            </w:r>
          </w:p>
        </w:tc>
        <w:tc>
          <w:tcPr>
            <w:tcW w:type="dxa" w:w="3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Changes</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March 2026</w:t>
            </w:r>
          </w:p>
        </w:tc>
        <w:tc>
          <w:tcPr>
            <w:tcW w:type="dxa" w:w="25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Initial release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1.1</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April 2026</w:t>
            </w:r>
          </w:p>
        </w:tc>
        <w:tc>
          <w:tcPr>
            <w:tcW w:type="dxa" w:w="25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Added theoretical background (Part V), expanded statistical methods (Part VI), DDI study analysis, decimal separator guidance</w:t>
            </w:r>
          </w:p>
        </w:tc>
      </w:tr>
    </w:tbl>
    <w:p>
      <w:r>
        <w:br w:type="page"/>
      </w:r>
    </w:p>
    <w:p>
      <w:pPr>
        <w:pStyle w:val="Heading1"/>
        <w:spacing w:after="200" w:before="360"/>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pacing w:after="80" w:line="276"/>
      </w:pPr>
      <w:r>
        <w:rPr>
          <w:rFonts w:ascii="Arial" w:cs="Arial" w:eastAsia="Arial" w:hAnsi="Arial"/>
          <w:color w:val="555555"/>
          <w:sz w:val="20"/>
          <w:szCs w:val="20"/>
        </w:rPr>
        <w:t xml:space="preserve">Update: right-click → Update Field → Update Entire Table.</w:t>
      </w:r>
    </w:p>
    <w:p>
      <w:r>
        <w:br w:type="page"/>
      </w:r>
    </w:p>
    <w:p>
      <w:pPr>
        <w:pStyle w:val="Heading1"/>
        <w:spacing w:after="200" w:before="360"/>
      </w:pPr>
      <w:r>
        <w:rPr>
          <w:rFonts w:ascii="Arial" w:cs="Arial" w:eastAsia="Arial" w:hAnsi="Arial"/>
          <w:b/>
          <w:bCs/>
          <w:sz w:val="32"/>
          <w:szCs w:val="32"/>
        </w:rPr>
        <w:t xml:space="preserve">Quick Start Guide</w:t>
      </w:r>
    </w:p>
    <w:p>
      <w:pPr>
        <w:spacing w:after="120" w:line="276"/>
      </w:pPr>
      <w:r>
        <w:rPr>
          <w:rFonts w:ascii="Arial" w:cs="Arial" w:eastAsia="Arial" w:hAnsi="Arial"/>
          <w:b/>
          <w:bCs/>
          <w:sz w:val="22"/>
          <w:szCs w:val="22"/>
        </w:rPr>
        <w:t xml:space="preserve">Before you begin: </w:t>
      </w:r>
      <w:r>
        <w:rPr>
          <w:rFonts w:ascii="Arial" w:cs="Arial" w:eastAsia="Arial" w:hAnsi="Arial"/>
          <w:sz w:val="22"/>
          <w:szCs w:val="22"/>
        </w:rPr>
        <w:t xml:space="preserve">make sure your data file is in the right format. If this is your first time, read Part II (Preparing Your Data) before uploading. Incorrect formatting is the most common reason for errors.</w:t>
      </w:r>
    </w:p>
    <w:p>
      <w:pPr>
        <w:spacing w:after="120" w:line="276"/>
      </w:pPr>
      <w:r>
        <w:rPr>
          <w:rFonts w:ascii="Arial" w:cs="Arial" w:eastAsia="Arial" w:hAnsi="Arial"/>
          <w:b/>
          <w:bCs/>
          <w:sz w:val="22"/>
          <w:szCs w:val="22"/>
        </w:rPr>
        <w:t xml:space="preserve">Step 1. </w:t>
      </w:r>
      <w:r>
        <w:rPr>
          <w:rFonts w:ascii="Arial" w:cs="Arial" w:eastAsia="Arial" w:hAnsi="Arial"/>
          <w:sz w:val="22"/>
          <w:szCs w:val="22"/>
        </w:rPr>
        <w:t xml:space="preserve">Open the app at </w:t>
      </w:r>
      <w:r>
        <w:rPr>
          <w:rFonts w:ascii="Courier New" w:cs="Courier New" w:eastAsia="Courier New" w:hAnsi="Courier New"/>
          <w:sz w:val="20"/>
          <w:szCs w:val="20"/>
        </w:rPr>
        <w:t xml:space="preserve">robterheine.shinyapps.io/NCAassistant</w:t>
      </w:r>
      <w:r>
        <w:rPr>
          <w:rFonts w:ascii="Arial" w:cs="Arial" w:eastAsia="Arial" w:hAnsi="Arial"/>
          <w:sz w:val="22"/>
          <w:szCs w:val="22"/>
        </w:rPr>
        <w:t xml:space="preserve"> or run </w:t>
      </w:r>
      <w:r>
        <w:rPr>
          <w:rFonts w:ascii="Courier New" w:cs="Courier New" w:eastAsia="Courier New" w:hAnsi="Courier New"/>
          <w:sz w:val="20"/>
          <w:szCs w:val="20"/>
        </w:rPr>
        <w:t xml:space="preserve">source("install_and_run.R")</w:t>
      </w:r>
      <w:r>
        <w:rPr>
          <w:rFonts w:ascii="Arial" w:cs="Arial" w:eastAsia="Arial" w:hAnsi="Arial"/>
          <w:sz w:val="22"/>
          <w:szCs w:val="22"/>
        </w:rPr>
        <w:t xml:space="preserve"> in RStudio.</w:t>
      </w:r>
    </w:p>
    <w:p>
      <w:pPr>
        <w:spacing w:after="120" w:line="276"/>
      </w:pPr>
      <w:r>
        <w:rPr>
          <w:rFonts w:ascii="Arial" w:cs="Arial" w:eastAsia="Arial" w:hAnsi="Arial"/>
          <w:b/>
          <w:bCs/>
          <w:sz w:val="22"/>
          <w:szCs w:val="22"/>
        </w:rPr>
        <w:t xml:space="preserve">Step 2. </w:t>
      </w:r>
      <w:r>
        <w:rPr>
          <w:rFonts w:ascii="Arial" w:cs="Arial" w:eastAsia="Arial" w:hAnsi="Arial"/>
          <w:sz w:val="22"/>
          <w:szCs w:val="22"/>
        </w:rPr>
        <w:t xml:space="preserve">Click </w:t>
      </w:r>
      <w:r>
        <w:rPr>
          <w:rFonts w:ascii="Arial" w:cs="Arial" w:eastAsia="Arial" w:hAnsi="Arial"/>
          <w:b/>
          <w:bCs/>
          <w:sz w:val="22"/>
          <w:szCs w:val="22"/>
        </w:rPr>
        <w:t xml:space="preserve">Upload &amp; Check Data</w:t>
      </w:r>
      <w:r>
        <w:rPr>
          <w:rFonts w:ascii="Arial" w:cs="Arial" w:eastAsia="Arial" w:hAnsi="Arial"/>
          <w:sz w:val="22"/>
          <w:szCs w:val="22"/>
        </w:rPr>
        <w:t xml:space="preserve">. Upload your CSV or Excel file. The app auto-detects column names.</w:t>
      </w:r>
    </w:p>
    <w:p>
      <w:pPr>
        <w:spacing w:after="120" w:line="276"/>
      </w:pPr>
      <w:r>
        <w:rPr>
          <w:rFonts w:ascii="Arial" w:cs="Arial" w:eastAsia="Arial" w:hAnsi="Arial"/>
          <w:b/>
          <w:bCs/>
          <w:sz w:val="22"/>
          <w:szCs w:val="22"/>
        </w:rPr>
        <w:t xml:space="preserve">Step 3. </w:t>
      </w:r>
      <w:r>
        <w:rPr>
          <w:rFonts w:ascii="Arial" w:cs="Arial" w:eastAsia="Arial" w:hAnsi="Arial"/>
          <w:sz w:val="22"/>
          <w:szCs w:val="22"/>
        </w:rPr>
        <w:t xml:space="preserve">If your data contains BLQ values: set the LLOQ value and select a BLQ rule. Click </w:t>
      </w:r>
      <w:r>
        <w:rPr>
          <w:rFonts w:ascii="Arial" w:cs="Arial" w:eastAsia="Arial" w:hAnsi="Arial"/>
          <w:b/>
          <w:bCs/>
          <w:sz w:val="22"/>
          <w:szCs w:val="22"/>
        </w:rPr>
        <w:t xml:space="preserve">Process Data</w:t>
      </w:r>
      <w:r>
        <w:rPr>
          <w:rFonts w:ascii="Arial" w:cs="Arial" w:eastAsia="Arial" w:hAnsi="Arial"/>
          <w:sz w:val="22"/>
          <w:szCs w:val="22"/>
        </w:rPr>
        <w:t xml:space="preserve">.</w:t>
      </w:r>
    </w:p>
    <w:p>
      <w:pPr>
        <w:spacing w:after="120" w:line="276"/>
      </w:pPr>
      <w:r>
        <w:rPr>
          <w:rFonts w:ascii="Arial" w:cs="Arial" w:eastAsia="Arial" w:hAnsi="Arial"/>
          <w:b/>
          <w:bCs/>
          <w:sz w:val="22"/>
          <w:szCs w:val="22"/>
        </w:rPr>
        <w:t xml:space="preserve">Step 4. </w:t>
      </w:r>
      <w:r>
        <w:rPr>
          <w:rFonts w:ascii="Arial" w:cs="Arial" w:eastAsia="Arial" w:hAnsi="Arial"/>
          <w:sz w:val="22"/>
          <w:szCs w:val="22"/>
        </w:rPr>
        <w:t xml:space="preserve">Go to </w:t>
      </w:r>
      <w:r>
        <w:rPr>
          <w:rFonts w:ascii="Arial" w:cs="Arial" w:eastAsia="Arial" w:hAnsi="Arial"/>
          <w:b/>
          <w:bCs/>
          <w:sz w:val="22"/>
          <w:szCs w:val="22"/>
        </w:rPr>
        <w:t xml:space="preserve">Analyze All Subjects</w:t>
      </w:r>
      <w:r>
        <w:rPr>
          <w:rFonts w:ascii="Arial" w:cs="Arial" w:eastAsia="Arial" w:hAnsi="Arial"/>
          <w:sz w:val="22"/>
          <w:szCs w:val="22"/>
        </w:rPr>
        <w:t xml:space="preserve">. Set the dose and route. Click </w:t>
      </w:r>
      <w:r>
        <w:rPr>
          <w:rFonts w:ascii="Arial" w:cs="Arial" w:eastAsia="Arial" w:hAnsi="Arial"/>
          <w:b/>
          <w:bCs/>
          <w:sz w:val="22"/>
          <w:szCs w:val="22"/>
        </w:rPr>
        <w:t xml:space="preserve">Run Analysis on All Subjects</w:t>
      </w:r>
      <w:r>
        <w:rPr>
          <w:rFonts w:ascii="Arial" w:cs="Arial" w:eastAsia="Arial" w:hAnsi="Arial"/>
          <w:sz w:val="22"/>
          <w:szCs w:val="22"/>
        </w:rPr>
        <w:t xml:space="preserve">.</w:t>
      </w:r>
    </w:p>
    <w:p>
      <w:pPr>
        <w:spacing w:after="120" w:line="276"/>
      </w:pPr>
      <w:r>
        <w:rPr>
          <w:rFonts w:ascii="Arial" w:cs="Arial" w:eastAsia="Arial" w:hAnsi="Arial"/>
          <w:b/>
          <w:bCs/>
          <w:sz w:val="22"/>
          <w:szCs w:val="22"/>
        </w:rPr>
        <w:t xml:space="preserve">Step 5. </w:t>
      </w:r>
      <w:r>
        <w:rPr>
          <w:rFonts w:ascii="Arial" w:cs="Arial" w:eastAsia="Arial" w:hAnsi="Arial"/>
          <w:sz w:val="22"/>
          <w:szCs w:val="22"/>
        </w:rPr>
        <w:t xml:space="preserve">View results. Download as Excel or CSV, or generate a Complete Analysis Record.</w:t>
      </w:r>
    </w:p>
    <w:p>
      <w:pPr>
        <w:spacing w:after="80" w:line="276"/>
      </w:pPr>
      <w:r>
        <w:rPr>
          <w:rFonts w:ascii="Arial" w:cs="Arial" w:eastAsia="Arial" w:hAnsi="Arial"/>
          <w:color w:val="555555"/>
          <w:sz w:val="20"/>
          <w:szCs w:val="20"/>
        </w:rPr>
        <w:t xml:space="preserve">For bioequivalence or drug interaction studies: go to Bioequivalence Testing instead. For study planning: go to Plan a Study (no data needed). A Data Preparation Guide with example datasets is available from the home screen and from the top navigation bar.</w:t>
      </w:r>
    </w:p>
    <w:p>
      <w:r>
        <w:br w:type="page"/>
      </w:r>
    </w:p>
    <w:p>
      <w:pPr>
        <w:pStyle w:val="Heading1"/>
        <w:spacing w:after="200" w:before="360"/>
      </w:pPr>
      <w:r>
        <w:rPr>
          <w:rFonts w:ascii="Arial" w:cs="Arial" w:eastAsia="Arial" w:hAnsi="Arial"/>
          <w:b/>
          <w:bCs/>
          <w:sz w:val="32"/>
          <w:szCs w:val="32"/>
        </w:rPr>
        <w:t xml:space="preserve">Part I: Introduction to Non-Compartmental Analysis</w:t>
      </w:r>
    </w:p>
    <w:p>
      <w:pPr>
        <w:pStyle w:val="Heading2"/>
        <w:spacing w:after="160" w:before="280"/>
      </w:pPr>
      <w:r>
        <w:rPr>
          <w:rFonts w:ascii="Arial" w:cs="Arial" w:eastAsia="Arial" w:hAnsi="Arial"/>
          <w:b/>
          <w:bCs/>
          <w:sz w:val="26"/>
          <w:szCs w:val="26"/>
        </w:rPr>
        <w:t xml:space="preserve">What Is Non-Compartmental Analysis?</w:t>
      </w:r>
    </w:p>
    <w:p>
      <w:pPr>
        <w:spacing w:after="120" w:line="276"/>
      </w:pPr>
      <w:r>
        <w:rPr>
          <w:rFonts w:ascii="Arial" w:cs="Arial" w:eastAsia="Arial" w:hAnsi="Arial"/>
          <w:sz w:val="22"/>
          <w:szCs w:val="22"/>
        </w:rPr>
        <w:t xml:space="preserve">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pPr>
        <w:spacing w:after="120" w:line="276"/>
      </w:pPr>
      <w:r>
        <w:rPr>
          <w:rFonts w:ascii="Arial" w:cs="Arial" w:eastAsia="Arial" w:hAnsi="Arial"/>
          <w:sz w:val="22"/>
          <w:szCs w:val="22"/>
        </w:rPr>
        <w:t xml:space="preserve">NCA is the standard approach for analyzing pharmacokinetic data in drug development. It is recommended by the EMA, FDA, and PMDA for bioequivalence studies and is routinely used in Phase I clinical trials, dose-finding studies, and therapeutic drug monitoring research.</w:t>
      </w:r>
    </w:p>
    <w:p>
      <w:pPr>
        <w:pStyle w:val="Heading2"/>
        <w:spacing w:after="160" w:before="280"/>
      </w:pPr>
      <w:r>
        <w:rPr>
          <w:rFonts w:ascii="Arial" w:cs="Arial" w:eastAsia="Arial" w:hAnsi="Arial"/>
          <w:b/>
          <w:bCs/>
          <w:sz w:val="26"/>
          <w:szCs w:val="26"/>
        </w:rPr>
        <w:t xml:space="preserve">The Concentration–Time Curve</w:t>
      </w:r>
    </w:p>
    <w:p>
      <w:pPr>
        <w:spacing w:after="120" w:line="276"/>
      </w:pPr>
      <w:r>
        <w:rPr>
          <w:rFonts w:ascii="Arial" w:cs="Arial" w:eastAsia="Arial" w:hAnsi="Arial"/>
          <w:sz w:val="22"/>
          <w:szCs w:val="22"/>
        </w:rPr>
        <w:t xml:space="preserve">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pPr>
        <w:pStyle w:val="Heading2"/>
        <w:spacing w:after="160" w:before="280"/>
      </w:pPr>
      <w:r>
        <w:rPr>
          <w:rFonts w:ascii="Arial" w:cs="Arial" w:eastAsia="Arial" w:hAnsi="Arial"/>
          <w:b/>
          <w:bCs/>
          <w:sz w:val="26"/>
          <w:szCs w:val="26"/>
        </w:rPr>
        <w:t xml:space="preserve">Key Pharmacokinetic Parameters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5826"/>
      </w:tblGrid>
      <w:tr>
        <w:tc>
          <w:tcPr>
            <w:tcW w:type="dxa" w:w="18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Parameter</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Symbol</w:t>
            </w:r>
          </w:p>
        </w:tc>
        <w:tc>
          <w:tcPr>
            <w:tcW w:type="dxa" w:w="5826"/>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What it tells you</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Peak concentration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Cmax</w:t>
            </w:r>
          </w:p>
        </w:tc>
        <w:tc>
          <w:tcPr>
            <w:tcW w:type="dxa" w:w="5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The highest concentration observed. Relevant for efficacy and safety.</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Time of peak</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Tmax</w:t>
            </w:r>
          </w:p>
        </w:tc>
        <w:tc>
          <w:tcPr>
            <w:tcW w:type="dxa" w:w="5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When the peak occurs. Reflects the rate of absorption.</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Area under the curve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AUC</w:t>
            </w:r>
          </w:p>
        </w:tc>
        <w:tc>
          <w:tcPr>
            <w:tcW w:type="dxa" w:w="5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Total drug exposure over time. The most important measure of overall exposure.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Terminal half-life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t½</w:t>
            </w:r>
          </w:p>
        </w:tc>
        <w:tc>
          <w:tcPr>
            <w:tcW w:type="dxa" w:w="5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Time for the concentration to halve during the terminal phase.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Apparent clearance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CL/F</w:t>
            </w:r>
          </w:p>
        </w:tc>
        <w:tc>
          <w:tcPr>
            <w:tcW w:type="dxa" w:w="5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Rate of drug elimination, normalized to bioavailability.</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Volume of distribution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Vz/F</w:t>
            </w:r>
          </w:p>
        </w:tc>
        <w:tc>
          <w:tcPr>
            <w:tcW w:type="dxa" w:w="5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Apparent volume the drug distributes into during the terminal phase.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Mean residence time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MRT</w:t>
            </w:r>
          </w:p>
        </w:tc>
        <w:tc>
          <w:tcPr>
            <w:tcW w:type="dxa" w:w="5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Average time a drug molecule stays in the body.</w:t>
            </w:r>
          </w:p>
        </w:tc>
      </w:tr>
    </w:tbl>
    <w:p>
      <w:pPr>
        <w:pStyle w:val="Heading2"/>
        <w:spacing w:after="160" w:before="280"/>
      </w:pPr>
      <w:r>
        <w:rPr>
          <w:rFonts w:ascii="Arial" w:cs="Arial" w:eastAsia="Arial" w:hAnsi="Arial"/>
          <w:b/>
          <w:bCs/>
          <w:sz w:val="26"/>
          <w:szCs w:val="26"/>
        </w:rPr>
        <w:t xml:space="preserve">Why NCA Is Used So Widely</w:t>
      </w:r>
    </w:p>
    <w:p>
      <w:pPr>
        <w:spacing w:after="120" w:line="276"/>
      </w:pPr>
      <w:r>
        <w:rPr>
          <w:rFonts w:ascii="Arial" w:cs="Arial" w:eastAsia="Arial" w:hAnsi="Arial"/>
          <w:sz w:val="22"/>
          <w:szCs w:val="22"/>
        </w:rPr>
        <w:t xml:space="preserve">Because NCA does not assume a particular compartmental structure, the same calculation methods apply regardless of whether the drug follows simple one-compartment kinetics or complex multi-phasic elimination. The results depend only on the observed data and the numerical method used, not on model selection. This makes NCA highly reproducible across software platforms and analysts.</w:t>
      </w:r>
    </w:p>
    <w:p>
      <w:pPr>
        <w:spacing w:after="120" w:line="276"/>
      </w:pPr>
      <w:r>
        <w:rPr>
          <w:rFonts w:ascii="Arial" w:cs="Arial" w:eastAsia="Arial" w:hAnsi="Arial"/>
          <w:sz w:val="22"/>
          <w:szCs w:val="22"/>
        </w:rPr>
        <w:t xml:space="preserve">Regulatory agencies accept NCA because the methods are well-defined and transparent. NCA is the required approach for bioequivalence studies, where C</w:t>
      </w:r>
      <w:r>
        <w:rPr>
          <w:rFonts w:ascii="Arial" w:cs="Arial" w:eastAsia="Arial" w:hAnsi="Arial"/>
          <w:sz w:val="22"/>
          <w:szCs w:val="22"/>
          <w:vertAlign w:val="subscript"/>
        </w:rPr>
        <w:t xml:space="preserve">max</w:t>
      </w:r>
      <w:r>
        <w:rPr>
          <w:rFonts w:ascii="Arial" w:cs="Arial" w:eastAsia="Arial" w:hAnsi="Arial"/>
          <w:sz w:val="22"/>
          <w:szCs w:val="22"/>
        </w:rPr>
        <w:t xml:space="preserve"> (rate) and AUC (extent) are the primary endpoints.</w:t>
      </w:r>
    </w:p>
    <w:p>
      <w:pPr>
        <w:pStyle w:val="Heading2"/>
        <w:spacing w:after="160" w:before="280"/>
      </w:pPr>
      <w:r>
        <w:rPr>
          <w:rFonts w:ascii="Arial" w:cs="Arial" w:eastAsia="Arial" w:hAnsi="Arial"/>
          <w:b/>
          <w:bCs/>
          <w:sz w:val="26"/>
          <w:szCs w:val="26"/>
        </w:rPr>
        <w:t xml:space="preserve">When to Use NCA vs. Compartmental Modelling</w:t>
      </w:r>
    </w:p>
    <w:p>
      <w:pPr>
        <w:spacing w:after="120" w:line="276"/>
      </w:pPr>
      <w:r>
        <w:rPr>
          <w:rFonts w:ascii="Arial" w:cs="Arial" w:eastAsia="Arial" w:hAnsi="Arial"/>
          <w:sz w:val="22"/>
          <w:szCs w:val="22"/>
        </w:rPr>
        <w:t xml:space="preserve">Use NCA when you need standard PK parameters from observed data: first-in-human studies, bioequivalence, drug interaction studies, dose proportionality, food effect studies. Use compartmental modelling when you need to simulate unobserved scenarios, when you have sparse sampling, or when you need to understand mechanisms. The two approaches are complementary.</w:t>
      </w:r>
    </w:p>
    <w:p>
      <w:r>
        <w:br w:type="page"/>
      </w:r>
    </w:p>
    <w:p>
      <w:pPr>
        <w:pStyle w:val="Heading1"/>
        <w:spacing w:after="200" w:before="360"/>
      </w:pPr>
      <w:r>
        <w:rPr>
          <w:rFonts w:ascii="Arial" w:cs="Arial" w:eastAsia="Arial" w:hAnsi="Arial"/>
          <w:b/>
          <w:bCs/>
          <w:sz w:val="32"/>
          <w:szCs w:val="32"/>
        </w:rPr>
        <w:t xml:space="preserve">Part II: Preparing Your Data</w:t>
      </w:r>
    </w:p>
    <w:p>
      <w:pPr>
        <w:pStyle w:val="Heading2"/>
        <w:spacing w:after="160" w:before="280"/>
      </w:pPr>
      <w:r>
        <w:rPr>
          <w:rFonts w:ascii="Arial" w:cs="Arial" w:eastAsia="Arial" w:hAnsi="Arial"/>
          <w:b/>
          <w:bCs/>
          <w:sz w:val="26"/>
          <w:szCs w:val="26"/>
        </w:rPr>
        <w:t xml:space="preserve">General Format Rules</w:t>
      </w:r>
    </w:p>
    <w:p>
      <w:pPr>
        <w:spacing w:after="120" w:line="276"/>
      </w:pPr>
      <w:r>
        <w:rPr>
          <w:rFonts w:ascii="Arial" w:cs="Arial" w:eastAsia="Arial" w:hAnsi="Arial"/>
          <w:sz w:val="22"/>
          <w:szCs w:val="22"/>
        </w:rPr>
        <w:t xml:space="preserve">The app expects data in </w:t>
      </w:r>
      <w:r>
        <w:rPr>
          <w:rFonts w:ascii="Arial" w:cs="Arial" w:eastAsia="Arial" w:hAnsi="Arial"/>
          <w:b/>
          <w:bCs/>
          <w:sz w:val="22"/>
          <w:szCs w:val="22"/>
        </w:rPr>
        <w:t xml:space="preserve">long format</w:t>
      </w:r>
      <w:r>
        <w:rPr>
          <w:rFonts w:ascii="Arial" w:cs="Arial" w:eastAsia="Arial" w:hAnsi="Arial"/>
          <w:sz w:val="22"/>
          <w:szCs w:val="22"/>
        </w:rPr>
        <w:t xml:space="preserve">: one row per observation. Each row contains a subject identifier, the sampling time, and the measured concentration. Accepted formats: CSV (.csv), tab-separated (.tsv, .txt), and Excel (.xlsx, .xls). Column names are auto-detected.</w:t>
      </w:r>
    </w:p>
    <w:p>
      <w:pPr>
        <w:pStyle w:val="Heading3"/>
        <w:spacing w:after="120" w:before="200"/>
      </w:pPr>
      <w:r>
        <w:rPr>
          <w:rFonts w:ascii="Arial" w:cs="Arial" w:eastAsia="Arial" w:hAnsi="Arial"/>
          <w:b/>
          <w:bCs/>
          <w:sz w:val="22"/>
          <w:szCs w:val="22"/>
        </w:rPr>
        <w:t xml:space="preserve">Decimal Separators and Regional Formats</w:t>
      </w:r>
    </w:p>
    <w:p>
      <w:pPr>
        <w:spacing w:after="120" w:line="276"/>
      </w:pPr>
      <w:r>
        <w:rPr>
          <w:rFonts w:ascii="Arial" w:cs="Arial" w:eastAsia="Arial" w:hAnsi="Arial"/>
          <w:sz w:val="22"/>
          <w:szCs w:val="22"/>
        </w:rPr>
        <w:t xml:space="preserve">The app expects </w:t>
      </w:r>
      <w:r>
        <w:rPr>
          <w:rFonts w:ascii="Arial" w:cs="Arial" w:eastAsia="Arial" w:hAnsi="Arial"/>
          <w:b/>
          <w:bCs/>
          <w:sz w:val="22"/>
          <w:szCs w:val="22"/>
        </w:rPr>
        <w:t xml:space="preserve">periods</w:t>
      </w:r>
      <w:r>
        <w:rPr>
          <w:rFonts w:ascii="Arial" w:cs="Arial" w:eastAsia="Arial" w:hAnsi="Arial"/>
          <w:sz w:val="22"/>
          <w:szCs w:val="22"/>
        </w:rPr>
        <w:t xml:space="preserve"> as decimal separators (e.g., 12.5, not 12,5). If your data uses commas as decimal separators (common in continental Europe), convert the file before uploading. In Excel: open the file, check that numeric columns display correctly, then save as CSV (Comma delimited). If your regional settings use commas, change the decimal separator in Excel’s options (File → Options → Advanced → uncheck ‘Use system separators’, set Decimal separator to period) before saving.</w:t>
      </w:r>
    </w:p>
    <w:p>
      <w:pPr>
        <w:spacing w:after="120" w:line="276"/>
      </w:pPr>
      <w:r>
        <w:rPr>
          <w:rFonts w:ascii="Arial" w:cs="Arial" w:eastAsia="Arial" w:hAnsi="Arial"/>
          <w:sz w:val="22"/>
          <w:szCs w:val="22"/>
        </w:rPr>
        <w:t xml:space="preserve">Tab-separated files (.tsv) with semicolon column separators and comma decimals can be handled if you first convert the decimals. The safest approach: open the file in a text editor, use Find &amp; Replace to change all semicolons to commas (or tabs), then change all decimal commas to periods. Alternatively, use Excel as an intermediary.</w:t>
      </w:r>
    </w:p>
    <w:p>
      <w:pPr>
        <w:pStyle w:val="Heading2"/>
        <w:spacing w:after="160" w:before="280"/>
      </w:pPr>
      <w:r>
        <w:rPr>
          <w:rFonts w:ascii="Arial" w:cs="Arial" w:eastAsia="Arial" w:hAnsi="Arial"/>
          <w:b/>
          <w:bCs/>
          <w:sz w:val="26"/>
          <w:szCs w:val="26"/>
        </w:rPr>
        <w:t xml:space="preserve">Scenario 1: Single Subject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Time</w:t>
            </w:r>
          </w:p>
        </w:tc>
        <w:tc>
          <w:tcPr>
            <w:tcW w:type="dxa" w:w="4513"/>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Concentration</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0.5</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4.2</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18.5</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12.1</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6.3</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8</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2.8</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24</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0.4</w:t>
            </w:r>
          </w:p>
        </w:tc>
      </w:tr>
    </w:tbl>
    <w:p>
      <w:pPr>
        <w:pStyle w:val="Heading2"/>
        <w:spacing w:after="160" w:before="280"/>
      </w:pPr>
      <w:r>
        <w:rPr>
          <w:rFonts w:ascii="Arial" w:cs="Arial" w:eastAsia="Arial" w:hAnsi="Arial"/>
          <w:b/>
          <w:bCs/>
          <w:sz w:val="26"/>
          <w:szCs w:val="26"/>
        </w:rPr>
        <w:t xml:space="preserve">Scenario 2: Multiple Subjects, Same Dose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13"/>
        <w:gridCol w:w="3513"/>
      </w:tblGrid>
      <w:tr>
        <w:tc>
          <w:tcPr>
            <w:tcW w:type="dxa" w:w="2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Subject</w:t>
            </w:r>
          </w:p>
        </w:tc>
        <w:tc>
          <w:tcPr>
            <w:tcW w:type="dxa" w:w="3513"/>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Time</w:t>
            </w:r>
          </w:p>
        </w:tc>
        <w:tc>
          <w:tcPr>
            <w:tcW w:type="dxa" w:w="3513"/>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Concentration</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S001</w:t>
            </w:r>
          </w:p>
        </w:tc>
        <w:tc>
          <w:tcPr>
            <w:tcW w:type="dxa" w:w="3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c>
          <w:tcPr>
            <w:tcW w:type="dxa" w:w="3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S001</w:t>
            </w:r>
          </w:p>
        </w:tc>
        <w:tc>
          <w:tcPr>
            <w:tcW w:type="dxa" w:w="3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c>
          <w:tcPr>
            <w:tcW w:type="dxa" w:w="3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22.5</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S001</w:t>
            </w:r>
          </w:p>
        </w:tc>
        <w:tc>
          <w:tcPr>
            <w:tcW w:type="dxa" w:w="3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24</w:t>
            </w:r>
          </w:p>
        </w:tc>
        <w:tc>
          <w:tcPr>
            <w:tcW w:type="dxa" w:w="3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0.4</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S002</w:t>
            </w:r>
          </w:p>
        </w:tc>
        <w:tc>
          <w:tcPr>
            <w:tcW w:type="dxa" w:w="3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c>
          <w:tcPr>
            <w:tcW w:type="dxa" w:w="3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S002</w:t>
            </w:r>
          </w:p>
        </w:tc>
        <w:tc>
          <w:tcPr>
            <w:tcW w:type="dxa" w:w="3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c>
          <w:tcPr>
            <w:tcW w:type="dxa" w:w="3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28.1</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S002</w:t>
            </w:r>
          </w:p>
        </w:tc>
        <w:tc>
          <w:tcPr>
            <w:tcW w:type="dxa" w:w="3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24</w:t>
            </w:r>
          </w:p>
        </w:tc>
        <w:tc>
          <w:tcPr>
            <w:tcW w:type="dxa" w:w="3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0.6</w:t>
            </w:r>
          </w:p>
        </w:tc>
      </w:tr>
    </w:tbl>
    <w:p>
      <w:pPr>
        <w:pStyle w:val="Heading2"/>
        <w:spacing w:after="160" w:before="280"/>
      </w:pPr>
      <w:r>
        <w:rPr>
          <w:rFonts w:ascii="Arial" w:cs="Arial" w:eastAsia="Arial" w:hAnsi="Arial"/>
          <w:b/>
          <w:bCs/>
          <w:sz w:val="26"/>
          <w:szCs w:val="26"/>
        </w:rPr>
        <w:t xml:space="preserve">Scenario 3: Multiple Subjects, Different Doses</w:t>
      </w:r>
    </w:p>
    <w:p>
      <w:pPr>
        <w:spacing w:after="120" w:line="276"/>
      </w:pPr>
      <w:r>
        <w:rPr>
          <w:rFonts w:ascii="Arial" w:cs="Arial" w:eastAsia="Arial" w:hAnsi="Arial"/>
          <w:sz w:val="22"/>
          <w:szCs w:val="22"/>
        </w:rPr>
        <w:t xml:space="preserve">Add a Dose column if subjects received different doses (dose escalation, weight-based dosing).</w:t>
      </w:r>
    </w:p>
    <w:p>
      <w:pPr>
        <w:pStyle w:val="Heading2"/>
        <w:spacing w:after="160" w:before="280"/>
      </w:pPr>
      <w:r>
        <w:rPr>
          <w:rFonts w:ascii="Arial" w:cs="Arial" w:eastAsia="Arial" w:hAnsi="Arial"/>
          <w:b/>
          <w:bCs/>
          <w:sz w:val="26"/>
          <w:szCs w:val="26"/>
        </w:rPr>
        <w:t xml:space="preserve">Scenario 4: Standard 2-Period Crossover (BE)</w:t>
      </w:r>
    </w:p>
    <w:p>
      <w:pPr>
        <w:spacing w:after="120" w:line="276"/>
      </w:pPr>
      <w:r>
        <w:rPr>
          <w:rFonts w:ascii="Arial" w:cs="Arial" w:eastAsia="Arial" w:hAnsi="Arial"/>
          <w:sz w:val="22"/>
          <w:szCs w:val="22"/>
        </w:rPr>
        <w:t xml:space="preserve">Six columns: Subject, Treatment, Period, Sequence, Time, Concentration. Time resets to 0 at the start of each period.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000"/>
        <w:gridCol w:w="1126"/>
        <w:gridCol w:w="1800"/>
        <w:gridCol w:w="2400"/>
      </w:tblGrid>
      <w:tr>
        <w:tc>
          <w:tcPr>
            <w:tcW w:type="dxa" w:w="1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Subject</w:t>
            </w:r>
          </w:p>
        </w:tc>
        <w:tc>
          <w:tcPr>
            <w:tcW w:type="dxa" w:w="15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Treatment</w:t>
            </w:r>
          </w:p>
        </w:tc>
        <w:tc>
          <w:tcPr>
            <w:tcW w:type="dxa" w:w="1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Period</w:t>
            </w:r>
          </w:p>
        </w:tc>
        <w:tc>
          <w:tcPr>
            <w:tcW w:type="dxa" w:w="1126"/>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Seq</w:t>
            </w:r>
          </w:p>
        </w:tc>
        <w:tc>
          <w:tcPr>
            <w:tcW w:type="dxa" w:w="18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Time</w:t>
            </w:r>
          </w:p>
        </w:tc>
        <w:tc>
          <w:tcPr>
            <w:tcW w:type="dxa" w:w="2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Conc</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S01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Test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c>
          <w:tcPr>
            <w:tcW w:type="dxa" w:w="11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S01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Test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c>
          <w:tcPr>
            <w:tcW w:type="dxa" w:w="11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24.5</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S01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Reference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w:t>
            </w:r>
          </w:p>
        </w:tc>
        <w:tc>
          <w:tcPr>
            <w:tcW w:type="dxa" w:w="11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S01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Reference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w:t>
            </w:r>
          </w:p>
        </w:tc>
        <w:tc>
          <w:tcPr>
            <w:tcW w:type="dxa" w:w="11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22.8</w:t>
            </w:r>
          </w:p>
        </w:tc>
      </w:tr>
    </w:tbl>
    <w:p>
      <w:pPr>
        <w:pStyle w:val="Heading2"/>
        <w:spacing w:after="160" w:before="280"/>
      </w:pPr>
      <w:r>
        <w:rPr>
          <w:rFonts w:ascii="Arial" w:cs="Arial" w:eastAsia="Arial" w:hAnsi="Arial"/>
          <w:b/>
          <w:bCs/>
          <w:sz w:val="26"/>
          <w:szCs w:val="26"/>
        </w:rPr>
        <w:t xml:space="preserve">Scenario 5: Fixed-Order, 3-Period, and Replicate Crossover</w:t>
      </w:r>
    </w:p>
    <w:p>
      <w:pPr>
        <w:spacing w:after="120" w:line="276"/>
      </w:pPr>
      <w:r>
        <w:rPr>
          <w:rFonts w:ascii="Arial" w:cs="Arial" w:eastAsia="Arial" w:hAnsi="Arial"/>
          <w:sz w:val="22"/>
          <w:szCs w:val="22"/>
        </w:rPr>
        <w:t xml:space="preserve">Same six-column format. For fixed-order: Sequence has one value for all subjects. For 3-period: Period goes to 3. For replicate: Period goes to 4, each treatment appears twice.</w:t>
      </w:r>
    </w:p>
    <w:p>
      <w:pPr>
        <w:pStyle w:val="Heading2"/>
        <w:spacing w:after="160" w:before="280"/>
      </w:pPr>
      <w:r>
        <w:rPr>
          <w:rFonts w:ascii="Arial" w:cs="Arial" w:eastAsia="Arial" w:hAnsi="Arial"/>
          <w:b/>
          <w:bCs/>
          <w:sz w:val="26"/>
          <w:szCs w:val="26"/>
        </w:rPr>
        <w:t xml:space="preserve">Scenario 6: Parallel-Group BE</w:t>
      </w:r>
    </w:p>
    <w:p>
      <w:pPr>
        <w:spacing w:after="120" w:line="276"/>
      </w:pPr>
      <w:r>
        <w:rPr>
          <w:rFonts w:ascii="Arial" w:cs="Arial" w:eastAsia="Arial" w:hAnsi="Arial"/>
          <w:sz w:val="22"/>
          <w:szCs w:val="22"/>
        </w:rPr>
        <w:t xml:space="preserve">Four columns: Subject, Treatment, Time, Concentration. No Period or Sequence needed.</w:t>
      </w:r>
    </w:p>
    <w:p>
      <w:pPr>
        <w:pStyle w:val="Heading2"/>
        <w:spacing w:after="160" w:before="280"/>
      </w:pPr>
      <w:r>
        <w:rPr>
          <w:rFonts w:ascii="Arial" w:cs="Arial" w:eastAsia="Arial" w:hAnsi="Arial"/>
          <w:b/>
          <w:bCs/>
          <w:sz w:val="26"/>
          <w:szCs w:val="26"/>
        </w:rPr>
        <w:t xml:space="preserve">Scenario 7: Steady-State PK</w:t>
      </w:r>
    </w:p>
    <w:p>
      <w:pPr>
        <w:spacing w:after="120" w:line="276"/>
      </w:pPr>
      <w:r>
        <w:rPr>
          <w:rFonts w:ascii="Arial" w:cs="Arial" w:eastAsia="Arial" w:hAnsi="Arial"/>
          <w:sz w:val="22"/>
          <w:szCs w:val="22"/>
        </w:rPr>
        <w:t xml:space="preserve">Same as Scenario 2. Pre-dose concentration is above zero. Tick ‘Steady-state’ in the app.</w:t>
      </w:r>
    </w:p>
    <w:p>
      <w:pPr>
        <w:pStyle w:val="Heading2"/>
        <w:spacing w:after="160" w:before="280"/>
      </w:pPr>
      <w:r>
        <w:rPr>
          <w:rFonts w:ascii="Arial" w:cs="Arial" w:eastAsia="Arial" w:hAnsi="Arial"/>
          <w:b/>
          <w:bCs/>
          <w:sz w:val="26"/>
          <w:szCs w:val="26"/>
        </w:rPr>
        <w:t xml:space="preserve">Scenario 8: Drug–Drug Interaction Study</w:t>
      </w:r>
    </w:p>
    <w:p>
      <w:pPr>
        <w:spacing w:after="120" w:line="276"/>
      </w:pPr>
      <w:r>
        <w:rPr>
          <w:rFonts w:ascii="Arial" w:cs="Arial" w:eastAsia="Arial" w:hAnsi="Arial"/>
          <w:sz w:val="22"/>
          <w:szCs w:val="22"/>
        </w:rPr>
        <w:t xml:space="preserve">A drug interaction (DDI) study measures the effect of a co-administered drug (the perpetrator) on the pharmacokinetics of the victim drug. The most common design is a crossover where each subject receives the victim drug alone and then with the perpetrator, or a fixed-order design where the victim is given alone first, then with the perpetrator after a washout.</w:t>
      </w:r>
    </w:p>
    <w:p>
      <w:pPr>
        <w:spacing w:after="120" w:line="276"/>
      </w:pPr>
      <w:r>
        <w:rPr>
          <w:rFonts w:ascii="Arial" w:cs="Arial" w:eastAsia="Arial" w:hAnsi="Arial"/>
          <w:sz w:val="22"/>
          <w:szCs w:val="22"/>
        </w:rPr>
        <w:t xml:space="preserve">The data format is identical to a crossover BE study (Scenario 4). Use the same six columns. Label the Treatment column with the two conditions, for example ‘Alone’ and ‘With Inhibitor’ (or any two labels). See the section on analysing DDI studies in Part III for interpretation guidance.</w:t>
      </w:r>
    </w:p>
    <w:p>
      <w:pPr>
        <w:pStyle w:val="Heading2"/>
        <w:spacing w:after="160" w:before="280"/>
      </w:pPr>
      <w:r>
        <w:rPr>
          <w:rFonts w:ascii="Arial" w:cs="Arial" w:eastAsia="Arial" w:hAnsi="Arial"/>
          <w:b/>
          <w:bCs/>
          <w:sz w:val="26"/>
          <w:szCs w:val="26"/>
        </w:rPr>
        <w:t xml:space="preserve">BLQ Handling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7826"/>
      </w:tblGrid>
      <w:tr>
        <w:tc>
          <w:tcPr>
            <w:tcW w:type="dxa" w:w="1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Rule</w:t>
            </w:r>
          </w:p>
        </w:tc>
        <w:tc>
          <w:tcPr>
            <w:tcW w:type="dxa" w:w="7826"/>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Rule 1</w:t>
            </w:r>
          </w:p>
        </w:tc>
        <w:tc>
          <w:tcPr>
            <w:tcW w:type="dxa" w:w="7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Pre-first-quantifiable = 0, post-last-quantifiable = missing, between = 0 (default)</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Rule 2</w:t>
            </w:r>
          </w:p>
        </w:tc>
        <w:tc>
          <w:tcPr>
            <w:tcW w:type="dxa" w:w="7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All BLQ = 0</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Rule 3</w:t>
            </w:r>
          </w:p>
        </w:tc>
        <w:tc>
          <w:tcPr>
            <w:tcW w:type="dxa" w:w="7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All BLQ = excluded</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Rule 4</w:t>
            </w:r>
          </w:p>
        </w:tc>
        <w:tc>
          <w:tcPr>
            <w:tcW w:type="dxa" w:w="7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All BLQ = LLOQ/2</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Rule 5</w:t>
            </w:r>
          </w:p>
        </w:tc>
        <w:tc>
          <w:tcPr>
            <w:tcW w:type="dxa" w:w="7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Before Cmax = 0, after Cmax = missing</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Rule 6</w:t>
            </w:r>
          </w:p>
        </w:tc>
        <w:tc>
          <w:tcPr>
            <w:tcW w:type="dxa" w:w="7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First BLQ = LLOQ/2, rest = 0 (for drugs with absorption lag)</w:t>
            </w:r>
          </w:p>
        </w:tc>
      </w:tr>
    </w:tbl>
    <w:p>
      <w:pPr>
        <w:spacing w:after="80" w:line="276"/>
      </w:pPr>
      <w:r>
        <w:rPr>
          <w:rFonts w:ascii="Arial" w:cs="Arial" w:eastAsia="Arial" w:hAnsi="Arial"/>
          <w:color w:val="555555"/>
          <w:sz w:val="20"/>
          <w:szCs w:val="20"/>
        </w:rPr>
        <w:t xml:space="preserve">Set LLOQ &gt; 0 when your data contains BLQ text entries. The app auto-detects the LLOQ from ‘&lt;X’ entries.</w:t>
      </w:r>
    </w:p>
    <w:p>
      <w:pPr>
        <w:pStyle w:val="Heading2"/>
        <w:spacing w:after="160" w:before="280"/>
      </w:pPr>
      <w:r>
        <w:rPr>
          <w:rFonts w:ascii="Arial" w:cs="Arial" w:eastAsia="Arial" w:hAnsi="Arial"/>
          <w:b/>
          <w:bCs/>
          <w:sz w:val="26"/>
          <w:szCs w:val="26"/>
        </w:rPr>
        <w:t xml:space="preserve">Common Mistakes</w:t>
      </w:r>
    </w:p>
    <w:p>
      <w:pPr>
        <w:spacing w:after="120" w:line="276"/>
      </w:pPr>
      <w:r>
        <w:rPr>
          <w:rFonts w:ascii="Arial" w:cs="Arial" w:eastAsia="Arial" w:hAnsi="Arial"/>
          <w:b/>
          <w:bCs/>
          <w:sz w:val="22"/>
          <w:szCs w:val="22"/>
        </w:rPr>
        <w:t xml:space="preserve">Wide format</w:t>
      </w:r>
      <w:r>
        <w:rPr>
          <w:rFonts w:ascii="Arial" w:cs="Arial" w:eastAsia="Arial" w:hAnsi="Arial"/>
          <w:sz w:val="22"/>
          <w:szCs w:val="22"/>
        </w:rPr>
        <w:t xml:space="preserve"> — subjects as columns instead of rows. </w:t>
      </w:r>
      <w:r>
        <w:rPr>
          <w:rFonts w:ascii="Arial" w:cs="Arial" w:eastAsia="Arial" w:hAnsi="Arial"/>
          <w:b/>
          <w:bCs/>
          <w:sz w:val="22"/>
          <w:szCs w:val="22"/>
        </w:rPr>
        <w:t xml:space="preserve">Time not reset</w:t>
      </w:r>
      <w:r>
        <w:rPr>
          <w:rFonts w:ascii="Arial" w:cs="Arial" w:eastAsia="Arial" w:hAnsi="Arial"/>
          <w:sz w:val="22"/>
          <w:szCs w:val="22"/>
        </w:rPr>
        <w:t xml:space="preserve"> — in crossover studies, time must restart at 0 per period. </w:t>
      </w:r>
      <w:r>
        <w:rPr>
          <w:rFonts w:ascii="Arial" w:cs="Arial" w:eastAsia="Arial" w:hAnsi="Arial"/>
          <w:b/>
          <w:bCs/>
          <w:sz w:val="22"/>
          <w:szCs w:val="22"/>
        </w:rPr>
        <w:t xml:space="preserve">Entering 0 for missing samples</w:t>
      </w:r>
      <w:r>
        <w:rPr>
          <w:rFonts w:ascii="Arial" w:cs="Arial" w:eastAsia="Arial" w:hAnsi="Arial"/>
          <w:sz w:val="22"/>
          <w:szCs w:val="22"/>
        </w:rPr>
        <w:t xml:space="preserve"> — use a blank cell. </w:t>
      </w:r>
      <w:r>
        <w:rPr>
          <w:rFonts w:ascii="Arial" w:cs="Arial" w:eastAsia="Arial" w:hAnsi="Arial"/>
          <w:b/>
          <w:bCs/>
          <w:sz w:val="22"/>
          <w:szCs w:val="22"/>
        </w:rPr>
        <w:t xml:space="preserve">Duplicate time points</w:t>
      </w:r>
      <w:r>
        <w:rPr>
          <w:rFonts w:ascii="Arial" w:cs="Arial" w:eastAsia="Arial" w:hAnsi="Arial"/>
          <w:sz w:val="22"/>
          <w:szCs w:val="22"/>
        </w:rPr>
        <w:t xml:space="preserve"> — average replicates first. </w:t>
      </w:r>
      <w:r>
        <w:rPr>
          <w:rFonts w:ascii="Arial" w:cs="Arial" w:eastAsia="Arial" w:hAnsi="Arial"/>
          <w:b/>
          <w:bCs/>
          <w:sz w:val="22"/>
          <w:szCs w:val="22"/>
        </w:rPr>
        <w:t xml:space="preserve">LLOQ left at 0</w:t>
      </w:r>
      <w:r>
        <w:rPr>
          <w:rFonts w:ascii="Arial" w:cs="Arial" w:eastAsia="Arial" w:hAnsi="Arial"/>
          <w:sz w:val="22"/>
          <w:szCs w:val="22"/>
        </w:rPr>
        <w:t xml:space="preserve"> — blocks processing when BLQ text is present. </w:t>
      </w:r>
      <w:r>
        <w:rPr>
          <w:rFonts w:ascii="Arial" w:cs="Arial" w:eastAsia="Arial" w:hAnsi="Arial"/>
          <w:b/>
          <w:bCs/>
          <w:sz w:val="22"/>
          <w:szCs w:val="22"/>
        </w:rPr>
        <w:t xml:space="preserve">Comma decimals</w:t>
      </w:r>
      <w:r>
        <w:rPr>
          <w:rFonts w:ascii="Arial" w:cs="Arial" w:eastAsia="Arial" w:hAnsi="Arial"/>
          <w:sz w:val="22"/>
          <w:szCs w:val="22"/>
        </w:rPr>
        <w:t xml:space="preserve"> — convert to period decimals before uploading.</w:t>
      </w:r>
    </w:p>
    <w:p>
      <w:r>
        <w:br w:type="page"/>
      </w:r>
    </w:p>
    <w:p>
      <w:pPr>
        <w:pStyle w:val="Heading1"/>
        <w:spacing w:after="200" w:before="360"/>
      </w:pPr>
      <w:r>
        <w:rPr>
          <w:rFonts w:ascii="Arial" w:cs="Arial" w:eastAsia="Arial" w:hAnsi="Arial"/>
          <w:b/>
          <w:bCs/>
          <w:sz w:val="32"/>
          <w:szCs w:val="32"/>
        </w:rPr>
        <w:t xml:space="preserve">Part III: Using the App</w:t>
      </w:r>
    </w:p>
    <w:p>
      <w:pPr>
        <w:pStyle w:val="Heading2"/>
        <w:spacing w:after="160" w:before="280"/>
      </w:pPr>
      <w:r>
        <w:rPr>
          <w:rFonts w:ascii="Arial" w:cs="Arial" w:eastAsia="Arial" w:hAnsi="Arial"/>
          <w:b/>
          <w:bCs/>
          <w:sz w:val="26"/>
          <w:szCs w:val="26"/>
        </w:rPr>
        <w:t xml:space="preserve">The Hub Screen</w:t>
      </w:r>
    </w:p>
    <w:p>
      <w:pPr>
        <w:spacing w:after="120" w:line="276"/>
      </w:pPr>
      <w:r>
        <w:rPr>
          <w:rFonts w:ascii="Arial" w:cs="Arial" w:eastAsia="Arial" w:hAnsi="Arial"/>
          <w:sz w:val="22"/>
          <w:szCs w:val="22"/>
        </w:rPr>
        <w:t xml:space="preserve">Five cards for the five workflow paths. A blue info banner directs first-time users to the Data Preparation Guide. The top navigation bar contains the Statistical Methods page, Data Guide, and About.</w:t>
      </w:r>
    </w:p>
    <w:p>
      <w:pPr>
        <w:pStyle w:val="Heading2"/>
        <w:spacing w:after="160" w:before="280"/>
      </w:pPr>
      <w:r>
        <w:rPr>
          <w:rFonts w:ascii="Arial" w:cs="Arial" w:eastAsia="Arial" w:hAnsi="Arial"/>
          <w:b/>
          <w:bCs/>
          <w:sz w:val="26"/>
          <w:szCs w:val="26"/>
        </w:rPr>
        <w:t xml:space="preserve">Path 1: Plan a Study</w:t>
      </w:r>
    </w:p>
    <w:p>
      <w:pPr>
        <w:spacing w:after="120" w:line="276"/>
      </w:pPr>
      <w:r>
        <w:rPr>
          <w:rFonts w:ascii="Arial" w:cs="Arial" w:eastAsia="Arial" w:hAnsi="Arial"/>
          <w:sz w:val="22"/>
          <w:szCs w:val="22"/>
        </w:rPr>
        <w:t xml:space="preserve">Calculates sample size or power for bioequivalence studies. Supports ABE, ABEL (EMA), RSABE (FDA), NTID, dose-proportionality, and non-inferiority. Uses the PowerTOST R package.</w:t>
      </w:r>
    </w:p>
    <w:p>
      <w:pPr>
        <w:pStyle w:val="Heading2"/>
        <w:spacing w:after="160" w:before="280"/>
      </w:pPr>
      <w:r>
        <w:rPr>
          <w:rFonts w:ascii="Arial" w:cs="Arial" w:eastAsia="Arial" w:hAnsi="Arial"/>
          <w:b/>
          <w:bCs/>
          <w:sz w:val="26"/>
          <w:szCs w:val="26"/>
        </w:rPr>
        <w:t xml:space="preserve">Path 2: Upload &amp; Check Data</w:t>
      </w:r>
    </w:p>
    <w:p>
      <w:pPr>
        <w:spacing w:after="120" w:line="276"/>
      </w:pPr>
      <w:r>
        <w:rPr>
          <w:rFonts w:ascii="Arial" w:cs="Arial" w:eastAsia="Arial" w:hAnsi="Arial"/>
          <w:sz w:val="22"/>
          <w:szCs w:val="22"/>
        </w:rPr>
        <w:t xml:space="preserve">Upload CSV or Excel, map columns, set BLQ handling, click Process Data. 20+ quality checks. Errors block processing; warnings allow it. New file uploads clear all previous state.</w:t>
      </w:r>
    </w:p>
    <w:p>
      <w:pPr>
        <w:pStyle w:val="Heading2"/>
        <w:spacing w:after="160" w:before="280"/>
      </w:pPr>
      <w:r>
        <w:rPr>
          <w:rFonts w:ascii="Arial" w:cs="Arial" w:eastAsia="Arial" w:hAnsi="Arial"/>
          <w:b/>
          <w:bCs/>
          <w:sz w:val="26"/>
          <w:szCs w:val="26"/>
        </w:rPr>
        <w:t xml:space="preserve">Path 3: Analyze One Subject at a Time</w:t>
      </w:r>
    </w:p>
    <w:p>
      <w:pPr>
        <w:spacing w:after="120" w:line="276"/>
      </w:pPr>
      <w:r>
        <w:rPr>
          <w:rFonts w:ascii="Arial" w:cs="Arial" w:eastAsia="Arial" w:hAnsi="Arial"/>
          <w:sz w:val="22"/>
          <w:szCs w:val="22"/>
        </w:rPr>
        <w:t xml:space="preserve">Step through individual profiles. Manual data entry available. Half-life inspector allows point adjustment. Downloads: CSV and Complete Analysis Record (zip with reproducibility script).</w:t>
      </w:r>
    </w:p>
    <w:p>
      <w:pPr>
        <w:pStyle w:val="Heading2"/>
        <w:spacing w:after="160" w:before="280"/>
      </w:pPr>
      <w:r>
        <w:rPr>
          <w:rFonts w:ascii="Arial" w:cs="Arial" w:eastAsia="Arial" w:hAnsi="Arial"/>
          <w:b/>
          <w:bCs/>
          <w:sz w:val="26"/>
          <w:szCs w:val="26"/>
        </w:rPr>
        <w:t xml:space="preserve">Path 4: Analyze All Subjects (Batch NCA)</w:t>
      </w:r>
    </w:p>
    <w:p>
      <w:pPr>
        <w:spacing w:after="120" w:line="276"/>
      </w:pPr>
      <w:r>
        <w:rPr>
          <w:rFonts w:ascii="Arial" w:cs="Arial" w:eastAsia="Arial" w:hAnsi="Arial"/>
          <w:sz w:val="22"/>
          <w:szCs w:val="22"/>
        </w:rPr>
        <w:t xml:space="preserve">Settings: route, dose (single or per-subject), steady-state, trapezoidal method, minimum R². Result tabs: concentration–time profiles, parameter table (expandable to 37 columns), summary statistics, individual grid (interactive, paginated, 12 subjects per page), half-life review. Downloads: CSV, Excel, Complete Analysis Record.</w:t>
      </w:r>
    </w:p>
    <w:p>
      <w:pPr>
        <w:pStyle w:val="Heading2"/>
        <w:spacing w:after="160" w:before="280"/>
      </w:pPr>
      <w:r>
        <w:rPr>
          <w:rFonts w:ascii="Arial" w:cs="Arial" w:eastAsia="Arial" w:hAnsi="Arial"/>
          <w:b/>
          <w:bCs/>
          <w:sz w:val="26"/>
          <w:szCs w:val="26"/>
        </w:rPr>
        <w:t xml:space="preserve">Path 5: Bioequivalence Testing</w:t>
      </w:r>
    </w:p>
    <w:p>
      <w:pPr>
        <w:spacing w:after="120" w:line="276"/>
      </w:pPr>
      <w:r>
        <w:rPr>
          <w:rFonts w:ascii="Arial" w:cs="Arial" w:eastAsia="Arial" w:hAnsi="Arial"/>
          <w:sz w:val="22"/>
          <w:szCs w:val="22"/>
        </w:rPr>
        <w:t xml:space="preserve">Runs NCA, then ANOVA, then 90% CI. Supports 5 designs: 2-period crossover, fixed-order crossover, 3-period crossover, replicate crossover, parallel. Fixed or mixed-effects model. Standard ABE only (80–125%). Downloads: Excel, CSV, Complete Analysis Record.</w:t>
      </w:r>
    </w:p>
    <w:p>
      <w:pPr>
        <w:pStyle w:val="Heading2"/>
        <w:spacing w:after="160" w:before="280"/>
      </w:pPr>
      <w:r>
        <w:rPr>
          <w:rFonts w:ascii="Arial" w:cs="Arial" w:eastAsia="Arial" w:hAnsi="Arial"/>
          <w:b/>
          <w:bCs/>
          <w:sz w:val="26"/>
          <w:szCs w:val="26"/>
        </w:rPr>
        <w:t xml:space="preserve">Analysing Drug–Drug Interaction Studies</w:t>
      </w:r>
    </w:p>
    <w:p>
      <w:pPr>
        <w:spacing w:after="120" w:line="276"/>
      </w:pPr>
      <w:r>
        <w:rPr>
          <w:rFonts w:ascii="Arial" w:cs="Arial" w:eastAsia="Arial" w:hAnsi="Arial"/>
          <w:sz w:val="22"/>
          <w:szCs w:val="22"/>
        </w:rPr>
        <w:t xml:space="preserve">The app’s Bioequivalence Testing path can be used to analyse drug–drug interaction (DDI) studies because the statistical framework is the same: a crossover design comparing two conditions, analysed with an ANOVA model and a 90% confidence interval for the geometric mean ratio.</w:t>
      </w:r>
    </w:p>
    <w:p>
      <w:pPr>
        <w:pStyle w:val="Heading3"/>
        <w:spacing w:after="120" w:before="200"/>
      </w:pPr>
      <w:r>
        <w:rPr>
          <w:rFonts w:ascii="Arial" w:cs="Arial" w:eastAsia="Arial" w:hAnsi="Arial"/>
          <w:b/>
          <w:bCs/>
          <w:sz w:val="22"/>
          <w:szCs w:val="22"/>
        </w:rPr>
        <w:t xml:space="preserve">How to Set Up a DDI Analysis</w:t>
      </w:r>
    </w:p>
    <w:p>
      <w:pPr>
        <w:spacing w:after="120" w:line="276"/>
      </w:pPr>
      <w:r>
        <w:rPr>
          <w:rFonts w:ascii="Arial" w:cs="Arial" w:eastAsia="Arial" w:hAnsi="Arial"/>
          <w:sz w:val="22"/>
          <w:szCs w:val="22"/>
        </w:rPr>
        <w:t xml:space="preserve">Prepare your data as a crossover dataset (Scenario 4 or 5 in Part II). Label the Treatment column with the two conditions: the victim drug given alone and the victim drug given with the perpetrator. For example, use ‘Alone’ and ‘With Ketoconazole’ as treatment labels. Upload the data, map the columns, and select the appropriate crossover design in the Bioequivalence Testing settings.</w:t>
      </w:r>
    </w:p>
    <w:p>
      <w:pPr>
        <w:spacing w:after="120" w:line="276"/>
      </w:pPr>
      <w:r>
        <w:rPr>
          <w:rFonts w:ascii="Arial" w:cs="Arial" w:eastAsia="Arial" w:hAnsi="Arial"/>
          <w:sz w:val="22"/>
          <w:szCs w:val="22"/>
        </w:rPr>
        <w:t xml:space="preserve">Run the analysis. The app produces the geometric mean ratio and 90% confidence interval for C</w:t>
      </w:r>
      <w:r>
        <w:rPr>
          <w:rFonts w:ascii="Arial" w:cs="Arial" w:eastAsia="Arial" w:hAnsi="Arial"/>
          <w:sz w:val="22"/>
          <w:szCs w:val="22"/>
          <w:vertAlign w:val="subscript"/>
        </w:rPr>
        <w:t xml:space="preserve">max</w:t>
      </w:r>
      <w:r>
        <w:rPr>
          <w:rFonts w:ascii="Arial" w:cs="Arial" w:eastAsia="Arial" w:hAnsi="Arial"/>
          <w:sz w:val="22"/>
          <w:szCs w:val="22"/>
        </w:rPr>
        <w:t xml:space="preserve"> and AUC. The ratio represents the fold-change in exposure caused by the interacting drug: a ratio of 200% means the perpetrator doubled the victim’s exposure; a ratio of 50% means it halved it.</w:t>
      </w:r>
    </w:p>
    <w:p>
      <w:pPr>
        <w:pStyle w:val="Heading3"/>
        <w:spacing w:after="120" w:before="200"/>
      </w:pPr>
      <w:r>
        <w:rPr>
          <w:rFonts w:ascii="Arial" w:cs="Arial" w:eastAsia="Arial" w:hAnsi="Arial"/>
          <w:b/>
          <w:bCs/>
          <w:sz w:val="22"/>
          <w:szCs w:val="22"/>
        </w:rPr>
        <w:t xml:space="preserve">Interpreting DDI Results</w:t>
      </w:r>
    </w:p>
    <w:p>
      <w:pPr>
        <w:spacing w:after="120" w:line="276"/>
      </w:pPr>
      <w:r>
        <w:rPr>
          <w:rFonts w:ascii="Arial" w:cs="Arial" w:eastAsia="Arial" w:hAnsi="Arial"/>
          <w:sz w:val="22"/>
          <w:szCs w:val="22"/>
        </w:rPr>
        <w:t xml:space="preserve">The interpretation differs from bioequivalence. In a BE study, you want the 90% CI to fall within 80–125%. In a DDI study, you are quantifying the magnitude of the interaction, not testing for equivalence. The regulatory interpretation depends on the drug’s therapeutic index and the clinical context:</w:t>
      </w:r>
    </w:p>
    <w:p>
      <w:pPr>
        <w:spacing w:after="120" w:line="276"/>
      </w:pPr>
      <w:r>
        <w:rPr>
          <w:rFonts w:ascii="Arial" w:cs="Arial" w:eastAsia="Arial" w:hAnsi="Arial"/>
          <w:sz w:val="22"/>
          <w:szCs w:val="22"/>
        </w:rPr>
        <w:t xml:space="preserve">• </w:t>
      </w:r>
      <w:r>
        <w:rPr>
          <w:rFonts w:ascii="Arial" w:cs="Arial" w:eastAsia="Arial" w:hAnsi="Arial"/>
          <w:b/>
          <w:bCs/>
          <w:sz w:val="22"/>
          <w:szCs w:val="22"/>
        </w:rPr>
        <w:t xml:space="preserve">No clinically significant interaction</w:t>
      </w:r>
      <w:r>
        <w:rPr>
          <w:rFonts w:ascii="Arial" w:cs="Arial" w:eastAsia="Arial" w:hAnsi="Arial"/>
          <w:sz w:val="22"/>
          <w:szCs w:val="22"/>
        </w:rPr>
        <w:t xml:space="preserve">: the 90% CI for the AUC ratio falls entirely within 80–125% (the EMA’s default threshold for ‘no effect’).</w:t>
      </w:r>
    </w:p>
    <w:p>
      <w:pPr>
        <w:spacing w:after="120" w:line="276"/>
      </w:pPr>
      <w:r>
        <w:rPr>
          <w:rFonts w:ascii="Arial" w:cs="Arial" w:eastAsia="Arial" w:hAnsi="Arial"/>
          <w:sz w:val="22"/>
          <w:szCs w:val="22"/>
        </w:rPr>
        <w:t xml:space="preserve">• </w:t>
      </w:r>
      <w:r>
        <w:rPr>
          <w:rFonts w:ascii="Arial" w:cs="Arial" w:eastAsia="Arial" w:hAnsi="Arial"/>
          <w:b/>
          <w:bCs/>
          <w:sz w:val="22"/>
          <w:szCs w:val="22"/>
        </w:rPr>
        <w:t xml:space="preserve">Weak interaction</w:t>
      </w:r>
      <w:r>
        <w:rPr>
          <w:rFonts w:ascii="Arial" w:cs="Arial" w:eastAsia="Arial" w:hAnsi="Arial"/>
          <w:sz w:val="22"/>
          <w:szCs w:val="22"/>
        </w:rPr>
        <w:t xml:space="preserve">: the AUC ratio is between 1.25 and 2.0 (or between 0.5 and 0.8 for induction).</w:t>
      </w:r>
    </w:p>
    <w:p>
      <w:pPr>
        <w:spacing w:after="120" w:line="276"/>
      </w:pPr>
      <w:r>
        <w:rPr>
          <w:rFonts w:ascii="Arial" w:cs="Arial" w:eastAsia="Arial" w:hAnsi="Arial"/>
          <w:sz w:val="22"/>
          <w:szCs w:val="22"/>
        </w:rPr>
        <w:t xml:space="preserve">• </w:t>
      </w:r>
      <w:r>
        <w:rPr>
          <w:rFonts w:ascii="Arial" w:cs="Arial" w:eastAsia="Arial" w:hAnsi="Arial"/>
          <w:b/>
          <w:bCs/>
          <w:sz w:val="22"/>
          <w:szCs w:val="22"/>
        </w:rPr>
        <w:t xml:space="preserve">Moderate interaction</w:t>
      </w:r>
      <w:r>
        <w:rPr>
          <w:rFonts w:ascii="Arial" w:cs="Arial" w:eastAsia="Arial" w:hAnsi="Arial"/>
          <w:sz w:val="22"/>
          <w:szCs w:val="22"/>
        </w:rPr>
        <w:t xml:space="preserve">: the AUC ratio is between 2.0 and 5.0 (inhibition) or between 0.2 and 0.5 (induction).</w:t>
      </w:r>
    </w:p>
    <w:p>
      <w:pPr>
        <w:spacing w:after="120" w:line="276"/>
      </w:pPr>
      <w:r>
        <w:rPr>
          <w:rFonts w:ascii="Arial" w:cs="Arial" w:eastAsia="Arial" w:hAnsi="Arial"/>
          <w:sz w:val="22"/>
          <w:szCs w:val="22"/>
        </w:rPr>
        <w:t xml:space="preserve">• </w:t>
      </w:r>
      <w:r>
        <w:rPr>
          <w:rFonts w:ascii="Arial" w:cs="Arial" w:eastAsia="Arial" w:hAnsi="Arial"/>
          <w:b/>
          <w:bCs/>
          <w:sz w:val="22"/>
          <w:szCs w:val="22"/>
        </w:rPr>
        <w:t xml:space="preserve">Strong interaction</w:t>
      </w:r>
      <w:r>
        <w:rPr>
          <w:rFonts w:ascii="Arial" w:cs="Arial" w:eastAsia="Arial" w:hAnsi="Arial"/>
          <w:sz w:val="22"/>
          <w:szCs w:val="22"/>
        </w:rPr>
        <w:t xml:space="preserve">: the AUC ratio exceeds 5.0 (inhibition) or is below 0.2 (induction).</w:t>
      </w:r>
    </w:p>
    <w:p>
      <w:pPr>
        <w:spacing w:after="80" w:line="276"/>
      </w:pPr>
      <w:r>
        <w:rPr>
          <w:rFonts w:ascii="Arial" w:cs="Arial" w:eastAsia="Arial" w:hAnsi="Arial"/>
          <w:color w:val="555555"/>
          <w:sz w:val="20"/>
          <w:szCs w:val="20"/>
        </w:rPr>
        <w:t xml:space="preserve">These thresholds are from the FDA and EMA DDI guidance documents. The classification is based on the point estimate of the AUC ratio, not the CI boundaries.</w:t>
      </w:r>
    </w:p>
    <w:p>
      <w:pPr>
        <w:pStyle w:val="Heading3"/>
        <w:spacing w:after="120" w:before="200"/>
      </w:pPr>
      <w:r>
        <w:rPr>
          <w:rFonts w:ascii="Arial" w:cs="Arial" w:eastAsia="Arial" w:hAnsi="Arial"/>
          <w:b/>
          <w:bCs/>
          <w:sz w:val="22"/>
          <w:szCs w:val="22"/>
        </w:rPr>
        <w:t xml:space="preserve">Practical Considerations</w:t>
      </w:r>
    </w:p>
    <w:p>
      <w:pPr>
        <w:spacing w:after="120" w:line="276"/>
      </w:pPr>
      <w:r>
        <w:rPr>
          <w:rFonts w:ascii="Arial" w:cs="Arial" w:eastAsia="Arial" w:hAnsi="Arial"/>
          <w:sz w:val="22"/>
          <w:szCs w:val="22"/>
        </w:rPr>
        <w:t xml:space="preserve">The app reports the ratio as Test/Reference (expressed as a percentage). In a DDI study, ‘Test’ is typically the combination (victim + perpetrator) and ‘Reference’ is the victim alone. A reported ratio of 350% means the perpetrator increased the victim’s AUC by a factor of 3.5. If your labels are reversed, the ratio will be the reciprocal.</w:t>
      </w:r>
    </w:p>
    <w:p>
      <w:pPr>
        <w:spacing w:after="120" w:line="276"/>
      </w:pPr>
      <w:r>
        <w:rPr>
          <w:rFonts w:ascii="Arial" w:cs="Arial" w:eastAsia="Arial" w:hAnsi="Arial"/>
          <w:sz w:val="22"/>
          <w:szCs w:val="22"/>
        </w:rPr>
        <w:t xml:space="preserve">For fixed-order DDI studies (all subjects receive the victim alone first, then with the perpetrator), select ‘Fixed-order crossover’ as the design. The app uses a paired analysis, which is statistically appropriate but cannot separate period effects from the interaction effect.</w:t>
      </w:r>
    </w:p>
    <w:p>
      <w:pPr>
        <w:spacing w:after="120" w:line="276"/>
      </w:pPr>
      <w:r>
        <w:rPr>
          <w:rFonts w:ascii="Arial" w:cs="Arial" w:eastAsia="Arial" w:hAnsi="Arial"/>
          <w:sz w:val="22"/>
          <w:szCs w:val="22"/>
        </w:rPr>
        <w:t xml:space="preserve">The app’s forest plot and CI table are directly usable for the DDI results section of a clinical study report or regulatory submission. The 90% CI boundaries are the values reported in DDI summary tables per FDA and EMA guidance.</w:t>
      </w:r>
    </w:p>
    <w:p>
      <w:pPr>
        <w:pStyle w:val="Heading2"/>
        <w:spacing w:after="160" w:before="280"/>
      </w:pPr>
      <w:r>
        <w:rPr>
          <w:rFonts w:ascii="Arial" w:cs="Arial" w:eastAsia="Arial" w:hAnsi="Arial"/>
          <w:b/>
          <w:bCs/>
          <w:sz w:val="26"/>
          <w:szCs w:val="26"/>
        </w:rPr>
        <w:t xml:space="preserve">Complete Analysis Record</w:t>
      </w:r>
    </w:p>
    <w:p>
      <w:pPr>
        <w:spacing w:after="120" w:line="276"/>
      </w:pPr>
      <w:r>
        <w:rPr>
          <w:rFonts w:ascii="Arial" w:cs="Arial" w:eastAsia="Arial" w:hAnsi="Arial"/>
          <w:sz w:val="22"/>
          <w:szCs w:val="22"/>
        </w:rPr>
        <w:t xml:space="preserve">Available in all three analysis paths (single-subject, batch NCA, and BE/DDI). Self-contained zip with: results.xlsx, analysis_settings.json, reproduce_analysis.R (standalone script), data_integrity.txt (SHA-256 hash), analysis_summary.html, and the original data file.</w:t>
      </w:r>
    </w:p>
    <w:p>
      <w:r>
        <w:br w:type="page"/>
      </w:r>
    </w:p>
    <w:p>
      <w:pPr>
        <w:pStyle w:val="Heading1"/>
        <w:spacing w:after="200" w:before="360"/>
      </w:pPr>
      <w:r>
        <w:rPr>
          <w:rFonts w:ascii="Arial" w:cs="Arial" w:eastAsia="Arial" w:hAnsi="Arial"/>
          <w:b/>
          <w:bCs/>
          <w:sz w:val="32"/>
          <w:szCs w:val="32"/>
        </w:rPr>
        <w:t xml:space="preserve">Part IV: Worked Examples</w:t>
      </w:r>
    </w:p>
    <w:p>
      <w:pPr>
        <w:pStyle w:val="Heading2"/>
        <w:spacing w:after="160" w:before="280"/>
      </w:pPr>
      <w:r>
        <w:rPr>
          <w:rFonts w:ascii="Arial" w:cs="Arial" w:eastAsia="Arial" w:hAnsi="Arial"/>
          <w:b/>
          <w:bCs/>
          <w:sz w:val="26"/>
          <w:szCs w:val="26"/>
        </w:rPr>
        <w:t xml:space="preserve">Exercise 1: Theoph Dataset (Batch NCA)</w:t>
      </w:r>
    </w:p>
    <w:p>
      <w:pPr>
        <w:spacing w:after="120" w:line="276"/>
      </w:pPr>
      <w:r>
        <w:rPr>
          <w:rFonts w:ascii="Arial" w:cs="Arial" w:eastAsia="Arial" w:hAnsi="Arial"/>
          <w:sz w:val="22"/>
          <w:szCs w:val="22"/>
        </w:rPr>
        <w:t xml:space="preserve">Download the theophylline dataset from the app: open the </w:t>
      </w:r>
      <w:r>
        <w:rPr>
          <w:rFonts w:ascii="Arial" w:cs="Arial" w:eastAsia="Arial" w:hAnsi="Arial"/>
          <w:b/>
          <w:bCs/>
          <w:sz w:val="22"/>
          <w:szCs w:val="22"/>
        </w:rPr>
        <w:t xml:space="preserve">Data Preparation Guide</w:t>
      </w:r>
      <w:r>
        <w:rPr>
          <w:rFonts w:ascii="Arial" w:cs="Arial" w:eastAsia="Arial" w:hAnsi="Arial"/>
          <w:sz w:val="22"/>
          <w:szCs w:val="22"/>
        </w:rPr>
        <w:t xml:space="preserve"> (from the home screen banner or the top navigation bar) and click </w:t>
      </w:r>
      <w:r>
        <w:rPr>
          <w:rFonts w:ascii="Arial" w:cs="Arial" w:eastAsia="Arial" w:hAnsi="Arial"/>
          <w:b/>
          <w:bCs/>
          <w:sz w:val="22"/>
          <w:szCs w:val="22"/>
        </w:rPr>
        <w:t xml:space="preserve">Download theoph.csv</w:t>
      </w:r>
      <w:r>
        <w:rPr>
          <w:rFonts w:ascii="Arial" w:cs="Arial" w:eastAsia="Arial" w:hAnsi="Arial"/>
          <w:sz w:val="22"/>
          <w:szCs w:val="22"/>
        </w:rPr>
        <w:t xml:space="preserve"> in the Example Datasets section.</w:t>
      </w:r>
    </w:p>
    <w:p>
      <w:pPr>
        <w:spacing w:after="80" w:line="276"/>
      </w:pPr>
      <w:r>
        <w:rPr>
          <w:rFonts w:ascii="Arial" w:cs="Arial" w:eastAsia="Arial" w:hAnsi="Arial"/>
          <w:color w:val="555555"/>
          <w:sz w:val="20"/>
          <w:szCs w:val="20"/>
        </w:rPr>
        <w:t xml:space="preserve">Alternatively, if you have R installed: </w:t>
      </w:r>
      <w:r>
        <w:rPr>
          <w:rFonts w:ascii="Courier New" w:cs="Courier New" w:eastAsia="Courier New" w:hAnsi="Courier New"/>
          <w:sz w:val="20"/>
          <w:szCs w:val="20"/>
        </w:rPr>
        <w:t xml:space="preserve">write.csv(Theoph, "theoph.csv", row.names = FALSE)</w:t>
      </w:r>
    </w:p>
    <w:p>
      <w:pPr>
        <w:spacing w:after="120" w:line="276"/>
      </w:pPr>
      <w:r>
        <w:rPr>
          <w:rFonts w:ascii="Arial" w:cs="Arial" w:eastAsia="Arial" w:hAnsi="Arial"/>
          <w:sz w:val="22"/>
          <w:szCs w:val="22"/>
        </w:rPr>
        <w:t xml:space="preserve">Upload. Set dose = 320, route = Extravascular, method = Log-down. Run.</w:t>
      </w:r>
    </w:p>
    <w:p>
      <w:pPr>
        <w:spacing w:after="120" w:line="276"/>
      </w:pPr>
      <w:r>
        <w:rPr>
          <w:rFonts w:ascii="Arial" w:cs="Arial" w:eastAsia="Arial" w:hAnsi="Arial"/>
          <w:b/>
          <w:bCs/>
          <w:sz w:val="22"/>
          <w:szCs w:val="22"/>
        </w:rPr>
        <w:t xml:space="preserve">Questions: </w:t>
      </w:r>
      <w:r>
        <w:rPr>
          <w:rFonts w:ascii="Arial" w:cs="Arial" w:eastAsia="Arial" w:hAnsi="Arial"/>
          <w:sz w:val="22"/>
          <w:szCs w:val="22"/>
        </w:rPr>
        <w:t xml:space="preserve">1) Mean Cmax? 2) Geometric mean AUC to last? 3) Median Tmax? 4) Longest half-life (which subject)? 5) Geometric CV% for AUC∞?</w:t>
      </w:r>
    </w:p>
    <w:p>
      <w:pPr>
        <w:spacing w:after="80" w:line="276"/>
      </w:pPr>
      <w:r>
        <w:rPr>
          <w:rFonts w:ascii="Arial" w:cs="Arial" w:eastAsia="Arial" w:hAnsi="Arial"/>
          <w:color w:val="555555"/>
          <w:sz w:val="20"/>
          <w:szCs w:val="20"/>
        </w:rPr>
        <w:t xml:space="preserve">Answers: 1) ~8.76 mg/L. 2) ~101.5 h·mg/L. 3) 1.25 h. 4) Subject 6 (~14.3 h). 5) ~22%.</w:t>
      </w:r>
    </w:p>
    <w:p>
      <w:pPr>
        <w:pStyle w:val="Heading2"/>
        <w:spacing w:after="160" w:before="280"/>
      </w:pPr>
      <w:r>
        <w:rPr>
          <w:rFonts w:ascii="Arial" w:cs="Arial" w:eastAsia="Arial" w:hAnsi="Arial"/>
          <w:b/>
          <w:bCs/>
          <w:sz w:val="26"/>
          <w:szCs w:val="26"/>
        </w:rPr>
        <w:t xml:space="preserve">Exercise 2: Bioequivalence</w:t>
      </w:r>
    </w:p>
    <w:p>
      <w:pPr>
        <w:spacing w:after="120" w:line="276"/>
      </w:pPr>
      <w:r>
        <w:rPr>
          <w:rFonts w:ascii="Arial" w:cs="Arial" w:eastAsia="Arial" w:hAnsi="Arial"/>
          <w:sz w:val="22"/>
          <w:szCs w:val="22"/>
        </w:rPr>
        <w:t xml:space="preserve">Download the crossover BE dataset from the </w:t>
      </w:r>
      <w:r>
        <w:rPr>
          <w:rFonts w:ascii="Arial" w:cs="Arial" w:eastAsia="Arial" w:hAnsi="Arial"/>
          <w:b/>
          <w:bCs/>
          <w:sz w:val="22"/>
          <w:szCs w:val="22"/>
        </w:rPr>
        <w:t xml:space="preserve">Data Preparation Guide</w:t>
      </w:r>
      <w:r>
        <w:rPr>
          <w:rFonts w:ascii="Arial" w:cs="Arial" w:eastAsia="Arial" w:hAnsi="Arial"/>
          <w:sz w:val="22"/>
          <w:szCs w:val="22"/>
        </w:rPr>
        <w:t xml:space="preserve"> (click </w:t>
      </w:r>
      <w:r>
        <w:rPr>
          <w:rFonts w:ascii="Arial" w:cs="Arial" w:eastAsia="Arial" w:hAnsi="Arial"/>
          <w:b/>
          <w:bCs/>
          <w:sz w:val="22"/>
          <w:szCs w:val="22"/>
        </w:rPr>
        <w:t xml:space="preserve">Download crossover_be.csv</w:t>
      </w:r>
      <w:r>
        <w:rPr>
          <w:rFonts w:ascii="Arial" w:cs="Arial" w:eastAsia="Arial" w:hAnsi="Arial"/>
          <w:sz w:val="22"/>
          <w:szCs w:val="22"/>
        </w:rPr>
        <w:t xml:space="preserve">). Upload. Map columns. Set dose = 100, design = 2-period crossover. Run.</w:t>
      </w:r>
    </w:p>
    <w:p>
      <w:pPr>
        <w:pStyle w:val="Heading2"/>
        <w:spacing w:after="160" w:before="280"/>
      </w:pPr>
      <w:r>
        <w:rPr>
          <w:rFonts w:ascii="Arial" w:cs="Arial" w:eastAsia="Arial" w:hAnsi="Arial"/>
          <w:b/>
          <w:bCs/>
          <w:sz w:val="26"/>
          <w:szCs w:val="26"/>
        </w:rPr>
        <w:t xml:space="preserve">Exercise 3: Power Calculation</w:t>
      </w:r>
    </w:p>
    <w:p>
      <w:pPr>
        <w:spacing w:after="120" w:line="276"/>
      </w:pPr>
      <w:r>
        <w:rPr>
          <w:rFonts w:ascii="Arial" w:cs="Arial" w:eastAsia="Arial" w:hAnsi="Arial"/>
          <w:sz w:val="22"/>
          <w:szCs w:val="22"/>
        </w:rPr>
        <w:t xml:space="preserve">Plan a Study. ABE, 2×2×2, CV = 25%, GMR = 0.95, power = 0.80.</w:t>
      </w:r>
    </w:p>
    <w:p>
      <w:pPr>
        <w:spacing w:after="120" w:line="276"/>
      </w:pPr>
      <w:r>
        <w:rPr>
          <w:rFonts w:ascii="Arial" w:cs="Arial" w:eastAsia="Arial" w:hAnsi="Arial"/>
          <w:b/>
          <w:bCs/>
          <w:sz w:val="22"/>
          <w:szCs w:val="22"/>
        </w:rPr>
        <w:t xml:space="preserve">Questions: </w:t>
      </w:r>
      <w:r>
        <w:rPr>
          <w:rFonts w:ascii="Arial" w:cs="Arial" w:eastAsia="Arial" w:hAnsi="Arial"/>
          <w:sz w:val="22"/>
          <w:szCs w:val="22"/>
        </w:rPr>
        <w:t xml:space="preserve">1) Subjects needed? 2) Power with 30 subjects? 3) Subjects needed at CV = 35%?</w:t>
      </w:r>
    </w:p>
    <w:p>
      <w:r>
        <w:br w:type="page"/>
      </w:r>
    </w:p>
    <w:p>
      <w:pPr>
        <w:pStyle w:val="Heading1"/>
        <w:spacing w:after="200" w:before="360"/>
      </w:pPr>
      <w:r>
        <w:rPr>
          <w:rFonts w:ascii="Arial" w:cs="Arial" w:eastAsia="Arial" w:hAnsi="Arial"/>
          <w:b/>
          <w:bCs/>
          <w:sz w:val="32"/>
          <w:szCs w:val="32"/>
        </w:rPr>
        <w:t xml:space="preserve">Part V: Theoretical Background</w:t>
      </w:r>
    </w:p>
    <w:p>
      <w:pPr>
        <w:pStyle w:val="Heading2"/>
        <w:spacing w:after="160" w:before="280"/>
      </w:pPr>
      <w:r>
        <w:rPr>
          <w:rFonts w:ascii="Arial" w:cs="Arial" w:eastAsia="Arial" w:hAnsi="Arial"/>
          <w:b/>
          <w:bCs/>
          <w:sz w:val="26"/>
          <w:szCs w:val="26"/>
        </w:rPr>
        <w:t xml:space="preserve">Trapezoidal Methods for AUC Calculation</w:t>
      </w:r>
    </w:p>
    <w:p>
      <w:pPr>
        <w:pStyle w:val="Heading3"/>
        <w:spacing w:after="120" w:before="200"/>
      </w:pPr>
      <w:r>
        <w:rPr>
          <w:rFonts w:ascii="Arial" w:cs="Arial" w:eastAsia="Arial" w:hAnsi="Arial"/>
          <w:b/>
          <w:bCs/>
          <w:sz w:val="22"/>
          <w:szCs w:val="22"/>
        </w:rPr>
        <w:t xml:space="preserve">The Linear Trapezoidal Rule</w:t>
      </w:r>
    </w:p>
    <w:p>
      <w:pPr>
        <w:spacing w:after="120" w:line="276"/>
      </w:pPr>
      <w:r>
        <w:rPr>
          <w:rFonts w:ascii="Arial" w:cs="Arial" w:eastAsia="Arial" w:hAnsi="Arial"/>
          <w:sz w:val="22"/>
          <w:szCs w:val="22"/>
        </w:rPr>
        <w:t xml:space="preserve">Between consecutive observations at t</w:t>
      </w:r>
      <w:r>
        <w:rPr>
          <w:rFonts w:ascii="Arial" w:cs="Arial" w:eastAsia="Arial" w:hAnsi="Arial"/>
          <w:sz w:val="22"/>
          <w:szCs w:val="22"/>
          <w:vertAlign w:val="subscript"/>
        </w:rPr>
        <w:t xml:space="preserve">i</w:t>
      </w:r>
      <w:r>
        <w:rPr>
          <w:rFonts w:ascii="Arial" w:cs="Arial" w:eastAsia="Arial" w:hAnsi="Arial"/>
          <w:sz w:val="22"/>
          <w:szCs w:val="22"/>
        </w:rPr>
        <w:t xml:space="preserve"> and t</w:t>
      </w:r>
      <w:r>
        <w:rPr>
          <w:rFonts w:ascii="Arial" w:cs="Arial" w:eastAsia="Arial" w:hAnsi="Arial"/>
          <w:sz w:val="22"/>
          <w:szCs w:val="22"/>
          <w:vertAlign w:val="subscript"/>
        </w:rPr>
        <w:t xml:space="preserve">i+1</w:t>
      </w:r>
      <w:r>
        <w:rPr>
          <w:rFonts w:ascii="Arial" w:cs="Arial" w:eastAsia="Arial" w:hAnsi="Arial"/>
          <w:sz w:val="22"/>
          <w:szCs w:val="22"/>
        </w:rPr>
        <w:t xml:space="preserve"> with concentrations C</w:t>
      </w:r>
      <w:r>
        <w:rPr>
          <w:rFonts w:ascii="Arial" w:cs="Arial" w:eastAsia="Arial" w:hAnsi="Arial"/>
          <w:sz w:val="22"/>
          <w:szCs w:val="22"/>
          <w:vertAlign w:val="subscript"/>
        </w:rPr>
        <w:t xml:space="preserve">i</w:t>
      </w:r>
      <w:r>
        <w:rPr>
          <w:rFonts w:ascii="Arial" w:cs="Arial" w:eastAsia="Arial" w:hAnsi="Arial"/>
          <w:sz w:val="22"/>
          <w:szCs w:val="22"/>
        </w:rPr>
        <w:t xml:space="preserve"> and C</w:t>
      </w:r>
      <w:r>
        <w:rPr>
          <w:rFonts w:ascii="Arial" w:cs="Arial" w:eastAsia="Arial" w:hAnsi="Arial"/>
          <w:sz w:val="22"/>
          <w:szCs w:val="22"/>
          <w:vertAlign w:val="subscript"/>
        </w:rPr>
        <w:t xml:space="preserve">i+1</w:t>
      </w:r>
      <w:r>
        <w:rPr>
          <w:rFonts w:ascii="Arial" w:cs="Arial" w:eastAsia="Arial" w:hAnsi="Arial"/>
          <w:sz w:val="22"/>
          <w:szCs w:val="22"/>
        </w:rPr>
        <w:t xml:space="preserve">, the area is approximated as a trapezoid:</w:t>
      </w:r>
    </w:p>
    <w:p>
      <w:pPr>
        <w:spacing w:after="80" w:before="80"/>
        <w:ind w:left="720"/>
      </w:pPr>
      <w:r>
        <w:rPr>
          <w:rFonts w:ascii="Courier New" w:cs="Courier New" w:eastAsia="Courier New" w:hAnsi="Courier New"/>
          <w:color w:val="2C3E50"/>
          <w:sz w:val="21"/>
          <w:szCs w:val="21"/>
        </w:rPr>
        <w:t xml:space="preserve">AUC(i) = (t(i+1) − t(i)) × (C(i) + C(i+1)) / 2</w:t>
      </w:r>
    </w:p>
    <w:p>
      <w:pPr>
        <w:spacing w:after="120" w:line="276"/>
      </w:pPr>
      <w:r>
        <w:rPr>
          <w:rFonts w:ascii="Arial" w:cs="Arial" w:eastAsia="Arial" w:hAnsi="Arial"/>
          <w:sz w:val="22"/>
          <w:szCs w:val="22"/>
        </w:rPr>
        <w:t xml:space="preserve">This assumes linear concentration change. During elimination, drug concentrations typically decline exponentially, and the linear assumption leads to systematic overestimation: a straight line between two points on an exponential decay lies above the true curve.</w:t>
      </w:r>
    </w:p>
    <w:p>
      <w:pPr>
        <w:pStyle w:val="Heading3"/>
        <w:spacing w:after="120" w:before="200"/>
      </w:pPr>
      <w:r>
        <w:rPr>
          <w:rFonts w:ascii="Arial" w:cs="Arial" w:eastAsia="Arial" w:hAnsi="Arial"/>
          <w:b/>
          <w:bCs/>
          <w:sz w:val="22"/>
          <w:szCs w:val="22"/>
        </w:rPr>
        <w:t xml:space="preserve">The Logarithmic Trapezoidal Rule</w:t>
      </w:r>
    </w:p>
    <w:p>
      <w:pPr>
        <w:spacing w:after="120" w:line="276"/>
      </w:pPr>
      <w:r>
        <w:rPr>
          <w:rFonts w:ascii="Arial" w:cs="Arial" w:eastAsia="Arial" w:hAnsi="Arial"/>
          <w:sz w:val="22"/>
          <w:szCs w:val="22"/>
        </w:rPr>
        <w:t xml:space="preserve">If the concentration declines mono-exponentially between two points, the exact integral yields:</w:t>
      </w:r>
    </w:p>
    <w:p>
      <w:pPr>
        <w:spacing w:after="80" w:before="80"/>
        <w:ind w:left="720"/>
      </w:pPr>
      <w:r>
        <w:rPr>
          <w:rFonts w:ascii="Courier New" w:cs="Courier New" w:eastAsia="Courier New" w:hAnsi="Courier New"/>
          <w:color w:val="2C3E50"/>
          <w:sz w:val="21"/>
          <w:szCs w:val="21"/>
        </w:rPr>
        <w:t xml:space="preserve">AUC(i) = (t(i+1) − t(i)) × (C(i) − C(i+1)) / (ln C(i) − ln C(i+1))</w:t>
      </w:r>
    </w:p>
    <w:p>
      <w:pPr>
        <w:spacing w:after="120" w:line="276"/>
      </w:pPr>
      <w:r>
        <w:rPr>
          <w:rFonts w:ascii="Arial" w:cs="Arial" w:eastAsia="Arial" w:hAnsi="Arial"/>
          <w:sz w:val="22"/>
          <w:szCs w:val="22"/>
        </w:rPr>
        <w:t xml:space="preserve">This gives a more accurate estimate during the terminal phase. It requires both concentrations to be positive.</w:t>
      </w:r>
    </w:p>
    <w:p>
      <w:pPr>
        <w:pStyle w:val="Heading3"/>
        <w:spacing w:after="120" w:before="200"/>
      </w:pPr>
      <w:r>
        <w:rPr>
          <w:rFonts w:ascii="Arial" w:cs="Arial" w:eastAsia="Arial" w:hAnsi="Arial"/>
          <w:b/>
          <w:bCs/>
          <w:sz w:val="22"/>
          <w:szCs w:val="22"/>
        </w:rPr>
        <w:t xml:space="preserve">The Linear-Up / Log-Down Hybrid</w:t>
      </w:r>
    </w:p>
    <w:p>
      <w:pPr>
        <w:spacing w:after="120" w:line="276"/>
      </w:pPr>
      <w:r>
        <w:rPr>
          <w:rFonts w:ascii="Arial" w:cs="Arial" w:eastAsia="Arial" w:hAnsi="Arial"/>
          <w:sz w:val="22"/>
          <w:szCs w:val="22"/>
        </w:rPr>
        <w:t xml:space="preserve">Proposed by Yeh and Kwan (1978): use the linear formula during the ascending phase (no exponential assumption valid) and the log formula during the descending phase (mono-exponential assumption appropriate). This is the default in the NCA Assistant, in Phoenix WinNonlin, and in most regulatory submissions.</w:t>
      </w:r>
    </w:p>
    <w:p>
      <w:pPr>
        <w:pStyle w:val="Heading2"/>
        <w:spacing w:after="160" w:before="280"/>
      </w:pPr>
      <w:r>
        <w:rPr>
          <w:rFonts w:ascii="Arial" w:cs="Arial" w:eastAsia="Arial" w:hAnsi="Arial"/>
          <w:b/>
          <w:bCs/>
          <w:sz w:val="26"/>
          <w:szCs w:val="26"/>
        </w:rPr>
        <w:t xml:space="preserve">Terminal Phase Characterisation and Half-Life Estimation</w:t>
      </w:r>
    </w:p>
    <w:p>
      <w:pPr>
        <w:pStyle w:val="Heading3"/>
        <w:spacing w:after="120" w:before="200"/>
      </w:pPr>
      <w:r>
        <w:rPr>
          <w:rFonts w:ascii="Arial" w:cs="Arial" w:eastAsia="Arial" w:hAnsi="Arial"/>
          <w:b/>
          <w:bCs/>
          <w:sz w:val="22"/>
          <w:szCs w:val="22"/>
        </w:rPr>
        <w:t xml:space="preserve">What Is the Terminal Phase?</w:t>
      </w:r>
    </w:p>
    <w:p>
      <w:pPr>
        <w:spacing w:after="120" w:line="276"/>
      </w:pPr>
      <w:r>
        <w:rPr>
          <w:rFonts w:ascii="Arial" w:cs="Arial" w:eastAsia="Arial" w:hAnsi="Arial"/>
          <w:sz w:val="22"/>
          <w:szCs w:val="22"/>
        </w:rPr>
        <w:t xml:space="preserve">After distribution is complete, drug elimination follows C(t) = C</w:t>
      </w:r>
      <w:r>
        <w:rPr>
          <w:rFonts w:ascii="Arial" w:cs="Arial" w:eastAsia="Arial" w:hAnsi="Arial"/>
          <w:sz w:val="22"/>
          <w:szCs w:val="22"/>
          <w:vertAlign w:val="subscript"/>
        </w:rPr>
        <w:t xml:space="preserve">0</w:t>
      </w:r>
      <w:r>
        <w:rPr>
          <w:rFonts w:ascii="Arial" w:cs="Arial" w:eastAsia="Arial" w:hAnsi="Arial"/>
          <w:sz w:val="22"/>
          <w:szCs w:val="22"/>
        </w:rPr>
        <w:t xml:space="preserve"> · e</w:t>
      </w:r>
      <w:r>
        <w:rPr>
          <w:rFonts w:ascii="Arial" w:cs="Arial" w:eastAsia="Arial" w:hAnsi="Arial"/>
          <w:sz w:val="22"/>
          <w:szCs w:val="22"/>
          <w:vertAlign w:val="superscript"/>
        </w:rPr>
        <w:t xml:space="preserve">−λz·t</w:t>
      </w:r>
      <w:r>
        <w:rPr>
          <w:rFonts w:ascii="Arial" w:cs="Arial" w:eastAsia="Arial" w:hAnsi="Arial"/>
          <w:sz w:val="22"/>
          <w:szCs w:val="22"/>
        </w:rPr>
        <w:t xml:space="preserve">. On a log-linear plot, this appears as a straight line with slope −λ</w:t>
      </w:r>
      <w:r>
        <w:rPr>
          <w:rFonts w:ascii="Arial" w:cs="Arial" w:eastAsia="Arial" w:hAnsi="Arial"/>
          <w:sz w:val="22"/>
          <w:szCs w:val="22"/>
          <w:vertAlign w:val="subscript"/>
        </w:rPr>
        <w:t xml:space="preserve">z</w:t>
      </w:r>
      <w:r>
        <w:rPr>
          <w:rFonts w:ascii="Arial" w:cs="Arial" w:eastAsia="Arial" w:hAnsi="Arial"/>
          <w:sz w:val="22"/>
          <w:szCs w:val="22"/>
        </w:rPr>
        <w:t xml:space="preserve">. The half-life is t</w:t>
      </w:r>
      <w:r>
        <w:rPr>
          <w:rFonts w:ascii="Arial" w:cs="Arial" w:eastAsia="Arial" w:hAnsi="Arial"/>
          <w:sz w:val="22"/>
          <w:szCs w:val="22"/>
          <w:vertAlign w:val="subscript"/>
        </w:rPr>
        <w:t xml:space="preserve">½</w:t>
      </w:r>
      <w:r>
        <w:rPr>
          <w:rFonts w:ascii="Arial" w:cs="Arial" w:eastAsia="Arial" w:hAnsi="Arial"/>
          <w:sz w:val="22"/>
          <w:szCs w:val="22"/>
        </w:rPr>
        <w:t xml:space="preserve"> = ln(2) / λ</w:t>
      </w:r>
      <w:r>
        <w:rPr>
          <w:rFonts w:ascii="Arial" w:cs="Arial" w:eastAsia="Arial" w:hAnsi="Arial"/>
          <w:sz w:val="22"/>
          <w:szCs w:val="22"/>
          <w:vertAlign w:val="subscript"/>
        </w:rPr>
        <w:t xml:space="preserve">z</w:t>
      </w:r>
      <w:r>
        <w:rPr>
          <w:rFonts w:ascii="Arial" w:cs="Arial" w:eastAsia="Arial" w:hAnsi="Arial"/>
          <w:sz w:val="22"/>
          <w:szCs w:val="22"/>
        </w:rPr>
        <w:t xml:space="preserve">.</w:t>
      </w:r>
    </w:p>
    <w:p>
      <w:pPr>
        <w:pStyle w:val="Heading3"/>
        <w:spacing w:after="120" w:before="200"/>
      </w:pPr>
      <w:r>
        <w:rPr>
          <w:rFonts w:ascii="Arial" w:cs="Arial" w:eastAsia="Arial" w:hAnsi="Arial"/>
          <w:b/>
          <w:bCs/>
          <w:sz w:val="22"/>
          <w:szCs w:val="22"/>
        </w:rPr>
        <w:t xml:space="preserve">Automated Point Selection</w:t>
      </w:r>
    </w:p>
    <w:p>
      <w:pPr>
        <w:spacing w:after="120" w:line="276"/>
      </w:pPr>
      <w:r>
        <w:rPr>
          <w:rFonts w:ascii="Arial" w:cs="Arial" w:eastAsia="Arial" w:hAnsi="Arial"/>
          <w:sz w:val="22"/>
          <w:szCs w:val="22"/>
        </w:rPr>
        <w:t xml:space="preserve">The app considers all combinations of the last n points after C</w:t>
      </w:r>
      <w:r>
        <w:rPr>
          <w:rFonts w:ascii="Arial" w:cs="Arial" w:eastAsia="Arial" w:hAnsi="Arial"/>
          <w:sz w:val="22"/>
          <w:szCs w:val="22"/>
          <w:vertAlign w:val="subscript"/>
        </w:rPr>
        <w:t xml:space="preserve">max</w:t>
      </w:r>
      <w:r>
        <w:rPr>
          <w:rFonts w:ascii="Arial" w:cs="Arial" w:eastAsia="Arial" w:hAnsi="Arial"/>
          <w:sz w:val="22"/>
          <w:szCs w:val="22"/>
        </w:rPr>
        <w:t xml:space="preserve"> (n ≥ 3), fits OLS regression to each, and selects the combination with the highest adjusted R². The R²</w:t>
      </w:r>
      <w:r>
        <w:rPr>
          <w:rFonts w:ascii="Arial" w:cs="Arial" w:eastAsia="Arial" w:hAnsi="Arial"/>
          <w:sz w:val="22"/>
          <w:szCs w:val="22"/>
          <w:vertAlign w:val="subscript"/>
        </w:rPr>
        <w:t xml:space="preserve">adj</w:t>
      </w:r>
      <w:r>
        <w:rPr>
          <w:rFonts w:ascii="Arial" w:cs="Arial" w:eastAsia="Arial" w:hAnsi="Arial"/>
          <w:sz w:val="22"/>
          <w:szCs w:val="22"/>
        </w:rPr>
        <w:t xml:space="preserve"> threshold (default: 0.70) controls how strict the selection is. If no combination meets the threshold, the half-life is not estimable.</w:t>
      </w:r>
    </w:p>
    <w:p>
      <w:pPr>
        <w:pStyle w:val="Heading3"/>
        <w:spacing w:after="120" w:before="200"/>
      </w:pPr>
      <w:r>
        <w:rPr>
          <w:rFonts w:ascii="Arial" w:cs="Arial" w:eastAsia="Arial" w:hAnsi="Arial"/>
          <w:b/>
          <w:bCs/>
          <w:sz w:val="22"/>
          <w:szCs w:val="22"/>
        </w:rPr>
        <w:t xml:space="preserve">Manual Point Selection</w:t>
      </w:r>
    </w:p>
    <w:p>
      <w:pPr>
        <w:spacing w:after="120" w:line="276"/>
      </w:pPr>
      <w:r>
        <w:rPr>
          <w:rFonts w:ascii="Arial" w:cs="Arial" w:eastAsia="Arial" w:hAnsi="Arial"/>
          <w:sz w:val="22"/>
          <w:szCs w:val="22"/>
        </w:rPr>
        <w:t xml:space="preserve">Common situations requiring manual adjustment: multi-phasic elimination, flip-flop kinetics, enterohepatic recirculation, late samples near LLOQ. Use the Half-Life Review tab to inspect and adjust. A wrong λ</w:t>
      </w:r>
      <w:r>
        <w:rPr>
          <w:rFonts w:ascii="Arial" w:cs="Arial" w:eastAsia="Arial" w:hAnsi="Arial"/>
          <w:sz w:val="22"/>
          <w:szCs w:val="22"/>
          <w:vertAlign w:val="subscript"/>
        </w:rPr>
        <w:t xml:space="preserve">z</w:t>
      </w:r>
      <w:r>
        <w:rPr>
          <w:rFonts w:ascii="Arial" w:cs="Arial" w:eastAsia="Arial" w:hAnsi="Arial"/>
          <w:sz w:val="22"/>
          <w:szCs w:val="22"/>
        </w:rPr>
        <w:t xml:space="preserve"> propagates through half-life, AUC∞, CL/F, and Vz/F. When AUC extrapolation exceeds 20%, results should be interpreted with caution.</w:t>
      </w:r>
    </w:p>
    <w:p>
      <w:pPr>
        <w:pStyle w:val="Heading2"/>
        <w:spacing w:after="160" w:before="280"/>
      </w:pPr>
      <w:r>
        <w:rPr>
          <w:rFonts w:ascii="Arial" w:cs="Arial" w:eastAsia="Arial" w:hAnsi="Arial"/>
          <w:b/>
          <w:bCs/>
          <w:sz w:val="26"/>
          <w:szCs w:val="26"/>
        </w:rPr>
        <w:t xml:space="preserve">BLQ Handling: Pharmacological Rationale</w:t>
      </w:r>
    </w:p>
    <w:p>
      <w:pPr>
        <w:spacing w:after="120" w:line="276"/>
      </w:pPr>
      <w:r>
        <w:rPr>
          <w:rFonts w:ascii="Arial" w:cs="Arial" w:eastAsia="Arial" w:hAnsi="Arial"/>
          <w:sz w:val="22"/>
          <w:szCs w:val="22"/>
        </w:rPr>
        <w:t xml:space="preserve">Every assay has a lower limit of quantification (LLOQ). Samples below it are reported as BLQ. The handling choice affects AUC: zero inflates early AUC, missing truncates late AUC, LLOQ/2 is a compromise. Rule 1 (default, Beal 2001) is the most widely used. Rule 6 (LLOQ/2 for first BLQ) is for drugs with absorption lag. Sensitivity analysis (two rules, compare results) is recommended for regulatory submissions.</w:t>
      </w:r>
    </w:p>
    <w:p>
      <w:pPr>
        <w:pStyle w:val="Heading2"/>
        <w:spacing w:after="160" w:before="280"/>
      </w:pPr>
      <w:r>
        <w:rPr>
          <w:rFonts w:ascii="Arial" w:cs="Arial" w:eastAsia="Arial" w:hAnsi="Arial"/>
          <w:b/>
          <w:bCs/>
          <w:sz w:val="26"/>
          <w:szCs w:val="26"/>
        </w:rPr>
        <w:t xml:space="preserve">Steady-State Considerations</w:t>
      </w:r>
    </w:p>
    <w:p>
      <w:pPr>
        <w:spacing w:after="120" w:line="276"/>
      </w:pPr>
      <w:r>
        <w:rPr>
          <w:rFonts w:ascii="Arial" w:cs="Arial" w:eastAsia="Arial" w:hAnsi="Arial"/>
          <w:sz w:val="22"/>
          <w:szCs w:val="22"/>
        </w:rPr>
        <w:t xml:space="preserve">At steady state, AUC</w:t>
      </w:r>
      <w:r>
        <w:rPr>
          <w:rFonts w:ascii="Arial" w:cs="Arial" w:eastAsia="Arial" w:hAnsi="Arial"/>
          <w:sz w:val="22"/>
          <w:szCs w:val="22"/>
          <w:vertAlign w:val="subscript"/>
        </w:rPr>
        <w:t xml:space="preserve">τ</w:t>
      </w:r>
      <w:r>
        <w:rPr>
          <w:rFonts w:ascii="Arial" w:cs="Arial" w:eastAsia="Arial" w:hAnsi="Arial"/>
          <w:sz w:val="22"/>
          <w:szCs w:val="22"/>
        </w:rPr>
        <w:t xml:space="preserve"> replaces AUC</w:t>
      </w:r>
      <w:r>
        <w:rPr>
          <w:rFonts w:ascii="Arial" w:cs="Arial" w:eastAsia="Arial" w:hAnsi="Arial"/>
          <w:sz w:val="22"/>
          <w:szCs w:val="22"/>
          <w:vertAlign w:val="subscript"/>
        </w:rPr>
        <w:t xml:space="preserve">∞</w:t>
      </w:r>
      <w:r>
        <w:rPr>
          <w:rFonts w:ascii="Arial" w:cs="Arial" w:eastAsia="Arial" w:hAnsi="Arial"/>
          <w:sz w:val="22"/>
          <w:szCs w:val="22"/>
        </w:rPr>
        <w:t xml:space="preserve">. CL/F = Dose/AUC</w:t>
      </w:r>
      <w:r>
        <w:rPr>
          <w:rFonts w:ascii="Arial" w:cs="Arial" w:eastAsia="Arial" w:hAnsi="Arial"/>
          <w:sz w:val="22"/>
          <w:szCs w:val="22"/>
          <w:vertAlign w:val="subscript"/>
        </w:rPr>
        <w:t xml:space="preserve">τ</w:t>
      </w:r>
      <w:r>
        <w:rPr>
          <w:rFonts w:ascii="Arial" w:cs="Arial" w:eastAsia="Arial" w:hAnsi="Arial"/>
          <w:sz w:val="22"/>
          <w:szCs w:val="22"/>
        </w:rPr>
        <w:t xml:space="preserve"> is valid. AUC</w:t>
      </w:r>
      <w:r>
        <w:rPr>
          <w:rFonts w:ascii="Arial" w:cs="Arial" w:eastAsia="Arial" w:hAnsi="Arial"/>
          <w:sz w:val="22"/>
          <w:szCs w:val="22"/>
          <w:vertAlign w:val="subscript"/>
        </w:rPr>
        <w:t xml:space="preserve">∞</w:t>
      </w:r>
      <w:r>
        <w:rPr>
          <w:rFonts w:ascii="Arial" w:cs="Arial" w:eastAsia="Arial" w:hAnsi="Arial"/>
          <w:sz w:val="22"/>
          <w:szCs w:val="22"/>
        </w:rPr>
        <w:t xml:space="preserve"> and Vz/F from AUC</w:t>
      </w:r>
      <w:r>
        <w:rPr>
          <w:rFonts w:ascii="Arial" w:cs="Arial" w:eastAsia="Arial" w:hAnsi="Arial"/>
          <w:sz w:val="22"/>
          <w:szCs w:val="22"/>
          <w:vertAlign w:val="subscript"/>
        </w:rPr>
        <w:t xml:space="preserve">∞</w:t>
      </w:r>
      <w:r>
        <w:rPr>
          <w:rFonts w:ascii="Arial" w:cs="Arial" w:eastAsia="Arial" w:hAnsi="Arial"/>
          <w:sz w:val="22"/>
          <w:szCs w:val="22"/>
        </w:rPr>
        <w:t xml:space="preserve"> are not meaningful during repeated dosing. Half-life estimation from a single dosing interval can be unreliable if the sampling window does not adequately cover the terminal phase.</w:t>
      </w:r>
    </w:p>
    <w:p>
      <w:r>
        <w:br w:type="page"/>
      </w:r>
    </w:p>
    <w:p>
      <w:pPr>
        <w:pStyle w:val="Heading1"/>
        <w:spacing w:after="200" w:before="360"/>
      </w:pPr>
      <w:r>
        <w:rPr>
          <w:rFonts w:ascii="Arial" w:cs="Arial" w:eastAsia="Arial" w:hAnsi="Arial"/>
          <w:b/>
          <w:bCs/>
          <w:sz w:val="32"/>
          <w:szCs w:val="32"/>
        </w:rPr>
        <w:t xml:space="preserve">Part VI: Statistical Methods</w:t>
      </w:r>
    </w:p>
    <w:p>
      <w:pPr>
        <w:pStyle w:val="Heading2"/>
        <w:spacing w:after="160" w:before="280"/>
      </w:pPr>
      <w:r>
        <w:rPr>
          <w:rFonts w:ascii="Arial" w:cs="Arial" w:eastAsia="Arial" w:hAnsi="Arial"/>
          <w:b/>
          <w:bCs/>
          <w:sz w:val="26"/>
          <w:szCs w:val="26"/>
        </w:rPr>
        <w:t xml:space="preserve">The Two One-Sided Tests (TOST) Procedure</w:t>
      </w:r>
    </w:p>
    <w:p>
      <w:pPr>
        <w:spacing w:after="120" w:line="276"/>
      </w:pPr>
      <w:r>
        <w:rPr>
          <w:rFonts w:ascii="Arial" w:cs="Arial" w:eastAsia="Arial" w:hAnsi="Arial"/>
          <w:sz w:val="22"/>
          <w:szCs w:val="22"/>
        </w:rPr>
        <w:t xml:space="preserve">Conventional hypothesis testing (H</w:t>
      </w:r>
      <w:r>
        <w:rPr>
          <w:rFonts w:ascii="Arial" w:cs="Arial" w:eastAsia="Arial" w:hAnsi="Arial"/>
          <w:sz w:val="22"/>
          <w:szCs w:val="22"/>
          <w:vertAlign w:val="subscript"/>
        </w:rPr>
        <w:t xml:space="preserve">0</w:t>
      </w:r>
      <w:r>
        <w:rPr>
          <w:rFonts w:ascii="Arial" w:cs="Arial" w:eastAsia="Arial" w:hAnsi="Arial"/>
          <w:sz w:val="22"/>
          <w:szCs w:val="22"/>
        </w:rPr>
        <w:t xml:space="preserve">: μ</w:t>
      </w:r>
      <w:r>
        <w:rPr>
          <w:rFonts w:ascii="Arial" w:cs="Arial" w:eastAsia="Arial" w:hAnsi="Arial"/>
          <w:sz w:val="22"/>
          <w:szCs w:val="22"/>
          <w:vertAlign w:val="subscript"/>
        </w:rPr>
        <w:t xml:space="preserve">T</w:t>
      </w:r>
      <w:r>
        <w:rPr>
          <w:rFonts w:ascii="Arial" w:cs="Arial" w:eastAsia="Arial" w:hAnsi="Arial"/>
          <w:sz w:val="22"/>
          <w:szCs w:val="22"/>
        </w:rPr>
        <w:t xml:space="preserve"> = μ</w:t>
      </w:r>
      <w:r>
        <w:rPr>
          <w:rFonts w:ascii="Arial" w:cs="Arial" w:eastAsia="Arial" w:hAnsi="Arial"/>
          <w:sz w:val="22"/>
          <w:szCs w:val="22"/>
          <w:vertAlign w:val="subscript"/>
        </w:rPr>
        <w:t xml:space="preserve">R</w:t>
      </w:r>
      <w:r>
        <w:rPr>
          <w:rFonts w:ascii="Arial" w:cs="Arial" w:eastAsia="Arial" w:hAnsi="Arial"/>
          <w:sz w:val="22"/>
          <w:szCs w:val="22"/>
        </w:rPr>
        <w:t xml:space="preserve">) can only reject equality, not prove similarity. Schuirmann (1987) reformulated the problem as two one-sided tests:</w:t>
      </w:r>
    </w:p>
    <w:p>
      <w:pPr>
        <w:spacing w:after="80" w:before="80"/>
        <w:ind w:left="720"/>
      </w:pPr>
      <w:r>
        <w:rPr>
          <w:rFonts w:ascii="Courier New" w:cs="Courier New" w:eastAsia="Courier New" w:hAnsi="Courier New"/>
          <w:color w:val="2C3E50"/>
          <w:sz w:val="21"/>
          <w:szCs w:val="21"/>
        </w:rPr>
        <w:t xml:space="preserve">H₀₁: μ(T)/μ(R) ≤ 0.80   (ratio too low)</w:t>
      </w:r>
    </w:p>
    <w:p>
      <w:pPr>
        <w:spacing w:after="80" w:before="80"/>
        <w:ind w:left="720"/>
      </w:pPr>
      <w:r>
        <w:rPr>
          <w:rFonts w:ascii="Courier New" w:cs="Courier New" w:eastAsia="Courier New" w:hAnsi="Courier New"/>
          <w:color w:val="2C3E50"/>
          <w:sz w:val="21"/>
          <w:szCs w:val="21"/>
        </w:rPr>
        <w:t xml:space="preserve">H₀₂: μ(T)/μ(R) ≥ 1.25   (ratio too high)</w:t>
      </w:r>
    </w:p>
    <w:p>
      <w:pPr>
        <w:spacing w:after="120" w:line="276"/>
      </w:pPr>
      <w:r>
        <w:rPr>
          <w:rFonts w:ascii="Arial" w:cs="Arial" w:eastAsia="Arial" w:hAnsi="Arial"/>
          <w:sz w:val="22"/>
          <w:szCs w:val="22"/>
        </w:rPr>
        <w:t xml:space="preserve">Both rejected at α = 0.05 → ratio lies within [0.80, 1.25] → bioequivalent. This is equivalent to: the 90% CI for the ratio falls entirely within [80%, 125%]. The limits are symmetric on the log scale: ln(0.80) = −0.2231, ln(1.25) = +0.2231.</w:t>
      </w:r>
    </w:p>
    <w:p>
      <w:pPr>
        <w:pStyle w:val="Heading2"/>
        <w:spacing w:after="160" w:before="280"/>
      </w:pPr>
      <w:r>
        <w:rPr>
          <w:rFonts w:ascii="Arial" w:cs="Arial" w:eastAsia="Arial" w:hAnsi="Arial"/>
          <w:b/>
          <w:bCs/>
          <w:sz w:val="26"/>
          <w:szCs w:val="26"/>
        </w:rPr>
        <w:t xml:space="preserve">The ANOVA Model for Crossover Designs</w:t>
      </w:r>
    </w:p>
    <w:p>
      <w:pPr>
        <w:spacing w:after="120" w:line="276"/>
      </w:pPr>
      <w:r>
        <w:rPr>
          <w:rFonts w:ascii="Arial" w:cs="Arial" w:eastAsia="Arial" w:hAnsi="Arial"/>
          <w:sz w:val="22"/>
          <w:szCs w:val="22"/>
        </w:rPr>
        <w:t xml:space="preserve">The standard model for a 2×2×2 crossover:</w:t>
      </w:r>
    </w:p>
    <w:p>
      <w:pPr>
        <w:spacing w:after="80" w:before="80"/>
        <w:ind w:left="720"/>
      </w:pPr>
      <w:r>
        <w:rPr>
          <w:rFonts w:ascii="Courier New" w:cs="Courier New" w:eastAsia="Courier New" w:hAnsi="Courier New"/>
          <w:color w:val="2C3E50"/>
          <w:sz w:val="21"/>
          <w:szCs w:val="21"/>
        </w:rPr>
        <w:t xml:space="preserve">ln(Y) = μ + SEQ + SUBJ(SEQ) + PER + TRT + ε</w:t>
      </w:r>
    </w:p>
    <w:p>
      <w:pPr>
        <w:spacing w:after="120" w:line="276"/>
      </w:pPr>
      <w:r>
        <w:rPr>
          <w:rFonts w:ascii="Arial" w:cs="Arial" w:eastAsia="Arial" w:hAnsi="Arial"/>
          <w:sz w:val="22"/>
          <w:szCs w:val="22"/>
        </w:rPr>
        <w:t xml:space="preserve">SEQ accounts for baseline differences between sequence groups. SUBJ removes between-subject variability from the residual. PER accounts for changes between visits. TRT is the effect of interest. The treatment coefficient estimates the log-ratio of geometric means.</w:t>
      </w:r>
    </w:p>
    <w:p>
      <w:pPr>
        <w:pStyle w:val="Heading2"/>
        <w:spacing w:after="160" w:before="280"/>
      </w:pPr>
      <w:r>
        <w:rPr>
          <w:rFonts w:ascii="Arial" w:cs="Arial" w:eastAsia="Arial" w:hAnsi="Arial"/>
          <w:b/>
          <w:bCs/>
          <w:sz w:val="26"/>
          <w:szCs w:val="26"/>
        </w:rPr>
        <w:t xml:space="preserve">Fixed-Effects vs. Mixed-Effects Models</w:t>
      </w:r>
    </w:p>
    <w:p>
      <w:pPr>
        <w:spacing w:after="120" w:line="276"/>
      </w:pPr>
      <w:r>
        <w:rPr>
          <w:rFonts w:ascii="Arial" w:cs="Arial" w:eastAsia="Arial" w:hAnsi="Arial"/>
          <w:sz w:val="22"/>
          <w:szCs w:val="22"/>
        </w:rPr>
        <w:t xml:space="preserve">Fixed-effects (lm): all terms including Subject are fixed. Valid for balanced data. Residual df = N − 2 for 2×2×2.</w:t>
      </w:r>
    </w:p>
    <w:p>
      <w:pPr>
        <w:spacing w:after="120" w:line="276"/>
      </w:pPr>
      <w:r>
        <w:rPr>
          <w:rFonts w:ascii="Arial" w:cs="Arial" w:eastAsia="Arial" w:hAnsi="Arial"/>
          <w:sz w:val="22"/>
          <w:szCs w:val="22"/>
        </w:rPr>
        <w:t xml:space="preserve">Mixed-effects (nlme::lme): Subject is a random effect. Handles dropouts, separates between- and within-subject variance. Uses the containment method for denominator df. FDA recommends mixed-effects; EMA accepts both.</w:t>
      </w:r>
    </w:p>
    <w:p>
      <w:pPr>
        <w:pStyle w:val="Heading2"/>
        <w:spacing w:after="160" w:before="280"/>
      </w:pPr>
      <w:r>
        <w:rPr>
          <w:rFonts w:ascii="Arial" w:cs="Arial" w:eastAsia="Arial" w:hAnsi="Arial"/>
          <w:b/>
          <w:bCs/>
          <w:sz w:val="26"/>
          <w:szCs w:val="26"/>
        </w:rPr>
        <w:t xml:space="preserve">Confidence Interval Construction</w:t>
      </w:r>
    </w:p>
    <w:p>
      <w:pPr>
        <w:spacing w:after="80" w:before="80"/>
        <w:ind w:left="720"/>
      </w:pPr>
      <w:r>
        <w:rPr>
          <w:rFonts w:ascii="Courier New" w:cs="Courier New" w:eastAsia="Courier New" w:hAnsi="Courier New"/>
          <w:color w:val="2C3E50"/>
          <w:sz w:val="21"/>
          <w:szCs w:val="21"/>
        </w:rPr>
        <w:t xml:space="preserve">90% CI = exp(δ ± t(0.95, df) × SE(δ)) × 100%</w:t>
      </w:r>
    </w:p>
    <w:p>
      <w:pPr>
        <w:spacing w:after="120" w:line="276"/>
      </w:pPr>
      <w:r>
        <w:rPr>
          <w:rFonts w:ascii="Arial" w:cs="Arial" w:eastAsia="Arial" w:hAnsi="Arial"/>
          <w:sz w:val="22"/>
          <w:szCs w:val="22"/>
        </w:rPr>
        <w:t xml:space="preserve">where δ is the treatment coefficient (log-scale), SE is from the model’s variance-covariance matrix, and df are the denominator degrees of freedom. If the entire interval falls within [80.00%, 125.00%], bioequivalence is concluded.</w:t>
      </w:r>
    </w:p>
    <w:p>
      <w:pPr>
        <w:pStyle w:val="Heading2"/>
        <w:spacing w:after="160" w:before="280"/>
      </w:pPr>
      <w:r>
        <w:rPr>
          <w:rFonts w:ascii="Arial" w:cs="Arial" w:eastAsia="Arial" w:hAnsi="Arial"/>
          <w:b/>
          <w:bCs/>
          <w:sz w:val="26"/>
          <w:szCs w:val="26"/>
        </w:rPr>
        <w:t xml:space="preserve">Design-Specific Models</w:t>
      </w:r>
    </w:p>
    <w:p>
      <w:pPr>
        <w:spacing w:after="120" w:line="276"/>
      </w:pPr>
      <w:r>
        <w:rPr>
          <w:rFonts w:ascii="Arial" w:cs="Arial" w:eastAsia="Arial" w:hAnsi="Arial"/>
          <w:b/>
          <w:bCs/>
          <w:sz w:val="22"/>
          <w:szCs w:val="22"/>
        </w:rPr>
        <w:t xml:space="preserve">Fixed-order crossover: </w:t>
      </w:r>
      <w:r>
        <w:rPr>
          <w:rFonts w:ascii="Arial" w:cs="Arial" w:eastAsia="Arial" w:hAnsi="Arial"/>
          <w:sz w:val="22"/>
          <w:szCs w:val="22"/>
        </w:rPr>
        <w:t xml:space="preserve">ln(Y) = μ + SUBJ + TRT + ε. Equivalent to a paired t-test. df = N − 1.</w:t>
      </w:r>
    </w:p>
    <w:p>
      <w:pPr>
        <w:spacing w:after="120" w:line="276"/>
      </w:pPr>
      <w:r>
        <w:rPr>
          <w:rFonts w:ascii="Arial" w:cs="Arial" w:eastAsia="Arial" w:hAnsi="Arial"/>
          <w:b/>
          <w:bCs/>
          <w:sz w:val="22"/>
          <w:szCs w:val="22"/>
        </w:rPr>
        <w:t xml:space="preserve">Parallel design: </w:t>
      </w:r>
      <w:r>
        <w:rPr>
          <w:rFonts w:ascii="Arial" w:cs="Arial" w:eastAsia="Arial" w:hAnsi="Arial"/>
          <w:sz w:val="22"/>
          <w:szCs w:val="22"/>
        </w:rPr>
        <w:t xml:space="preserve">ln(Y) = μ + TRT + ε. df = N</w:t>
      </w:r>
      <w:r>
        <w:rPr>
          <w:rFonts w:ascii="Arial" w:cs="Arial" w:eastAsia="Arial" w:hAnsi="Arial"/>
          <w:sz w:val="22"/>
          <w:szCs w:val="22"/>
          <w:vertAlign w:val="subscript"/>
        </w:rPr>
        <w:t xml:space="preserve">T</w:t>
      </w:r>
      <w:r>
        <w:rPr>
          <w:rFonts w:ascii="Arial" w:cs="Arial" w:eastAsia="Arial" w:hAnsi="Arial"/>
          <w:sz w:val="22"/>
          <w:szCs w:val="22"/>
        </w:rPr>
        <w:t xml:space="preserve"> + N</w:t>
      </w:r>
      <w:r>
        <w:rPr>
          <w:rFonts w:ascii="Arial" w:cs="Arial" w:eastAsia="Arial" w:hAnsi="Arial"/>
          <w:sz w:val="22"/>
          <w:szCs w:val="22"/>
          <w:vertAlign w:val="subscript"/>
        </w:rPr>
        <w:t xml:space="preserve">R</w:t>
      </w:r>
      <w:r>
        <w:rPr>
          <w:rFonts w:ascii="Arial" w:cs="Arial" w:eastAsia="Arial" w:hAnsi="Arial"/>
          <w:sz w:val="22"/>
          <w:szCs w:val="22"/>
        </w:rPr>
        <w:t xml:space="preserve"> − 2. Higher variability than crossover.</w:t>
      </w:r>
    </w:p>
    <w:p>
      <w:pPr>
        <w:spacing w:after="120" w:line="276"/>
      </w:pPr>
      <w:r>
        <w:rPr>
          <w:rFonts w:ascii="Arial" w:cs="Arial" w:eastAsia="Arial" w:hAnsi="Arial"/>
          <w:b/>
          <w:bCs/>
          <w:sz w:val="22"/>
          <w:szCs w:val="22"/>
        </w:rPr>
        <w:t xml:space="preserve">3-period and replicate: </w:t>
      </w:r>
      <w:r>
        <w:rPr>
          <w:rFonts w:ascii="Arial" w:cs="Arial" w:eastAsia="Arial" w:hAnsi="Arial"/>
          <w:sz w:val="22"/>
          <w:szCs w:val="22"/>
        </w:rPr>
        <w:t xml:space="preserve">Same model with Period having 3 or 4 levels. Standard ABE limits applied.</w:t>
      </w:r>
    </w:p>
    <w:p>
      <w:pPr>
        <w:pStyle w:val="Heading2"/>
        <w:spacing w:after="160" w:before="280"/>
      </w:pPr>
      <w:r>
        <w:rPr>
          <w:rFonts w:ascii="Arial" w:cs="Arial" w:eastAsia="Arial" w:hAnsi="Arial"/>
          <w:b/>
          <w:bCs/>
          <w:sz w:val="26"/>
          <w:szCs w:val="26"/>
        </w:rPr>
        <w:t xml:space="preserve">Drug–Drug Interaction Analysis</w:t>
      </w:r>
    </w:p>
    <w:p>
      <w:pPr>
        <w:spacing w:after="120" w:line="276"/>
      </w:pPr>
      <w:r>
        <w:rPr>
          <w:rFonts w:ascii="Arial" w:cs="Arial" w:eastAsia="Arial" w:hAnsi="Arial"/>
          <w:sz w:val="22"/>
          <w:szCs w:val="22"/>
        </w:rPr>
        <w:t xml:space="preserve">DDI studies use the same statistical framework as BE. The ANOVA model, 90% CI, and geometric mean ratio are computed identically. The difference is interpretation: the ratio quantifies the fold-change in exposure caused by the interacting drug, and the comparison is against DDI classification thresholds (see Part III) rather than BE acceptance limits.</w:t>
      </w:r>
    </w:p>
    <w:p>
      <w:pPr>
        <w:spacing w:after="120" w:line="276"/>
      </w:pPr>
      <w:r>
        <w:rPr>
          <w:rFonts w:ascii="Arial" w:cs="Arial" w:eastAsia="Arial" w:hAnsi="Arial"/>
          <w:sz w:val="22"/>
          <w:szCs w:val="22"/>
        </w:rPr>
        <w:t xml:space="preserve">The FDA Guidance for Industry on Drug Interaction Studies (2020) and the EMA Guideline on the Investigation of Drug Interactions (2012) both recommend reporting the geometric mean ratio and its 90% CI for AUC and C</w:t>
      </w:r>
      <w:r>
        <w:rPr>
          <w:rFonts w:ascii="Arial" w:cs="Arial" w:eastAsia="Arial" w:hAnsi="Arial"/>
          <w:sz w:val="22"/>
          <w:szCs w:val="22"/>
          <w:vertAlign w:val="subscript"/>
        </w:rPr>
        <w:t xml:space="preserve">max</w:t>
      </w:r>
      <w:r>
        <w:rPr>
          <w:rFonts w:ascii="Arial" w:cs="Arial" w:eastAsia="Arial" w:hAnsi="Arial"/>
          <w:sz w:val="22"/>
          <w:szCs w:val="22"/>
        </w:rPr>
        <w:t xml:space="preserve"> of the victim drug, comparing administration alone vs. with the perpetrator.</w:t>
      </w:r>
    </w:p>
    <w:p>
      <w:pPr>
        <w:pStyle w:val="Heading2"/>
        <w:spacing w:after="160" w:before="280"/>
      </w:pPr>
      <w:r>
        <w:rPr>
          <w:rFonts w:ascii="Arial" w:cs="Arial" w:eastAsia="Arial" w:hAnsi="Arial"/>
          <w:b/>
          <w:bCs/>
          <w:sz w:val="26"/>
          <w:szCs w:val="26"/>
        </w:rPr>
        <w:t xml:space="preserve">Power and Sample Size for Bioequivalence</w:t>
      </w:r>
    </w:p>
    <w:p>
      <w:pPr>
        <w:spacing w:after="120" w:line="276"/>
      </w:pPr>
      <w:r>
        <w:rPr>
          <w:rFonts w:ascii="Arial" w:cs="Arial" w:eastAsia="Arial" w:hAnsi="Arial"/>
          <w:sz w:val="22"/>
          <w:szCs w:val="22"/>
        </w:rPr>
        <w:t xml:space="preserve">Exact power via Owen’s Q function for standard ABE. Simulation-based (100,000 studies) for ABEL, RSABE, and NTID. Key inputs: within-subject CV, expected GMR, target power, design. Higher CV → more subjects. GMR further from 1.00 → more subjects. Crossover designs have more power than parallel at the same N.</w:t>
      </w:r>
    </w:p>
    <w:p>
      <w:pPr>
        <w:spacing w:after="80" w:line="276"/>
      </w:pPr>
      <w:r>
        <w:rPr>
          <w:rFonts w:ascii="Arial" w:cs="Arial" w:eastAsia="Arial" w:hAnsi="Arial"/>
          <w:color w:val="555555"/>
          <w:sz w:val="20"/>
          <w:szCs w:val="20"/>
        </w:rPr>
        <w:t xml:space="preserve">Practical guidance: assume CV = 30% if no data exist. Assume GMR = 0.95. Target power 0.80 (standard) or 0.90 (critical studies). Examine the sensitivity plot for robustness.</w:t>
      </w:r>
    </w:p>
    <w:p>
      <w:pPr>
        <w:pStyle w:val="Heading2"/>
        <w:spacing w:after="160" w:before="280"/>
      </w:pPr>
      <w:r>
        <w:rPr>
          <w:rFonts w:ascii="Arial" w:cs="Arial" w:eastAsia="Arial" w:hAnsi="Arial"/>
          <w:b/>
          <w:bCs/>
          <w:sz w:val="26"/>
          <w:szCs w:val="26"/>
        </w:rPr>
        <w:t xml:space="preserve">Regulatory Guidelines</w:t>
      </w:r>
    </w:p>
    <w:p>
      <w:pPr>
        <w:spacing w:after="120" w:line="276"/>
      </w:pPr>
      <w:r>
        <w:rPr>
          <w:rFonts w:ascii="Arial" w:cs="Arial" w:eastAsia="Arial" w:hAnsi="Arial"/>
          <w:b/>
          <w:bCs/>
          <w:sz w:val="22"/>
          <w:szCs w:val="22"/>
        </w:rPr>
        <w:t xml:space="preserve">EMA Guideline on Bioequivalence</w:t>
      </w:r>
      <w:r>
        <w:rPr>
          <w:rFonts w:ascii="Arial" w:cs="Arial" w:eastAsia="Arial" w:hAnsi="Arial"/>
          <w:sz w:val="22"/>
          <w:szCs w:val="22"/>
        </w:rPr>
        <w:t xml:space="preserve"> (CPMP/EWP/QWP/1401/98 Rev. 1, 2010): https://www.ema.europa.eu/en/investigation-bioequivalence-scientific-guideline</w:t>
      </w:r>
    </w:p>
    <w:p>
      <w:pPr>
        <w:spacing w:after="120" w:line="276"/>
      </w:pPr>
      <w:r>
        <w:rPr>
          <w:rFonts w:ascii="Arial" w:cs="Arial" w:eastAsia="Arial" w:hAnsi="Arial"/>
          <w:b/>
          <w:bCs/>
          <w:sz w:val="22"/>
          <w:szCs w:val="22"/>
        </w:rPr>
        <w:t xml:space="preserve">FDA Statistical Approaches to Establishing Bioequivalence</w:t>
      </w:r>
      <w:r>
        <w:rPr>
          <w:rFonts w:ascii="Arial" w:cs="Arial" w:eastAsia="Arial" w:hAnsi="Arial"/>
          <w:sz w:val="22"/>
          <w:szCs w:val="22"/>
        </w:rPr>
        <w:t xml:space="preserve"> (2001): https://www.fda.gov/regulatory-information/search-fda-guidance-documents/statistical-approaches-establishing-bioequivalence</w:t>
      </w:r>
    </w:p>
    <w:p>
      <w:pPr>
        <w:spacing w:after="120" w:line="276"/>
      </w:pPr>
      <w:r>
        <w:rPr>
          <w:rFonts w:ascii="Arial" w:cs="Arial" w:eastAsia="Arial" w:hAnsi="Arial"/>
          <w:b/>
          <w:bCs/>
          <w:sz w:val="22"/>
          <w:szCs w:val="22"/>
        </w:rPr>
        <w:t xml:space="preserve">FDA Bioavailability and Bioequivalence Studies</w:t>
      </w:r>
      <w:r>
        <w:rPr>
          <w:rFonts w:ascii="Arial" w:cs="Arial" w:eastAsia="Arial" w:hAnsi="Arial"/>
          <w:sz w:val="22"/>
          <w:szCs w:val="22"/>
        </w:rPr>
        <w:t xml:space="preserve"> (2003): https://www.fda.gov/regulatory-information/search-fda-guidance-documents/bioavailability-and-bioequivalence-studies-submitted-ndas-or-inds-general-considerations</w:t>
      </w:r>
    </w:p>
    <w:p>
      <w:pPr>
        <w:spacing w:after="120" w:line="276"/>
      </w:pPr>
      <w:r>
        <w:rPr>
          <w:rFonts w:ascii="Arial" w:cs="Arial" w:eastAsia="Arial" w:hAnsi="Arial"/>
          <w:b/>
          <w:bCs/>
          <w:sz w:val="22"/>
          <w:szCs w:val="22"/>
        </w:rPr>
        <w:t xml:space="preserve">FDA Clinical Drug Interaction Studies</w:t>
      </w:r>
      <w:r>
        <w:rPr>
          <w:rFonts w:ascii="Arial" w:cs="Arial" w:eastAsia="Arial" w:hAnsi="Arial"/>
          <w:sz w:val="22"/>
          <w:szCs w:val="22"/>
        </w:rPr>
        <w:t xml:space="preserve"> (2020): https://www.fda.gov/regulatory-information/search-fda-guidance-documents/clinical-drug-interaction-studies-guidance-industry</w:t>
      </w:r>
    </w:p>
    <w:p>
      <w:pPr>
        <w:spacing w:after="120" w:line="276"/>
      </w:pPr>
      <w:r>
        <w:rPr>
          <w:rFonts w:ascii="Arial" w:cs="Arial" w:eastAsia="Arial" w:hAnsi="Arial"/>
          <w:b/>
          <w:bCs/>
          <w:sz w:val="22"/>
          <w:szCs w:val="22"/>
        </w:rPr>
        <w:t xml:space="preserve">EMA Guideline on Drug Interactions</w:t>
      </w:r>
      <w:r>
        <w:rPr>
          <w:rFonts w:ascii="Arial" w:cs="Arial" w:eastAsia="Arial" w:hAnsi="Arial"/>
          <w:sz w:val="22"/>
          <w:szCs w:val="22"/>
        </w:rPr>
        <w:t xml:space="preserve"> (2012): https://www.ema.europa.eu/en/investigation-drug-interactions-scientific-guideline</w:t>
      </w:r>
    </w:p>
    <w:p>
      <w:pPr>
        <w:spacing w:after="120" w:line="276"/>
      </w:pPr>
      <w:r>
        <w:rPr>
          <w:rFonts w:ascii="Arial" w:cs="Arial" w:eastAsia="Arial" w:hAnsi="Arial"/>
          <w:b/>
          <w:bCs/>
          <w:sz w:val="22"/>
          <w:szCs w:val="22"/>
        </w:rPr>
        <w:t xml:space="preserve">ICH M3(R2)</w:t>
      </w:r>
      <w:r>
        <w:rPr>
          <w:rFonts w:ascii="Arial" w:cs="Arial" w:eastAsia="Arial" w:hAnsi="Arial"/>
          <w:sz w:val="22"/>
          <w:szCs w:val="22"/>
        </w:rPr>
        <w:t xml:space="preserve">: https://www.ich.org/page/multidisciplinary-guidelines</w:t>
      </w:r>
    </w:p>
    <w:p>
      <w:r>
        <w:br w:type="page"/>
      </w:r>
    </w:p>
    <w:p>
      <w:pPr>
        <w:pStyle w:val="Heading1"/>
        <w:spacing w:after="200" w:before="360"/>
      </w:pPr>
      <w:r>
        <w:rPr>
          <w:rFonts w:ascii="Arial" w:cs="Arial" w:eastAsia="Arial" w:hAnsi="Arial"/>
          <w:b/>
          <w:bCs/>
          <w:sz w:val="32"/>
          <w:szCs w:val="32"/>
        </w:rPr>
        <w:t xml:space="preserve">Appendices</w:t>
      </w:r>
    </w:p>
    <w:p>
      <w:pPr>
        <w:pStyle w:val="Heading2"/>
        <w:spacing w:after="160" w:before="280"/>
      </w:pPr>
      <w:r>
        <w:rPr>
          <w:rFonts w:ascii="Arial" w:cs="Arial" w:eastAsia="Arial" w:hAnsi="Arial"/>
          <w:b/>
          <w:bCs/>
          <w:sz w:val="26"/>
          <w:szCs w:val="26"/>
        </w:rPr>
        <w:t xml:space="preserve">Appendix A: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Abbreviation</w:t>
            </w:r>
          </w:p>
        </w:tc>
        <w:tc>
          <w:tcPr>
            <w:tcW w:type="dxa" w:w="6826"/>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Definition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ABE</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Average Bioequivalence (fixed 80–125% limits)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ABEL</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Average Bioequivalence with Expanding Limits (EMA, for HVDs)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ANOVA</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Analysis of Variance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AUC</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Area Under the Curve (total drug exposure)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AUCτ</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AUC within the dosing interval (steady state)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BLQ</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Below the Limit of Quantification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CL/F</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Apparent clearance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Cmax</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Maximum observed concentration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CV%</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Coefficient of Variation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DDI</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Drug–Drug Interaction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GMR</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Geometric Mean Ratio (Test/Reference)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HVD</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Highly Variable Drug (CV &gt; 30%)</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LLOQ</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Lower Limit of Quantification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MRT</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Mean Residence Time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NCA</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Non-Compartmental Analysis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NTID</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Narrow Therapeutic Index Drug</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RSABE</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Reference-Scaled Average Bioequivalence (FDA, for HVDs)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TOST</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Two One-Sided Tests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Tmax</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Time of maximum observed concentration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t½</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Terminal elimination half-life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Vz/F</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Apparent volume of distribution (terminal phase)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λz</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Terminal elimination rate constant</w:t>
            </w:r>
          </w:p>
        </w:tc>
      </w:tr>
    </w:tbl>
    <w:p>
      <w:pPr>
        <w:pStyle w:val="Heading2"/>
        <w:spacing w:after="160" w:before="280"/>
      </w:pPr>
      <w:r>
        <w:rPr>
          <w:rFonts w:ascii="Arial" w:cs="Arial" w:eastAsia="Arial" w:hAnsi="Arial"/>
          <w:b/>
          <w:bCs/>
          <w:sz w:val="26"/>
          <w:szCs w:val="26"/>
        </w:rPr>
        <w:t xml:space="preserve">Appendix B: Recognised Column Names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Meaning</w:t>
            </w:r>
          </w:p>
        </w:tc>
        <w:tc>
          <w:tcPr>
            <w:tcW w:type="dxa" w:w="6826"/>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Recognised names (case-insensitive)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Subject</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Subject, SubjectID, USUBJID, ID, Pat, PatID, Proband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Time</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Time, Hours, Hour, Tpt, NTIM, APTS, Zeit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Concentration</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Conc, Concentration, DV, Cp, Result, Konz, Plasma</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Treatment</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Treatment, Trt, Formulation, Drug, Arm</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Period</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Period, Per, Prd, Phase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Sequence</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Sequence, Seq, Grp</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Dose</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Dose, Amt, Amount</w:t>
            </w:r>
          </w:p>
        </w:tc>
      </w:tr>
    </w:tbl>
    <w:p>
      <w:pPr>
        <w:pStyle w:val="Heading2"/>
        <w:spacing w:after="160" w:before="280"/>
      </w:pPr>
      <w:r>
        <w:rPr>
          <w:rFonts w:ascii="Arial" w:cs="Arial" w:eastAsia="Arial" w:hAnsi="Arial"/>
          <w:b/>
          <w:bCs/>
          <w:sz w:val="26"/>
          <w:szCs w:val="26"/>
        </w:rPr>
        <w:t xml:space="preserve">Appendix C: Troubleshooting</w:t>
      </w:r>
    </w:p>
    <w:p>
      <w:pPr>
        <w:spacing w:after="120" w:line="276"/>
      </w:pPr>
      <w:r>
        <w:rPr>
          <w:rFonts w:ascii="Arial" w:cs="Arial" w:eastAsia="Arial" w:hAnsi="Arial"/>
          <w:b/>
          <w:bCs/>
          <w:sz w:val="22"/>
          <w:szCs w:val="22"/>
        </w:rPr>
        <w:t xml:space="preserve">“Disconnected from the server”</w:t>
      </w:r>
      <w:r>
        <w:rPr>
          <w:rFonts w:ascii="Arial" w:cs="Arial" w:eastAsia="Arial" w:hAnsi="Arial"/>
          <w:sz w:val="22"/>
          <w:szCs w:val="22"/>
        </w:rPr>
        <w:t xml:space="preserve"> — Analysis exceeded memory or time limits. Run locally in RStudio.</w:t>
      </w:r>
    </w:p>
    <w:p>
      <w:pPr>
        <w:spacing w:after="120" w:line="276"/>
      </w:pPr>
      <w:r>
        <w:rPr>
          <w:rFonts w:ascii="Arial" w:cs="Arial" w:eastAsia="Arial" w:hAnsi="Arial"/>
          <w:b/>
          <w:bCs/>
          <w:sz w:val="22"/>
          <w:szCs w:val="22"/>
        </w:rPr>
        <w:t xml:space="preserve">“Error: An error has occurred”</w:t>
      </w:r>
      <w:r>
        <w:rPr>
          <w:rFonts w:ascii="Arial" w:cs="Arial" w:eastAsia="Arial" w:hAnsi="Arial"/>
          <w:sz w:val="22"/>
          <w:szCs w:val="22"/>
        </w:rPr>
        <w:t xml:space="preserve"> — Usually NA values reaching a log-scale plot. Check BLQ processing (LLOQ &gt; 0).</w:t>
      </w:r>
    </w:p>
    <w:p>
      <w:pPr>
        <w:spacing w:after="120" w:line="276"/>
      </w:pPr>
      <w:r>
        <w:rPr>
          <w:rFonts w:ascii="Arial" w:cs="Arial" w:eastAsia="Arial" w:hAnsi="Arial"/>
          <w:b/>
          <w:bCs/>
          <w:sz w:val="22"/>
          <w:szCs w:val="22"/>
        </w:rPr>
        <w:t xml:space="preserve">Individual profiles tab is blank</w:t>
      </w:r>
      <w:r>
        <w:rPr>
          <w:rFonts w:ascii="Arial" w:cs="Arial" w:eastAsia="Arial" w:hAnsi="Arial"/>
          <w:sz w:val="22"/>
          <w:szCs w:val="22"/>
        </w:rPr>
        <w:t xml:space="preserve"> — Fixed in v1.0. If the plot does not appear, reload the page.</w:t>
      </w:r>
    </w:p>
    <w:p>
      <w:pPr>
        <w:spacing w:after="120" w:line="276"/>
      </w:pPr>
      <w:r>
        <w:rPr>
          <w:rFonts w:ascii="Arial" w:cs="Arial" w:eastAsia="Arial" w:hAnsi="Arial"/>
          <w:b/>
          <w:bCs/>
          <w:sz w:val="22"/>
          <w:szCs w:val="22"/>
        </w:rPr>
        <w:t xml:space="preserve">Half-life differs from WinNonlin</w:t>
      </w:r>
      <w:r>
        <w:rPr>
          <w:rFonts w:ascii="Arial" w:cs="Arial" w:eastAsia="Arial" w:hAnsi="Arial"/>
          <w:sz w:val="22"/>
          <w:szCs w:val="22"/>
        </w:rPr>
        <w:t xml:space="preserve"> — Check R² threshold and point selection in the Half-Life Review tab.</w:t>
      </w:r>
    </w:p>
    <w:p>
      <w:pPr>
        <w:spacing w:after="120" w:line="276"/>
      </w:pPr>
      <w:r>
        <w:rPr>
          <w:rFonts w:ascii="Arial" w:cs="Arial" w:eastAsia="Arial" w:hAnsi="Arial"/>
          <w:b/>
          <w:bCs/>
          <w:sz w:val="22"/>
          <w:szCs w:val="22"/>
        </w:rPr>
        <w:t xml:space="preserve">Comma decimals not recognised</w:t>
      </w:r>
      <w:r>
        <w:rPr>
          <w:rFonts w:ascii="Arial" w:cs="Arial" w:eastAsia="Arial" w:hAnsi="Arial"/>
          <w:sz w:val="22"/>
          <w:szCs w:val="22"/>
        </w:rPr>
        <w:t xml:space="preserve"> — Convert to period decimals before uploading (see Part II).</w:t>
      </w:r>
    </w:p>
    <w:p>
      <w:pPr>
        <w:pStyle w:val="Heading2"/>
        <w:spacing w:after="160" w:before="280"/>
      </w:pPr>
      <w:r>
        <w:rPr>
          <w:rFonts w:ascii="Arial" w:cs="Arial" w:eastAsia="Arial" w:hAnsi="Arial"/>
          <w:b/>
          <w:bCs/>
          <w:sz w:val="26"/>
          <w:szCs w:val="26"/>
        </w:rPr>
        <w:t xml:space="preserve">Appendix D: Software References</w:t>
      </w:r>
    </w:p>
    <w:p>
      <w:pPr>
        <w:spacing w:after="120" w:line="276"/>
      </w:pPr>
      <w:r>
        <w:rPr>
          <w:rFonts w:ascii="Arial" w:cs="Arial" w:eastAsia="Arial" w:hAnsi="Arial"/>
          <w:sz w:val="22"/>
          <w:szCs w:val="22"/>
        </w:rPr>
        <w:t xml:space="preserve">Beal SL. Ways to fit a PK model with some data below the quantification limit. </w:t>
      </w:r>
      <w:r>
        <w:rPr>
          <w:rFonts w:ascii="Arial" w:cs="Arial" w:eastAsia="Arial" w:hAnsi="Arial"/>
          <w:i/>
          <w:iCs/>
          <w:sz w:val="22"/>
          <w:szCs w:val="22"/>
        </w:rPr>
        <w:t xml:space="preserve">J Pharmacokinet Pharmacodyn</w:t>
      </w:r>
      <w:r>
        <w:rPr>
          <w:rFonts w:ascii="Arial" w:cs="Arial" w:eastAsia="Arial" w:hAnsi="Arial"/>
          <w:sz w:val="22"/>
          <w:szCs w:val="22"/>
        </w:rPr>
        <w:t xml:space="preserve">. 2001;28(5):481–504.</w:t>
      </w:r>
    </w:p>
    <w:p>
      <w:pPr>
        <w:spacing w:after="120" w:line="276"/>
      </w:pPr>
      <w:r>
        <w:rPr>
          <w:rFonts w:ascii="Arial" w:cs="Arial" w:eastAsia="Arial" w:hAnsi="Arial"/>
          <w:sz w:val="22"/>
          <w:szCs w:val="22"/>
        </w:rPr>
        <w:t xml:space="preserve">Kim H, et al. NonCompart: Noncompartmental Analysis for Pharmacokinetic Data. </w:t>
      </w:r>
      <w:r>
        <w:rPr>
          <w:rFonts w:ascii="Arial" w:cs="Arial" w:eastAsia="Arial" w:hAnsi="Arial"/>
          <w:i/>
          <w:iCs/>
          <w:sz w:val="22"/>
          <w:szCs w:val="22"/>
        </w:rPr>
        <w:t xml:space="preserve">Transl Clin Pharmacol</w:t>
      </w:r>
      <w:r>
        <w:rPr>
          <w:rFonts w:ascii="Arial" w:cs="Arial" w:eastAsia="Arial" w:hAnsi="Arial"/>
          <w:sz w:val="22"/>
          <w:szCs w:val="22"/>
        </w:rPr>
        <w:t xml:space="preserve">. 2018;26(1):10–15.</w:t>
      </w:r>
    </w:p>
    <w:p>
      <w:pPr>
        <w:spacing w:after="120" w:line="276"/>
      </w:pPr>
      <w:r>
        <w:rPr>
          <w:rFonts w:ascii="Arial" w:cs="Arial" w:eastAsia="Arial" w:hAnsi="Arial"/>
          <w:sz w:val="22"/>
          <w:szCs w:val="22"/>
        </w:rPr>
        <w:t xml:space="preserve">Labes D, Schütz H, Lang B. PowerTOST: Power and Sample Size for (Bio)Equivalence Studies. R package.</w:t>
      </w:r>
    </w:p>
    <w:p>
      <w:pPr>
        <w:spacing w:after="120" w:line="276"/>
      </w:pPr>
      <w:r>
        <w:rPr>
          <w:rFonts w:ascii="Arial" w:cs="Arial" w:eastAsia="Arial" w:hAnsi="Arial"/>
          <w:sz w:val="22"/>
          <w:szCs w:val="22"/>
        </w:rPr>
        <w:t xml:space="preserve">Owen DB. A special case of a bivariate non-central t-distribution. </w:t>
      </w:r>
      <w:r>
        <w:rPr>
          <w:rFonts w:ascii="Arial" w:cs="Arial" w:eastAsia="Arial" w:hAnsi="Arial"/>
          <w:i/>
          <w:iCs/>
          <w:sz w:val="22"/>
          <w:szCs w:val="22"/>
        </w:rPr>
        <w:t xml:space="preserve">Biometrika</w:t>
      </w:r>
      <w:r>
        <w:rPr>
          <w:rFonts w:ascii="Arial" w:cs="Arial" w:eastAsia="Arial" w:hAnsi="Arial"/>
          <w:sz w:val="22"/>
          <w:szCs w:val="22"/>
        </w:rPr>
        <w:t xml:space="preserve">. 1965;52(3/4):437–446.</w:t>
      </w:r>
    </w:p>
    <w:p>
      <w:pPr>
        <w:spacing w:after="120" w:line="276"/>
      </w:pPr>
      <w:r>
        <w:rPr>
          <w:rFonts w:ascii="Arial" w:cs="Arial" w:eastAsia="Arial" w:hAnsi="Arial"/>
          <w:sz w:val="22"/>
          <w:szCs w:val="22"/>
        </w:rPr>
        <w:t xml:space="preserve">Pinheiro JC, Bates DM. </w:t>
      </w:r>
      <w:r>
        <w:rPr>
          <w:rFonts w:ascii="Arial" w:cs="Arial" w:eastAsia="Arial" w:hAnsi="Arial"/>
          <w:i/>
          <w:iCs/>
          <w:sz w:val="22"/>
          <w:szCs w:val="22"/>
        </w:rPr>
        <w:t xml:space="preserve">Mixed-Effects Models in S and S-PLUS</w:t>
      </w:r>
      <w:r>
        <w:rPr>
          <w:rFonts w:ascii="Arial" w:cs="Arial" w:eastAsia="Arial" w:hAnsi="Arial"/>
          <w:sz w:val="22"/>
          <w:szCs w:val="22"/>
        </w:rPr>
        <w:t xml:space="preserve">. Springer, 2000.</w:t>
      </w:r>
    </w:p>
    <w:p>
      <w:pPr>
        <w:spacing w:after="120" w:line="276"/>
      </w:pPr>
      <w:r>
        <w:rPr>
          <w:rFonts w:ascii="Arial" w:cs="Arial" w:eastAsia="Arial" w:hAnsi="Arial"/>
          <w:sz w:val="22"/>
          <w:szCs w:val="22"/>
        </w:rPr>
        <w:t xml:space="preserve">Schuirmann DJ. A comparison of the two one-sided tests procedure and the power approach. </w:t>
      </w:r>
      <w:r>
        <w:rPr>
          <w:rFonts w:ascii="Arial" w:cs="Arial" w:eastAsia="Arial" w:hAnsi="Arial"/>
          <w:i/>
          <w:iCs/>
          <w:sz w:val="22"/>
          <w:szCs w:val="22"/>
        </w:rPr>
        <w:t xml:space="preserve">J Pharmacokinet Biopharm</w:t>
      </w:r>
      <w:r>
        <w:rPr>
          <w:rFonts w:ascii="Arial" w:cs="Arial" w:eastAsia="Arial" w:hAnsi="Arial"/>
          <w:sz w:val="22"/>
          <w:szCs w:val="22"/>
        </w:rPr>
        <w:t xml:space="preserve">. 1987;15(6):657–680.</w:t>
      </w:r>
    </w:p>
    <w:p>
      <w:pPr>
        <w:spacing w:after="120" w:line="276"/>
      </w:pPr>
      <w:r>
        <w:rPr>
          <w:rFonts w:ascii="Arial" w:cs="Arial" w:eastAsia="Arial" w:hAnsi="Arial"/>
          <w:sz w:val="22"/>
          <w:szCs w:val="22"/>
        </w:rPr>
        <w:t xml:space="preserve">Yeh KC, Kwan KC. A comparison of numerical integrating algorithms by trapezoidal, Lagrange, and spline approximation. </w:t>
      </w:r>
      <w:r>
        <w:rPr>
          <w:rFonts w:ascii="Arial" w:cs="Arial" w:eastAsia="Arial" w:hAnsi="Arial"/>
          <w:i/>
          <w:iCs/>
          <w:sz w:val="22"/>
          <w:szCs w:val="22"/>
        </w:rPr>
        <w:t xml:space="preserve">J Pharmacokinet Biopharm</w:t>
      </w:r>
      <w:r>
        <w:rPr>
          <w:rFonts w:ascii="Arial" w:cs="Arial" w:eastAsia="Arial" w:hAnsi="Arial"/>
          <w:sz w:val="22"/>
          <w:szCs w:val="22"/>
        </w:rPr>
        <w:t xml:space="preserve">. 1978;6(1):79–98.</w:t>
      </w:r>
    </w:p>
    <w:p>
      <w:pPr>
        <w:spacing w:after="120" w:line="276"/>
      </w:pPr>
      <w:r>
        <w:rPr>
          <w:rFonts w:ascii="Arial" w:cs="Arial" w:eastAsia="Arial" w:hAnsi="Arial"/>
          <w:sz w:val="22"/>
          <w:szCs w:val="22"/>
        </w:rPr>
        <w:t xml:space="preserve">R Core Team. R: A Language and Environment for Statistical Computing. Vienna, Austria.</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NCA Assistant — User Manual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3498DB"/>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2C3E5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2026-04-04T08:35:10.703Z</dcterms:created>
  <dcterms:modified xsi:type="dcterms:W3CDTF">2026-04-04T08:35:10.704Z</dcterms:modified>
</cp:coreProperties>
</file>

<file path=docProps/custom.xml><?xml version="1.0" encoding="utf-8"?>
<Properties xmlns="http://schemas.openxmlformats.org/officeDocument/2006/custom-properties" xmlns:vt="http://schemas.openxmlformats.org/officeDocument/2006/docPropsVTypes"/>
</file>