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1DD43" w14:textId="77777777" w:rsidR="00631871" w:rsidRDefault="00631871">
      <w:pPr>
        <w:spacing w:before="3000"/>
      </w:pPr>
    </w:p>
    <w:p w14:paraId="08122C82" w14:textId="77777777" w:rsidR="00631871" w:rsidRDefault="0013387A">
      <w:pPr>
        <w:spacing w:after="200"/>
        <w:jc w:val="center"/>
      </w:pPr>
      <w:r>
        <w:rPr>
          <w:b/>
          <w:bCs/>
          <w:color w:val="2C3E50"/>
          <w:sz w:val="52"/>
          <w:szCs w:val="52"/>
        </w:rPr>
        <w:t>NCA Assistant</w:t>
      </w:r>
    </w:p>
    <w:p w14:paraId="3C42308C" w14:textId="77777777" w:rsidR="00631871" w:rsidRDefault="0013387A">
      <w:pPr>
        <w:spacing w:after="100"/>
        <w:jc w:val="center"/>
      </w:pPr>
      <w:r>
        <w:rPr>
          <w:color w:val="3498DB"/>
          <w:sz w:val="36"/>
          <w:szCs w:val="36"/>
        </w:rPr>
        <w:t>User Manual</w:t>
      </w:r>
    </w:p>
    <w:p w14:paraId="524D42F9" w14:textId="77777777" w:rsidR="00631871" w:rsidRDefault="0013387A">
      <w:pPr>
        <w:spacing w:after="400"/>
        <w:jc w:val="center"/>
      </w:pPr>
      <w:r>
        <w:rPr>
          <w:color w:val="7F8C8D"/>
          <w:sz w:val="24"/>
          <w:szCs w:val="24"/>
        </w:rPr>
        <w:t>Version 1.3</w:t>
      </w:r>
    </w:p>
    <w:p w14:paraId="790F3BAC" w14:textId="77777777" w:rsidR="00631871" w:rsidRDefault="0013387A">
      <w:pPr>
        <w:spacing w:after="100"/>
        <w:jc w:val="center"/>
      </w:pPr>
      <w:r>
        <w:rPr>
          <w:sz w:val="24"/>
          <w:szCs w:val="24"/>
        </w:rPr>
        <w:t>Non-Compartmental Pharmacokinetic Analysis</w:t>
      </w:r>
    </w:p>
    <w:p w14:paraId="587120EE" w14:textId="77777777" w:rsidR="00631871" w:rsidRDefault="0013387A">
      <w:pPr>
        <w:spacing w:after="100"/>
        <w:jc w:val="center"/>
      </w:pPr>
      <w:r>
        <w:rPr>
          <w:sz w:val="24"/>
          <w:szCs w:val="24"/>
        </w:rPr>
        <w:t>Bioequivalence Testing • Drug Interaction Studies • Power &amp; Sample Size</w:t>
      </w:r>
    </w:p>
    <w:p w14:paraId="07093670" w14:textId="77777777" w:rsidR="00631871" w:rsidRDefault="0013387A">
      <w:pPr>
        <w:spacing w:before="800"/>
        <w:jc w:val="center"/>
      </w:pPr>
      <w:r>
        <w:rPr>
          <w:i/>
          <w:iCs/>
        </w:rPr>
        <w:t>Radboud Applied Pharmacometrics</w:t>
      </w:r>
    </w:p>
    <w:p w14:paraId="077A105A" w14:textId="77777777" w:rsidR="00631871" w:rsidRDefault="0013387A">
      <w:pPr>
        <w:jc w:val="center"/>
      </w:pPr>
      <w:r>
        <w:rPr>
          <w:i/>
          <w:iCs/>
        </w:rPr>
        <w:t>Radboudumc, Nijmegen, The Netherlands</w:t>
      </w:r>
    </w:p>
    <w:p w14:paraId="5B035768" w14:textId="77777777" w:rsidR="00631871" w:rsidRDefault="0013387A">
      <w:pPr>
        <w:jc w:val="center"/>
      </w:pPr>
      <w:r>
        <w:rPr>
          <w:i/>
          <w:iCs/>
          <w:color w:val="555555"/>
          <w:sz w:val="20"/>
          <w:szCs w:val="20"/>
        </w:rPr>
        <w:t>Designed and developed by Rob ter Heine (hospital pharmacist–clinical pharmacologist, Radboudumc)</w:t>
      </w:r>
    </w:p>
    <w:p w14:paraId="70D1FFDE" w14:textId="77777777" w:rsidR="00631871" w:rsidRDefault="0013387A">
      <w:pPr>
        <w:spacing w:before="400"/>
        <w:jc w:val="center"/>
      </w:pPr>
      <w:r>
        <w:rPr>
          <w:color w:val="999999"/>
          <w:sz w:val="18"/>
          <w:szCs w:val="18"/>
        </w:rPr>
        <w:t>Manual version 1.3 — corresponds to NCA Assistant v1.2</w:t>
      </w:r>
    </w:p>
    <w:p w14:paraId="4351EA2C" w14:textId="77777777" w:rsidR="00631871" w:rsidRDefault="0013387A">
      <w:r>
        <w:br w:type="page"/>
      </w:r>
    </w:p>
    <w:p w14:paraId="389183D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EF91152"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7C5BA6"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C924"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35621D"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B01CBEE" w14:textId="77777777" w:rsidR="00631871" w:rsidRDefault="0013387A">
            <w:r>
              <w:rPr>
                <w:b/>
                <w:bCs/>
                <w:color w:val="FFFFFF"/>
                <w:sz w:val="20"/>
                <w:szCs w:val="20"/>
              </w:rPr>
              <w:t>Changes</w:t>
            </w:r>
          </w:p>
        </w:tc>
      </w:tr>
      <w:tr w:rsidR="00631871" w14:paraId="00717CB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68E8"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75842"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1BCD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71870" w14:textId="77777777" w:rsidR="00631871" w:rsidRDefault="0013387A">
            <w:r>
              <w:rPr>
                <w:sz w:val="20"/>
                <w:szCs w:val="20"/>
              </w:rPr>
              <w:t>Initial release</w:t>
            </w:r>
          </w:p>
        </w:tc>
      </w:tr>
      <w:tr w:rsidR="00631871" w14:paraId="6F88FAF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983D2"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2C9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7CA1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0B47E" w14:textId="77777777" w:rsidR="00631871" w:rsidRDefault="0013387A">
            <w:r>
              <w:rPr>
                <w:sz w:val="20"/>
                <w:szCs w:val="20"/>
              </w:rPr>
              <w:t>Added theoretical background (Part V), expanded statistical methods (Part VI), DDI study analysis, decimal separator guidance</w:t>
            </w:r>
          </w:p>
        </w:tc>
      </w:tr>
      <w:tr w:rsidR="00631871" w14:paraId="5278723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0FAF2"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803B0"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22E76"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D2F33"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4FF279F1"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25C0A"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A20FE"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2963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F36CC" w14:textId="77777777" w:rsidR="00631871" w:rsidRDefault="0013387A">
            <w:r>
              <w:rPr>
                <w:sz w:val="20"/>
                <w:szCs w:val="20"/>
              </w:rPr>
              <w:t>New chapter 3 (Visualize Data); chapters 3–5 renumbered to 4–6; hub layout updated to 3+3 grid; attribution updated</w:t>
            </w:r>
          </w:p>
        </w:tc>
      </w:tr>
    </w:tbl>
    <w:p w14:paraId="71C1CA9E" w14:textId="77777777" w:rsidR="00631871" w:rsidRDefault="0013387A">
      <w:r>
        <w:br w:type="page"/>
      </w:r>
    </w:p>
    <w:p w14:paraId="3287032A" w14:textId="77777777" w:rsidR="00631871" w:rsidRDefault="0013387A">
      <w:pPr>
        <w:pStyle w:val="Kop1"/>
      </w:pPr>
      <w:bookmarkStart w:id="1" w:name="_Toc226195250"/>
      <w:r>
        <w:lastRenderedPageBreak/>
        <w:t>Table of Contents</w:t>
      </w:r>
      <w:bookmarkEnd w:id="1"/>
    </w:p>
    <w:sdt>
      <w:sdtPr>
        <w:alias w:val="Table of Contents"/>
        <w:id w:val="-1533791606"/>
      </w:sdtPr>
      <w:sdtContent>
        <w:p w14:paraId="00912E2A" w14:textId="77777777" w:rsidR="00FF78BB" w:rsidRDefault="0013387A">
          <w:pPr>
            <w:pStyle w:val="Inhopg1"/>
            <w:tabs>
              <w:tab w:val="right" w:leader="dot" w:pos="9016"/>
            </w:tabs>
            <w:rPr>
              <w:noProof/>
            </w:rPr>
          </w:pPr>
          <w:r>
            <w:fldChar w:fldCharType="begin"/>
            <w:instrText>TOC \h \o "1-3"</w:instrText>
            <w:fldChar w:fldCharType="separate"/>
          </w:r>
          <w:hyperlink w:anchor="_Toc226195249" w:history="1">
            <w:r>
              <w:rPr>
                <w:rStyle w:val="Hyperlink"/>
                <w:noProof/>
              </w:rPr>
              <w:t>Document Control</w:t>
            </w:r>
            <w:r>
              <w:rPr>
                <w:noProof/>
              </w:rPr>
              <w:tab/>
              <w:fldChar w:fldCharType="begin"/>
              <w:instrText xml:space="preserve"> PAGEREF _Toc226195249 \h </w:instrText>
              <w:fldChar w:fldCharType="separate"/>
              <w:t>2</w:t>
              <w:fldChar w:fldCharType="end"/>
            </w:r>
          </w:hyperlink>
        </w:p>
        <w:p w14:paraId="5CA4B4CF" w14:textId="77777777" w:rsidR="00FF78BB" w:rsidRDefault="00FF78BB">
          <w:pPr>
            <w:pStyle w:val="Inhopg1"/>
            <w:tabs>
              <w:tab w:val="right" w:leader="dot" w:pos="9016"/>
            </w:tabs>
            <w:rPr>
              <w:noProof/>
            </w:rPr>
          </w:pPr>
          <w:hyperlink w:anchor="_Toc226195250" w:history="1">
            <w:r>
              <w:rPr>
                <w:rStyle w:val="Hyperlink"/>
                <w:noProof/>
              </w:rPr>
              <w:t>Table of Contents</w:t>
            </w:r>
            <w:r>
              <w:rPr>
                <w:noProof/>
              </w:rPr>
              <w:tab/>
              <w:fldChar w:fldCharType="begin"/>
              <w:instrText xml:space="preserve"> PAGEREF _Toc226195250 \h </w:instrText>
              <w:fldChar w:fldCharType="separate"/>
              <w:t>3</w:t>
              <w:fldChar w:fldCharType="end"/>
            </w:r>
          </w:hyperlink>
        </w:p>
        <w:p w14:paraId="35B941D7" w14:textId="77777777" w:rsidR="00FF78BB" w:rsidRDefault="00FF78BB">
          <w:pPr>
            <w:pStyle w:val="Inhopg1"/>
            <w:tabs>
              <w:tab w:val="right" w:leader="dot" w:pos="9016"/>
            </w:tabs>
            <w:rPr>
              <w:noProof/>
            </w:rPr>
          </w:pPr>
          <w:hyperlink w:anchor="_Toc226195251" w:history="1">
            <w:r>
              <w:rPr>
                <w:rStyle w:val="Hyperlink"/>
                <w:noProof/>
              </w:rPr>
              <w:t>Quick Start Guide</w:t>
            </w:r>
            <w:r>
              <w:rPr>
                <w:noProof/>
              </w:rPr>
              <w:tab/>
              <w:fldChar w:fldCharType="begin"/>
              <w:instrText xml:space="preserve"> PAGEREF _Toc226195251 \h </w:instrText>
              <w:fldChar w:fldCharType="separate"/>
              <w:t>5</w:t>
              <w:fldChar w:fldCharType="end"/>
            </w:r>
          </w:hyperlink>
        </w:p>
        <w:p w14:paraId="1F1FB5D7" w14:textId="77777777"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fldChar w:fldCharType="begin"/>
              <w:instrText xml:space="preserve"> PAGEREF _Toc226195252 \h </w:instrText>
              <w:fldChar w:fldCharType="separate"/>
              <w:t>6</w:t>
              <w:fldChar w:fldCharType="end"/>
            </w:r>
          </w:hyperlink>
        </w:p>
        <w:p w14:paraId="1E8FBFB1" w14:textId="77777777"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fldChar w:fldCharType="begin"/>
              <w:instrText xml:space="preserve"> PAGEREF _Toc226195253 \h </w:instrText>
              <w:fldChar w:fldCharType="separate"/>
              <w:t>6</w:t>
              <w:fldChar w:fldCharType="end"/>
            </w:r>
          </w:hyperlink>
        </w:p>
        <w:p w14:paraId="0BB9A0D3" w14:textId="77777777"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fldChar w:fldCharType="begin"/>
              <w:instrText xml:space="preserve"> PAGEREF _Toc226195254 \h </w:instrText>
              <w:fldChar w:fldCharType="separate"/>
              <w:t>6</w:t>
              <w:fldChar w:fldCharType="end"/>
            </w:r>
          </w:hyperlink>
        </w:p>
        <w:p w14:paraId="6B5B88FB" w14:textId="77777777"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fldChar w:fldCharType="begin"/>
              <w:instrText xml:space="preserve"> PAGEREF _Toc226195255 \h </w:instrText>
              <w:fldChar w:fldCharType="separate"/>
              <w:t>6</w:t>
              <w:fldChar w:fldCharType="end"/>
            </w:r>
          </w:hyperlink>
        </w:p>
        <w:p w14:paraId="31A2E638" w14:textId="77777777"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fldChar w:fldCharType="begin"/>
              <w:instrText xml:space="preserve"> PAGEREF _Toc226195256 \h </w:instrText>
              <w:fldChar w:fldCharType="separate"/>
              <w:t>6</w:t>
              <w:fldChar w:fldCharType="end"/>
            </w:r>
          </w:hyperlink>
        </w:p>
        <w:p w14:paraId="5166AE83" w14:textId="77777777"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fldChar w:fldCharType="begin"/>
              <w:instrText xml:space="preserve"> PAGEREF _Toc226195257 \h </w:instrText>
              <w:fldChar w:fldCharType="separate"/>
              <w:t>6</w:t>
              <w:fldChar w:fldCharType="end"/>
            </w:r>
          </w:hyperlink>
        </w:p>
        <w:p w14:paraId="6B41ABF5" w14:textId="77777777"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fldChar w:fldCharType="begin"/>
              <w:instrText xml:space="preserve"> PAGEREF _Toc226195258 \h </w:instrText>
              <w:fldChar w:fldCharType="separate"/>
              <w:t>8</w:t>
              <w:fldChar w:fldCharType="end"/>
            </w:r>
          </w:hyperlink>
        </w:p>
        <w:p w14:paraId="516EC413" w14:textId="77777777" w:rsidR="00FF78BB" w:rsidRDefault="00FF78BB">
          <w:pPr>
            <w:pStyle w:val="Inhopg2"/>
            <w:tabs>
              <w:tab w:val="right" w:leader="dot" w:pos="9016"/>
            </w:tabs>
            <w:rPr>
              <w:noProof/>
            </w:rPr>
          </w:pPr>
          <w:hyperlink w:anchor="_Toc226195259" w:history="1">
            <w:r>
              <w:rPr>
                <w:rStyle w:val="Hyperlink"/>
                <w:noProof/>
              </w:rPr>
              <w:t>General Format Rules</w:t>
            </w:r>
            <w:r>
              <w:rPr>
                <w:noProof/>
              </w:rPr>
              <w:tab/>
              <w:fldChar w:fldCharType="begin"/>
              <w:instrText xml:space="preserve"> PAGEREF _Toc226195259 \h </w:instrText>
              <w:fldChar w:fldCharType="separate"/>
              <w:t>8</w:t>
              <w:fldChar w:fldCharType="end"/>
            </w:r>
          </w:hyperlink>
        </w:p>
        <w:p w14:paraId="2164E04D" w14:textId="77777777"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fldChar w:fldCharType="begin"/>
              <w:instrText xml:space="preserve"> PAGEREF _Toc226195260 \h </w:instrText>
              <w:fldChar w:fldCharType="separate"/>
              <w:t>8</w:t>
              <w:fldChar w:fldCharType="end"/>
            </w:r>
          </w:hyperlink>
        </w:p>
        <w:p w14:paraId="35FDA3D1" w14:textId="77777777"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fldChar w:fldCharType="begin"/>
              <w:instrText xml:space="preserve"> PAGEREF _Toc226195261 \h </w:instrText>
              <w:fldChar w:fldCharType="separate"/>
              <w:t>8</w:t>
              <w:fldChar w:fldCharType="end"/>
            </w:r>
          </w:hyperlink>
        </w:p>
        <w:p w14:paraId="5E826B74" w14:textId="77777777"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fldChar w:fldCharType="begin"/>
              <w:instrText xml:space="preserve"> PAGEREF _Toc226195262 \h </w:instrText>
              <w:fldChar w:fldCharType="separate"/>
              <w:t>8</w:t>
              <w:fldChar w:fldCharType="end"/>
            </w:r>
          </w:hyperlink>
        </w:p>
        <w:p w14:paraId="4C613BDF" w14:textId="77777777"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fldChar w:fldCharType="begin"/>
              <w:instrText xml:space="preserve"> PAGEREF _Toc226195263 \h </w:instrText>
              <w:fldChar w:fldCharType="separate"/>
              <w:t>8</w:t>
              <w:fldChar w:fldCharType="end"/>
            </w:r>
          </w:hyperlink>
        </w:p>
        <w:p w14:paraId="4942C815" w14:textId="77777777"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fldChar w:fldCharType="begin"/>
              <w:instrText xml:space="preserve"> PAGEREF _Toc226195264 \h </w:instrText>
              <w:fldChar w:fldCharType="separate"/>
              <w:t>9</w:t>
              <w:fldChar w:fldCharType="end"/>
            </w:r>
          </w:hyperlink>
        </w:p>
        <w:p w14:paraId="2202A0F4" w14:textId="77777777"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fldChar w:fldCharType="begin"/>
              <w:instrText xml:space="preserve"> PAGEREF _Toc226195265 \h </w:instrText>
              <w:fldChar w:fldCharType="separate"/>
              <w:t>9</w:t>
              <w:fldChar w:fldCharType="end"/>
            </w:r>
          </w:hyperlink>
        </w:p>
        <w:p w14:paraId="59E56384" w14:textId="77777777"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fldChar w:fldCharType="begin"/>
              <w:instrText xml:space="preserve"> PAGEREF _Toc226195266 \h </w:instrText>
              <w:fldChar w:fldCharType="separate"/>
              <w:t>9</w:t>
              <w:fldChar w:fldCharType="end"/>
            </w:r>
          </w:hyperlink>
        </w:p>
        <w:p w14:paraId="5027A59B" w14:textId="77777777"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fldChar w:fldCharType="begin"/>
              <w:instrText xml:space="preserve"> PAGEREF _Toc226195267 \h </w:instrText>
              <w:fldChar w:fldCharType="separate"/>
              <w:t>9</w:t>
              <w:fldChar w:fldCharType="end"/>
            </w:r>
          </w:hyperlink>
        </w:p>
        <w:p w14:paraId="1C08FF4E" w14:textId="77777777"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fldChar w:fldCharType="begin"/>
              <w:instrText xml:space="preserve"> PAGEREF _Toc226195268 \h </w:instrText>
              <w:fldChar w:fldCharType="separate"/>
              <w:t>9</w:t>
              <w:fldChar w:fldCharType="end"/>
            </w:r>
          </w:hyperlink>
        </w:p>
        <w:p w14:paraId="20371E91" w14:textId="77777777" w:rsidR="00FF78BB" w:rsidRDefault="00FF78BB">
          <w:pPr>
            <w:pStyle w:val="Inhopg2"/>
            <w:tabs>
              <w:tab w:val="right" w:leader="dot" w:pos="9016"/>
            </w:tabs>
            <w:rPr>
              <w:noProof/>
            </w:rPr>
          </w:pPr>
          <w:hyperlink w:anchor="_Toc226195269" w:history="1">
            <w:r>
              <w:rPr>
                <w:rStyle w:val="Hyperlink"/>
                <w:noProof/>
              </w:rPr>
              <w:t>BLQ Handling</w:t>
            </w:r>
            <w:r>
              <w:rPr>
                <w:noProof/>
              </w:rPr>
              <w:tab/>
              <w:fldChar w:fldCharType="begin"/>
              <w:instrText xml:space="preserve"> PAGEREF _Toc226195269 \h </w:instrText>
              <w:fldChar w:fldCharType="separate"/>
              <w:t>9</w:t>
              <w:fldChar w:fldCharType="end"/>
            </w:r>
          </w:hyperlink>
        </w:p>
        <w:p w14:paraId="7D9C623C" w14:textId="77777777" w:rsidR="00FF78BB" w:rsidRDefault="00FF78BB">
          <w:pPr>
            <w:pStyle w:val="Inhopg2"/>
            <w:tabs>
              <w:tab w:val="right" w:leader="dot" w:pos="9016"/>
            </w:tabs>
            <w:rPr>
              <w:noProof/>
            </w:rPr>
          </w:pPr>
          <w:hyperlink w:anchor="_Toc226195270" w:history="1">
            <w:r>
              <w:rPr>
                <w:rStyle w:val="Hyperlink"/>
                <w:noProof/>
              </w:rPr>
              <w:t>Common Mistakes</w:t>
            </w:r>
            <w:r>
              <w:rPr>
                <w:noProof/>
              </w:rPr>
              <w:tab/>
              <w:fldChar w:fldCharType="begin"/>
              <w:instrText xml:space="preserve"> PAGEREF _Toc226195270 \h </w:instrText>
              <w:fldChar w:fldCharType="separate"/>
              <w:t>10</w:t>
              <w:fldChar w:fldCharType="end"/>
            </w:r>
          </w:hyperlink>
        </w:p>
        <w:p w14:paraId="73719586" w14:textId="77777777" w:rsidR="00FF78BB" w:rsidRDefault="00FF78BB">
          <w:pPr>
            <w:pStyle w:val="Inhopg1"/>
            <w:tabs>
              <w:tab w:val="right" w:leader="dot" w:pos="9016"/>
            </w:tabs>
            <w:rPr>
              <w:noProof/>
            </w:rPr>
          </w:pPr>
          <w:hyperlink w:anchor="_Toc226195271" w:history="1">
            <w:r>
              <w:rPr>
                <w:rStyle w:val="Hyperlink"/>
                <w:noProof/>
              </w:rPr>
              <w:t>Part III: Using the App</w:t>
            </w:r>
            <w:r>
              <w:rPr>
                <w:noProof/>
              </w:rPr>
              <w:tab/>
              <w:fldChar w:fldCharType="begin"/>
              <w:instrText xml:space="preserve"> PAGEREF _Toc226195271 \h </w:instrText>
              <w:fldChar w:fldCharType="separate"/>
              <w:t>11</w:t>
              <w:fldChar w:fldCharType="end"/>
            </w:r>
          </w:hyperlink>
        </w:p>
        <w:p w14:paraId="67822DF0" w14:textId="77777777" w:rsidR="00FF78BB" w:rsidRDefault="00FF78BB">
          <w:pPr>
            <w:pStyle w:val="Inhopg2"/>
            <w:tabs>
              <w:tab w:val="right" w:leader="dot" w:pos="9016"/>
            </w:tabs>
            <w:rPr>
              <w:noProof/>
            </w:rPr>
          </w:pPr>
          <w:hyperlink w:anchor="_Toc226195272" w:history="1">
            <w:r>
              <w:rPr>
                <w:rStyle w:val="Hyperlink"/>
                <w:noProof/>
              </w:rPr>
              <w:t>The Hub Screen</w:t>
            </w:r>
            <w:r>
              <w:rPr>
                <w:noProof/>
              </w:rPr>
              <w:tab/>
              <w:fldChar w:fldCharType="begin"/>
              <w:instrText xml:space="preserve"> PAGEREF _Toc226195272 \h </w:instrText>
              <w:fldChar w:fldCharType="separate"/>
              <w:t>11</w:t>
              <w:fldChar w:fldCharType="end"/>
            </w:r>
          </w:hyperlink>
        </w:p>
        <w:p w14:paraId="08293E90" w14:textId="77777777" w:rsidR="00FF78BB" w:rsidRDefault="00FF78BB">
          <w:pPr>
            <w:pStyle w:val="Inhopg2"/>
            <w:tabs>
              <w:tab w:val="right" w:leader="dot" w:pos="9016"/>
            </w:tabs>
            <w:rPr>
              <w:noProof/>
            </w:rPr>
          </w:pPr>
          <w:hyperlink w:anchor="_Toc226195273" w:history="1">
            <w:r>
              <w:rPr>
                <w:rStyle w:val="Hyperlink"/>
                <w:noProof/>
              </w:rPr>
              <w:t>Path 1: Plan a Study</w:t>
            </w:r>
            <w:r>
              <w:rPr>
                <w:noProof/>
              </w:rPr>
              <w:tab/>
              <w:fldChar w:fldCharType="begin"/>
              <w:instrText xml:space="preserve"> PAGEREF _Toc226195273 \h </w:instrText>
              <w:fldChar w:fldCharType="separate"/>
              <w:t>11</w:t>
              <w:fldChar w:fldCharType="end"/>
            </w:r>
          </w:hyperlink>
        </w:p>
        <w:p w14:paraId="3151BCC8" w14:textId="77777777"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fldChar w:fldCharType="begin"/>
              <w:instrText xml:space="preserve"> PAGEREF _Toc226195274 \h </w:instrText>
              <w:fldChar w:fldCharType="separate"/>
              <w:t>11</w:t>
              <w:fldChar w:fldCharType="end"/>
            </w:r>
          </w:hyperlink>
        </w:p>
        <w:p w14:paraId="5B12071F" w14:textId="77777777" w:rsidR="00FF78BB" w:rsidRDefault="00FF78BB">
          <w:pPr>
            <w:pStyle w:val="Inhopg2"/>
            <w:tabs>
              <w:tab w:val="right" w:leader="dot" w:pos="9016"/>
            </w:tabs>
            <w:rPr>
              <w:noProof/>
            </w:rPr>
          </w:pPr>
          <w:hyperlink w:anchor="_Toc226195290" w:history="1">
            <w:r>
              <w:rPr>
                <w:rStyle w:val="Hyperlink"/>
                <w:noProof/>
              </w:rPr>
              <w:t>Path 3: Visualize Data</w:t>
            </w:r>
            <w:r>
              <w:rPr>
                <w:noProof/>
              </w:rPr>
              <w:tab/>
              <w:fldChar w:fldCharType="begin"/>
              <w:instrText xml:space="preserve"> PAGEREF _Toc226195290 \h </w:instrText>
              <w:fldChar w:fldCharType="separate"/>
              <w:t>11</w:t>
              <w:fldChar w:fldCharType="end"/>
            </w:r>
          </w:hyperlink>
        </w:p>
        <w:p w14:paraId="27C40D6A" w14:textId="77777777"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fldChar w:fldCharType="begin"/>
              <w:instrText xml:space="preserve"> PAGEREF _Toc226195291 \h </w:instrText>
              <w:fldChar w:fldCharType="separate"/>
              <w:t>11</w:t>
              <w:fldChar w:fldCharType="end"/>
            </w:r>
          </w:hyperlink>
        </w:p>
        <w:p w14:paraId="27435D4C" w14:textId="77777777"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fldChar w:fldCharType="begin"/>
              <w:instrText xml:space="preserve"> PAGEREF _Toc226195276 \h </w:instrText>
              <w:fldChar w:fldCharType="separate"/>
              <w:t>11</w:t>
              <w:fldChar w:fldCharType="end"/>
            </w:r>
          </w:hyperlink>
        </w:p>
        <w:p w14:paraId="5E5EF284" w14:textId="77777777"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fldChar w:fldCharType="begin"/>
              <w:instrText xml:space="preserve"> PAGEREF _Toc226195277 \h </w:instrText>
              <w:fldChar w:fldCharType="separate"/>
              <w:t>11</w:t>
              <w:fldChar w:fldCharType="end"/>
            </w:r>
          </w:hyperlink>
        </w:p>
        <w:p w14:paraId="7B8A9DD9" w14:textId="77777777"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fldChar w:fldCharType="begin"/>
              <w:instrText xml:space="preserve"> PAGEREF _Toc226195278 \h </w:instrText>
              <w:fldChar w:fldCharType="separate"/>
              <w:t>11</w:t>
              <w:fldChar w:fldCharType="end"/>
            </w:r>
          </w:hyperlink>
        </w:p>
        <w:p w14:paraId="0FD67D41" w14:textId="77777777"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fldChar w:fldCharType="begin"/>
              <w:instrText xml:space="preserve"> PAGEREF _Toc226195279 \h </w:instrText>
              <w:fldChar w:fldCharType="separate"/>
              <w:t>11</w:t>
              <w:fldChar w:fldCharType="end"/>
            </w:r>
          </w:hyperlink>
        </w:p>
        <w:p w14:paraId="328FDDFD" w14:textId="77777777"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fldChar w:fldCharType="begin"/>
              <w:instrText xml:space="preserve"> PAGEREF _Toc226195280 \h </w:instrText>
              <w:fldChar w:fldCharType="separate"/>
              <w:t>12</w:t>
              <w:fldChar w:fldCharType="end"/>
            </w:r>
          </w:hyperlink>
        </w:p>
        <w:p w14:paraId="5443EF4D" w14:textId="77777777"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fldChar w:fldCharType="begin"/>
              <w:instrText xml:space="preserve"> PAGEREF _Toc226195281 \h </w:instrText>
              <w:fldChar w:fldCharType="separate"/>
              <w:t>12</w:t>
              <w:fldChar w:fldCharType="end"/>
            </w:r>
          </w:hyperlink>
        </w:p>
        <w:p w14:paraId="4D40463F" w14:textId="77777777"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fldChar w:fldCharType="begin"/>
              <w:instrText xml:space="preserve"> PAGEREF _Toc226195282 \h </w:instrText>
              <w:fldChar w:fldCharType="separate"/>
              <w:t>12</w:t>
              <w:fldChar w:fldCharType="end"/>
            </w:r>
          </w:hyperlink>
        </w:p>
        <w:p w14:paraId="35D3C098" w14:textId="77777777" w:rsidR="00FF78BB" w:rsidRDefault="00FF78BB">
          <w:pPr>
            <w:pStyle w:val="Inhopg1"/>
            <w:tabs>
              <w:tab w:val="right" w:leader="dot" w:pos="9016"/>
            </w:tabs>
            <w:rPr>
              <w:noProof/>
            </w:rPr>
          </w:pPr>
          <w:hyperlink w:anchor="_Toc226195283" w:history="1">
            <w:r>
              <w:rPr>
                <w:rStyle w:val="Hyperlink"/>
                <w:noProof/>
              </w:rPr>
              <w:t>Part IV: Worked Examples</w:t>
            </w:r>
            <w:r>
              <w:rPr>
                <w:noProof/>
              </w:rPr>
              <w:tab/>
              <w:fldChar w:fldCharType="begin"/>
              <w:instrText xml:space="preserve"> PAGEREF _Toc226195283 \h </w:instrText>
              <w:fldChar w:fldCharType="separate"/>
              <w:t>13</w:t>
              <w:fldChar w:fldCharType="end"/>
            </w:r>
          </w:hyperlink>
        </w:p>
        <w:p w14:paraId="17905BAA" w14:textId="77777777"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fldChar w:fldCharType="begin"/>
              <w:instrText xml:space="preserve"> PAGEREF _Toc226195284 \h </w:instrText>
              <w:fldChar w:fldCharType="separate"/>
              <w:t>13</w:t>
              <w:fldChar w:fldCharType="end"/>
            </w:r>
          </w:hyperlink>
        </w:p>
        <w:p w14:paraId="1819576F" w14:textId="77777777"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fldChar w:fldCharType="begin"/>
              <w:instrText xml:space="preserve"> PAGEREF _Toc226195285 \h </w:instrText>
              <w:fldChar w:fldCharType="separate"/>
              <w:t>13</w:t>
              <w:fldChar w:fldCharType="end"/>
            </w:r>
          </w:hyperlink>
        </w:p>
        <w:p w14:paraId="1F3C0C87" w14:textId="77777777"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fldChar w:fldCharType="begin"/>
              <w:instrText xml:space="preserve"> PAGEREF _Toc226195286 \h </w:instrText>
              <w:fldChar w:fldCharType="separate"/>
              <w:t>13</w:t>
              <w:fldChar w:fldCharType="end"/>
            </w:r>
          </w:hyperlink>
        </w:p>
        <w:p w14:paraId="5DB94A4B" w14:textId="77777777"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fldChar w:fldCharType="begin"/>
              <w:instrText xml:space="preserve"> PAGEREF _Toc226195287 \h </w:instrText>
              <w:fldChar w:fldCharType="separate"/>
              <w:t>14</w:t>
              <w:fldChar w:fldCharType="end"/>
            </w:r>
          </w:hyperlink>
        </w:p>
        <w:p w14:paraId="28640261" w14:textId="77777777"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fldChar w:fldCharType="begin"/>
              <w:instrText xml:space="preserve"> PAGEREF _Toc226195288 \h </w:instrText>
              <w:fldChar w:fldCharType="separate"/>
              <w:t>14</w:t>
              <w:fldChar w:fldCharType="end"/>
            </w:r>
          </w:hyperlink>
        </w:p>
        <w:p w14:paraId="1FBC02A1" w14:textId="77777777"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fldChar w:fldCharType="begin"/>
              <w:instrText xml:space="preserve"> PAGEREF _Toc226195289 \h </w:instrText>
              <w:fldChar w:fldCharType="separate"/>
              <w:t>14</w:t>
              <w:fldChar w:fldCharType="end"/>
            </w:r>
          </w:hyperlink>
        </w:p>
        <w:p w14:paraId="0ABDA798" w14:textId="77777777"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fldChar w:fldCharType="begin"/>
              <w:instrText xml:space="preserve"> PAGEREF _Toc226195290 \h </w:instrText>
              <w:fldChar w:fldCharType="separate"/>
              <w:t>14</w:t>
              <w:fldChar w:fldCharType="end"/>
            </w:r>
          </w:hyperlink>
        </w:p>
        <w:p w14:paraId="28D3222D" w14:textId="77777777"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fldChar w:fldCharType="begin"/>
              <w:instrText xml:space="preserve"> PAGEREF _Toc226195291 \h </w:instrText>
              <w:fldChar w:fldCharType="separate"/>
              <w:t>14</w:t>
              <w:fldChar w:fldCharType="end"/>
            </w:r>
          </w:hyperlink>
        </w:p>
        <w:p w14:paraId="46D2D56A" w14:textId="77777777"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fldChar w:fldCharType="begin"/>
              <w:instrText xml:space="preserve"> PAGEREF _Toc226195292 \h </w:instrText>
              <w:fldChar w:fldCharType="separate"/>
              <w:t>14</w:t>
              <w:fldChar w:fldCharType="end"/>
            </w:r>
          </w:hyperlink>
        </w:p>
        <w:p w14:paraId="21521EC6" w14:textId="77777777"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fldChar w:fldCharType="begin"/>
              <w:instrText xml:space="preserve"> PAGEREF _Toc226195293 \h </w:instrText>
              <w:fldChar w:fldCharType="separate"/>
              <w:t>14</w:t>
              <w:fldChar w:fldCharType="end"/>
            </w:r>
          </w:hyperlink>
        </w:p>
        <w:p w14:paraId="66734E8B" w14:textId="77777777"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fldChar w:fldCharType="begin"/>
              <w:instrText xml:space="preserve"> PAGEREF _Toc226195294 \h </w:instrText>
              <w:fldChar w:fldCharType="separate"/>
              <w:t>14</w:t>
              <w:fldChar w:fldCharType="end"/>
            </w:r>
          </w:hyperlink>
        </w:p>
        <w:p w14:paraId="709928AC" w14:textId="77777777" w:rsidR="00FF78BB" w:rsidRDefault="00FF78BB">
          <w:pPr>
            <w:pStyle w:val="Inhopg3"/>
            <w:tabs>
              <w:tab w:val="right" w:leader="dot" w:pos="9016"/>
            </w:tabs>
            <w:rPr>
              <w:noProof/>
            </w:rPr>
          </w:pPr>
          <w:hyperlink w:anchor="_Toc226195295" w:history="1">
            <w:r>
              <w:rPr>
                <w:rStyle w:val="Hyperlink"/>
                <w:noProof/>
              </w:rPr>
              <w:t>Manual Point Selection</w:t>
            </w:r>
            <w:r>
              <w:rPr>
                <w:noProof/>
              </w:rPr>
              <w:tab/>
              <w:fldChar w:fldCharType="begin"/>
              <w:instrText xml:space="preserve"> PAGEREF _Toc226195295 \h </w:instrText>
              <w:fldChar w:fldCharType="separate"/>
              <w:t>14</w:t>
              <w:fldChar w:fldCharType="end"/>
            </w:r>
          </w:hyperlink>
        </w:p>
        <w:p w14:paraId="3EBA4A31" w14:textId="77777777"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fldChar w:fldCharType="begin"/>
              <w:instrText xml:space="preserve"> PAGEREF _Toc226195296 \h </w:instrText>
              <w:fldChar w:fldCharType="separate"/>
              <w:t>14</w:t>
              <w:fldChar w:fldCharType="end"/>
            </w:r>
          </w:hyperlink>
        </w:p>
        <w:p w14:paraId="0BBD0F73" w14:textId="77777777"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fldChar w:fldCharType="begin"/>
              <w:instrText xml:space="preserve"> PAGEREF _Toc226195297 \h </w:instrText>
              <w:fldChar w:fldCharType="separate"/>
              <w:t>15</w:t>
              <w:fldChar w:fldCharType="end"/>
            </w:r>
          </w:hyperlink>
        </w:p>
        <w:p w14:paraId="6F06537D" w14:textId="77777777"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fldChar w:fldCharType="begin"/>
              <w:instrText xml:space="preserve"> PAGEREF _Toc226195298 \h </w:instrText>
              <w:fldChar w:fldCharType="separate"/>
              <w:t>16</w:t>
              <w:fldChar w:fldCharType="end"/>
            </w:r>
          </w:hyperlink>
        </w:p>
        <w:p w14:paraId="60BDE2C3" w14:textId="77777777"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fldChar w:fldCharType="begin"/>
              <w:instrText xml:space="preserve"> PAGEREF _Toc226195299 \h </w:instrText>
              <w:fldChar w:fldCharType="separate"/>
              <w:t>16</w:t>
              <w:fldChar w:fldCharType="end"/>
            </w:r>
          </w:hyperlink>
        </w:p>
        <w:p w14:paraId="6FB13285" w14:textId="77777777"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fldChar w:fldCharType="begin"/>
              <w:instrText xml:space="preserve"> PAGEREF _Toc226195300 \h </w:instrText>
              <w:fldChar w:fldCharType="separate"/>
              <w:t>16</w:t>
              <w:fldChar w:fldCharType="end"/>
            </w:r>
          </w:hyperlink>
        </w:p>
        <w:p w14:paraId="7BEC16CB" w14:textId="77777777"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fldChar w:fldCharType="begin"/>
              <w:instrText xml:space="preserve"> PAGEREF _Toc226195301 \h </w:instrText>
              <w:fldChar w:fldCharType="separate"/>
              <w:t>16</w:t>
              <w:fldChar w:fldCharType="end"/>
            </w:r>
          </w:hyperlink>
        </w:p>
        <w:p w14:paraId="2B335AF7" w14:textId="77777777"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fldChar w:fldCharType="begin"/>
              <w:instrText xml:space="preserve"> PAGEREF _Toc226195302 \h </w:instrText>
              <w:fldChar w:fldCharType="separate"/>
              <w:t>16</w:t>
              <w:fldChar w:fldCharType="end"/>
            </w:r>
          </w:hyperlink>
        </w:p>
        <w:p w14:paraId="6C357AE3" w14:textId="77777777" w:rsidR="00FF78BB" w:rsidRDefault="00FF78BB">
          <w:pPr>
            <w:pStyle w:val="Inhopg2"/>
            <w:tabs>
              <w:tab w:val="right" w:leader="dot" w:pos="9016"/>
            </w:tabs>
            <w:rPr>
              <w:noProof/>
            </w:rPr>
          </w:pPr>
          <w:hyperlink w:anchor="_Toc226195303" w:history="1">
            <w:r>
              <w:rPr>
                <w:rStyle w:val="Hyperlink"/>
                <w:noProof/>
              </w:rPr>
              <w:t>Design-Specific Models</w:t>
            </w:r>
            <w:r>
              <w:rPr>
                <w:noProof/>
              </w:rPr>
              <w:tab/>
              <w:fldChar w:fldCharType="begin"/>
              <w:instrText xml:space="preserve"> PAGEREF _Toc226195303 \h </w:instrText>
              <w:fldChar w:fldCharType="separate"/>
              <w:t>16</w:t>
              <w:fldChar w:fldCharType="end"/>
            </w:r>
          </w:hyperlink>
        </w:p>
        <w:p w14:paraId="5AB84967" w14:textId="77777777"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fldChar w:fldCharType="begin"/>
              <w:instrText xml:space="preserve"> PAGEREF _Toc226195304 \h </w:instrText>
              <w:fldChar w:fldCharType="separate"/>
              <w:t>16</w:t>
              <w:fldChar w:fldCharType="end"/>
            </w:r>
          </w:hyperlink>
        </w:p>
        <w:p w14:paraId="6AE4E6AE" w14:textId="77777777"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fldChar w:fldCharType="begin"/>
              <w:instrText xml:space="preserve"> PAGEREF _Toc226195305 \h </w:instrText>
              <w:fldChar w:fldCharType="separate"/>
              <w:t>17</w:t>
              <w:fldChar w:fldCharType="end"/>
            </w:r>
          </w:hyperlink>
        </w:p>
        <w:p w14:paraId="6A72A17C" w14:textId="77777777" w:rsidR="00FF78BB" w:rsidRDefault="00FF78BB">
          <w:pPr>
            <w:pStyle w:val="Inhopg2"/>
            <w:tabs>
              <w:tab w:val="right" w:leader="dot" w:pos="9016"/>
            </w:tabs>
            <w:rPr>
              <w:noProof/>
            </w:rPr>
          </w:pPr>
          <w:hyperlink w:anchor="_Toc226195306" w:history="1">
            <w:r>
              <w:rPr>
                <w:rStyle w:val="Hyperlink"/>
                <w:noProof/>
              </w:rPr>
              <w:t>Regulatory Guidelines</w:t>
            </w:r>
            <w:r>
              <w:rPr>
                <w:noProof/>
              </w:rPr>
              <w:tab/>
              <w:fldChar w:fldCharType="begin"/>
              <w:instrText xml:space="preserve"> PAGEREF _Toc226195306 \h </w:instrText>
              <w:fldChar w:fldCharType="separate"/>
              <w:t>17</w:t>
              <w:fldChar w:fldCharType="end"/>
            </w:r>
          </w:hyperlink>
        </w:p>
        <w:p w14:paraId="4AAA110D" w14:textId="77777777" w:rsidR="00FF78BB" w:rsidRDefault="00FF78BB">
          <w:pPr>
            <w:pStyle w:val="Inhopg1"/>
            <w:tabs>
              <w:tab w:val="right" w:leader="dot" w:pos="9016"/>
            </w:tabs>
            <w:rPr>
              <w:noProof/>
            </w:rPr>
          </w:pPr>
          <w:hyperlink w:anchor="_Toc226195307" w:history="1">
            <w:r>
              <w:rPr>
                <w:rStyle w:val="Hyperlink"/>
                <w:noProof/>
              </w:rPr>
              <w:t>Appendices</w:t>
            </w:r>
            <w:r>
              <w:rPr>
                <w:noProof/>
              </w:rPr>
              <w:tab/>
              <w:fldChar w:fldCharType="begin"/>
              <w:instrText xml:space="preserve"> PAGEREF _Toc226195307 \h </w:instrText>
              <w:fldChar w:fldCharType="separate"/>
              <w:t>18</w:t>
              <w:fldChar w:fldCharType="end"/>
            </w:r>
          </w:hyperlink>
        </w:p>
        <w:p w14:paraId="795CF4FD" w14:textId="77777777" w:rsidR="00FF78BB" w:rsidRDefault="00FF78BB">
          <w:pPr>
            <w:pStyle w:val="Inhopg2"/>
            <w:tabs>
              <w:tab w:val="right" w:leader="dot" w:pos="9016"/>
            </w:tabs>
            <w:rPr>
              <w:noProof/>
            </w:rPr>
          </w:pPr>
          <w:hyperlink w:anchor="_Toc226195308" w:history="1">
            <w:r>
              <w:rPr>
                <w:rStyle w:val="Hyperlink"/>
                <w:noProof/>
              </w:rPr>
              <w:t>Appendix A: Glossary</w:t>
            </w:r>
            <w:r>
              <w:rPr>
                <w:noProof/>
              </w:rPr>
              <w:tab/>
              <w:fldChar w:fldCharType="begin"/>
              <w:instrText xml:space="preserve"> PAGEREF _Toc226195308 \h </w:instrText>
              <w:fldChar w:fldCharType="separate"/>
              <w:t>18</w:t>
              <w:fldChar w:fldCharType="end"/>
            </w:r>
          </w:hyperlink>
        </w:p>
        <w:p w14:paraId="7E2F82DF" w14:textId="77777777"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fldChar w:fldCharType="begin"/>
              <w:instrText xml:space="preserve"> PAGEREF _Toc226195309 \h </w:instrText>
              <w:fldChar w:fldCharType="separate"/>
              <w:t>18</w:t>
              <w:fldChar w:fldCharType="end"/>
            </w:r>
          </w:hyperlink>
        </w:p>
        <w:p w14:paraId="7FBC93AD" w14:textId="77777777"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fldChar w:fldCharType="begin"/>
              <w:instrText xml:space="preserve"> PAGEREF _Toc226195310 \h </w:instrText>
              <w:fldChar w:fldCharType="separate"/>
              <w:t>18</w:t>
              <w:fldChar w:fldCharType="end"/>
            </w:r>
          </w:hyperlink>
        </w:p>
        <w:p w14:paraId="007A5EFE" w14:textId="77777777" w:rsidR="00FF78BB" w:rsidRDefault="00FF78BB">
          <w:pPr>
            <w:pStyle w:val="Inhopg2"/>
            <w:tabs>
              <w:tab w:val="right" w:leader="dot" w:pos="9016"/>
            </w:tabs>
            <w:rPr>
              <w:noProof/>
            </w:rPr>
          </w:pPr>
          <w:hyperlink w:anchor="_Toc226195311" w:history="1">
            <w:r>
              <w:rPr>
                <w:rStyle w:val="Hyperlink"/>
                <w:noProof/>
              </w:rPr>
              <w:t>Appendix D: Software References</w:t>
            </w:r>
            <w:r>
              <w:rPr>
                <w:noProof/>
              </w:rPr>
              <w:tab/>
              <w:fldChar w:fldCharType="begin"/>
              <w:instrText xml:space="preserve"> PAGEREF _Toc226195311 \h </w:instrText>
              <w:fldChar w:fldCharType="separate"/>
              <w:t>19</w:t>
              <w:fldChar w:fldCharType="end"/>
            </w:r>
          </w:hyperlink>
        </w:p>
        <w:p w14:paraId="719AF596" w14:textId="77777777" w:rsidR="00631871" w:rsidRDefault="0013387A">
          <w:r>
            <w:fldChar w:fldCharType="end"/>
          </w:r>
        </w:p>
      </w:sdtContent>
    </w:sdt>
    <w:p w14:paraId="60CC67FD" w14:textId="77777777" w:rsidR="00631871" w:rsidRDefault="0013387A">
      <w:pPr>
        <w:spacing w:after="80" w:line="276" w:lineRule="auto"/>
      </w:pPr>
      <w:r>
        <w:rPr>
          <w:color w:val="555555"/>
          <w:sz w:val="20"/>
          <w:szCs w:val="20"/>
        </w:rPr>
        <w:t>Update: right-click → Update Field → Update Entire Table.</w:t>
      </w:r>
    </w:p>
    <w:p w14:paraId="1CBE3AE4" w14:textId="77777777" w:rsidR="00631871" w:rsidRDefault="0013387A">
      <w:r>
        <w:br w:type="page"/>
      </w:r>
    </w:p>
    <w:p w14:paraId="48E5F879" w14:textId="77777777" w:rsidR="00631871" w:rsidRDefault="0013387A">
      <w:pPr>
        <w:pStyle w:val="Kop1"/>
      </w:pPr>
      <w:bookmarkStart w:id="2" w:name="_Toc226195251"/>
      <w:r>
        <w:lastRenderedPageBreak/>
        <w:t>Quick Start Guide</w:t>
      </w:r>
      <w:bookmarkEnd w:id="2"/>
    </w:p>
    <w:p w14:paraId="397A03E9"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18F4E63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0630033B"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7AF89398" w14:textId="77777777" w:rsidR="00631871" w:rsidRDefault="0013387A">
      <w:pPr>
        <w:spacing w:after="120" w:line="276" w:lineRule="auto"/>
      </w:pPr>
      <w:r>
        <w:rPr>
          <w:b/>
          <w:bCs/>
        </w:rPr>
        <w:t xml:space="preserve">Step 3. </w:t>
      </w:r>
      <w:r>
        <w:t xml:space="preserve">If your data contains BLQ values: set the LLOQ value and select a BLQ rule. Click </w:t>
      </w:r>
      <w:r>
        <w:rPr>
          <w:b/>
          <w:bCs/>
        </w:rPr>
        <w:t>Process Data</w:t>
      </w:r>
      <w:r>
        <w:t>.</w:t>
      </w:r>
    </w:p>
    <w:p w14:paraId="2D433205" w14:textId="77777777" w:rsidR="00631871" w:rsidRDefault="0013387A">
      <w:pPr>
        <w:spacing w:after="120" w:line="276" w:lineRule="auto"/>
      </w:pPr>
      <w:r>
        <w:rPr>
          <w:b/>
          <w:bCs/>
        </w:rPr>
        <w:t xml:space="preserve">Step 4. </w:t>
      </w:r>
      <w:r>
        <w:t xml:space="preserve">Optionally, navigate to </w:t>
      </w:r>
      <w:r>
        <w:rPr>
          <w:b/>
          <w:bCs/>
        </w:rPr>
        <w:t>Visualize Data</w:t>
      </w:r>
      <w:r>
        <w:t xml:space="preserve"> to inspect individual profiles and the geometric mean curve before running any analysis. Then go to </w:t>
      </w:r>
      <w:r>
        <w:rPr>
          <w:b/>
          <w:bCs/>
        </w:rPr>
        <w:t>Analyze All Subjects</w:t>
      </w:r>
      <w:r>
        <w:t xml:space="preserve">. Set the dose and route. Click </w:t>
      </w:r>
      <w:r>
        <w:rPr>
          <w:b/>
          <w:bCs/>
        </w:rPr>
        <w:t>Run Analysis on All Subjects</w:t>
      </w:r>
      <w:r>
        <w:t>.</w:t>
      </w:r>
    </w:p>
    <w:p w14:paraId="05E2B0C7" w14:textId="77777777" w:rsidR="00631871" w:rsidRDefault="0013387A">
      <w:pPr>
        <w:spacing w:after="120" w:line="276" w:lineRule="auto"/>
      </w:pPr>
      <w:r>
        <w:rPr>
          <w:b/>
          <w:bCs/>
        </w:rPr>
        <w:t xml:space="preserve">Step 5. </w:t>
      </w:r>
      <w:r>
        <w:t>View results. Download Results (Excel) or Download Results (CSV), or generate a Complete Analysis Record.</w:t>
      </w:r>
    </w:p>
    <w:p w14:paraId="64A4764B" w14:textId="77777777" w:rsidR="00631871" w:rsidRDefault="0013387A">
      <w:pPr>
        <w:spacing w:after="80" w:line="276" w:lineRule="auto"/>
      </w:pPr>
      <w:r>
        <w:rPr>
          <w:color w:val="555555"/>
          <w:sz w:val="20"/>
          <w:szCs w:val="20"/>
        </w:rPr>
        <w:t>For bioequivalence or drug interaction studies: go to Bioequivalence Testing (Path 6) instead. For study planning: go to Plan a Study (no data needed). A Data Preparation Guide with example datasets is available from the home screen and from the top navigation bar.</w:t>
      </w:r>
    </w:p>
    <w:p w14:paraId="145AF756" w14:textId="77777777" w:rsidR="00631871" w:rsidRDefault="0013387A">
      <w:r>
        <w:br w:type="page"/>
      </w:r>
    </w:p>
    <w:p w14:paraId="00CF5ACA" w14:textId="77777777" w:rsidR="00631871" w:rsidRDefault="0013387A">
      <w:pPr>
        <w:pStyle w:val="Kop1"/>
      </w:pPr>
      <w:bookmarkStart w:id="3" w:name="_Toc226195252"/>
      <w:r>
        <w:lastRenderedPageBreak/>
        <w:t>Part I: Introduction to Non-Compartmental Analysis</w:t>
      </w:r>
      <w:bookmarkEnd w:id="3"/>
    </w:p>
    <w:p w14:paraId="2DDAA1DE" w14:textId="77777777" w:rsidR="00631871" w:rsidRDefault="0013387A">
      <w:pPr>
        <w:pStyle w:val="Kop2"/>
      </w:pPr>
      <w:bookmarkStart w:id="4" w:name="_Toc226195253"/>
      <w:r>
        <w:t>What Is Non-Compartmental Analysis?</w:t>
      </w:r>
      <w:bookmarkEnd w:id="4"/>
    </w:p>
    <w:p w14:paraId="37809B1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5BCB883B"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2A3615C1" w14:textId="77777777" w:rsidR="00631871" w:rsidRDefault="0013387A">
      <w:pPr>
        <w:pStyle w:val="Kop2"/>
      </w:pPr>
      <w:bookmarkStart w:id="5" w:name="_Toc226195254"/>
      <w:r>
        <w:t>The Concentration–Time Curve</w:t>
      </w:r>
      <w:bookmarkEnd w:id="5"/>
    </w:p>
    <w:p w14:paraId="77ED4A2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6543A1F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103318E6"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A9B06F"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E29080"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CE7A35" w14:textId="77777777" w:rsidR="00631871" w:rsidRDefault="0013387A">
            <w:r>
              <w:rPr>
                <w:b/>
                <w:bCs/>
                <w:color w:val="FFFFFF"/>
                <w:sz w:val="20"/>
                <w:szCs w:val="20"/>
              </w:rPr>
              <w:t>What it tells you</w:t>
            </w:r>
          </w:p>
        </w:tc>
      </w:tr>
      <w:tr w:rsidR="00631871" w14:paraId="66949AA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EFAA3"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1F2D7"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E01B6" w14:textId="77777777" w:rsidR="00631871" w:rsidRDefault="0013387A">
            <w:r>
              <w:rPr>
                <w:sz w:val="20"/>
                <w:szCs w:val="20"/>
              </w:rPr>
              <w:t>The highest concentration observed. Relevant for efficacy and safety.</w:t>
            </w:r>
          </w:p>
        </w:tc>
      </w:tr>
      <w:tr w:rsidR="00631871" w14:paraId="730E5C0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CE189"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36D0"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48E92" w14:textId="77777777" w:rsidR="00631871" w:rsidRDefault="0013387A">
            <w:r>
              <w:rPr>
                <w:sz w:val="20"/>
                <w:szCs w:val="20"/>
              </w:rPr>
              <w:t>When the peak occurs. Reflects the rate of absorption.</w:t>
            </w:r>
          </w:p>
        </w:tc>
      </w:tr>
      <w:tr w:rsidR="00631871" w14:paraId="4012A14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DE625"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2CC52"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52613" w14:textId="77777777" w:rsidR="00631871" w:rsidRDefault="0013387A">
            <w:r>
              <w:rPr>
                <w:sz w:val="20"/>
                <w:szCs w:val="20"/>
              </w:rPr>
              <w:t>Total drug exposure over time. The most important measure of overall exposure.</w:t>
            </w:r>
          </w:p>
        </w:tc>
      </w:tr>
      <w:tr w:rsidR="00631871" w14:paraId="64A8F9F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15292"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96C9B"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82750" w14:textId="77777777" w:rsidR="00631871" w:rsidRDefault="0013387A">
            <w:r>
              <w:rPr>
                <w:sz w:val="20"/>
                <w:szCs w:val="20"/>
              </w:rPr>
              <w:t>Time for the concentration to halve during the terminal phase.</w:t>
            </w:r>
          </w:p>
        </w:tc>
      </w:tr>
      <w:tr w:rsidR="00631871" w14:paraId="67D9A02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A1A4C"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FBDD5"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2879E" w14:textId="77777777" w:rsidR="00631871" w:rsidRDefault="0013387A">
            <w:r>
              <w:rPr>
                <w:sz w:val="20"/>
                <w:szCs w:val="20"/>
              </w:rPr>
              <w:t>Rate of drug elimination, normalized to bioavailability.</w:t>
            </w:r>
          </w:p>
        </w:tc>
      </w:tr>
      <w:tr w:rsidR="00631871" w14:paraId="61C7B82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2A7C8"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B576E"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60482" w14:textId="77777777" w:rsidR="00631871" w:rsidRDefault="0013387A">
            <w:r>
              <w:rPr>
                <w:sz w:val="20"/>
                <w:szCs w:val="20"/>
              </w:rPr>
              <w:t>Apparent volume the drug distributes into during the terminal phase.</w:t>
            </w:r>
          </w:p>
        </w:tc>
      </w:tr>
      <w:tr w:rsidR="00631871" w14:paraId="3EF72B2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FC013"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87CE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DA31B" w14:textId="77777777" w:rsidR="00631871" w:rsidRDefault="0013387A">
            <w:r>
              <w:rPr>
                <w:sz w:val="20"/>
                <w:szCs w:val="20"/>
              </w:rPr>
              <w:t>Average time a drug molecule stays in the body.</w:t>
            </w:r>
          </w:p>
        </w:tc>
      </w:tr>
    </w:tbl>
    <w:p w14:paraId="2B4084F7" w14:textId="77777777" w:rsidR="00631871" w:rsidRDefault="0013387A">
      <w:pPr>
        <w:pStyle w:val="Kop2"/>
      </w:pPr>
      <w:bookmarkStart w:id="7" w:name="_Toc226195256"/>
      <w:r>
        <w:t>Why NCA Is Used So Widely</w:t>
      </w:r>
      <w:bookmarkEnd w:id="7"/>
    </w:p>
    <w:p w14:paraId="6539B7DE"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24FAC1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5890202" w14:textId="77777777" w:rsidR="00631871" w:rsidRDefault="0013387A">
      <w:pPr>
        <w:pStyle w:val="Kop2"/>
      </w:pPr>
      <w:bookmarkStart w:id="8" w:name="_Toc226195257"/>
      <w:r>
        <w:t>When to Use NCA vs. Compartmental Modelling</w:t>
      </w:r>
      <w:bookmarkEnd w:id="8"/>
    </w:p>
    <w:p w14:paraId="241EEDE8"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1999567" w14:textId="77777777" w:rsidR="00631871" w:rsidRDefault="0013387A">
      <w:r>
        <w:br w:type="page"/>
      </w:r>
    </w:p>
    <w:p w14:paraId="0C056C22" w14:textId="77777777" w:rsidR="00631871" w:rsidRDefault="0013387A">
      <w:pPr>
        <w:pStyle w:val="Kop1"/>
      </w:pPr>
      <w:bookmarkStart w:id="9" w:name="_Toc226195258"/>
      <w:r>
        <w:lastRenderedPageBreak/>
        <w:t>Part II: Preparing Your Data</w:t>
      </w:r>
      <w:bookmarkEnd w:id="9"/>
    </w:p>
    <w:p w14:paraId="4712146A" w14:textId="77777777" w:rsidR="00631871" w:rsidRDefault="0013387A">
      <w:pPr>
        <w:pStyle w:val="Kop2"/>
      </w:pPr>
      <w:bookmarkStart w:id="10" w:name="_Toc226195259"/>
      <w:r>
        <w:t>General Format Rules</w:t>
      </w:r>
      <w:bookmarkEnd w:id="10"/>
    </w:p>
    <w:p w14:paraId="1BA60BF7"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4C25B3F5" w14:textId="77777777" w:rsidR="00631871" w:rsidRDefault="0013387A">
      <w:pPr>
        <w:pStyle w:val="Kop3"/>
      </w:pPr>
      <w:bookmarkStart w:id="11" w:name="_Toc226195260"/>
      <w:r>
        <w:t>Decimal Separators and Regional Formats</w:t>
      </w:r>
      <w:bookmarkEnd w:id="11"/>
    </w:p>
    <w:p w14:paraId="5D75A4CE" w14:textId="77777777" w:rsidR="00631871" w:rsidRDefault="0013387A">
      <w:pPr>
        <w:spacing w:after="120" w:line="276" w:lineRule="auto"/>
      </w:pPr>
      <w:r>
        <w:t xml:space="preserve">The app expects </w:t>
      </w:r>
      <w:r>
        <w:rPr>
          <w:b/>
          <w:bCs/>
        </w:rPr>
        <w:t>periods</w:t>
      </w:r>
      <w:r>
        <w:t xml:space="preserve">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w:t>
      </w:r>
    </w:p>
    <w:p w14:paraId="054054C5"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1000CC8E"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8A75EC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B425E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1EB8E0" w14:textId="77777777" w:rsidR="00631871" w:rsidRDefault="0013387A">
            <w:r>
              <w:rPr>
                <w:b/>
                <w:bCs/>
                <w:color w:val="FFFFFF"/>
                <w:sz w:val="20"/>
                <w:szCs w:val="20"/>
              </w:rPr>
              <w:t>Concentration</w:t>
            </w:r>
          </w:p>
        </w:tc>
      </w:tr>
      <w:tr w:rsidR="00631871" w14:paraId="55FCCE4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C3710"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925D3" w14:textId="77777777" w:rsidR="00631871" w:rsidRDefault="0013387A">
            <w:r>
              <w:rPr>
                <w:sz w:val="20"/>
                <w:szCs w:val="20"/>
              </w:rPr>
              <w:t>0</w:t>
            </w:r>
          </w:p>
        </w:tc>
      </w:tr>
      <w:tr w:rsidR="00631871" w14:paraId="482C81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2E764"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3C07E" w14:textId="77777777" w:rsidR="00631871" w:rsidRDefault="0013387A">
            <w:r>
              <w:rPr>
                <w:sz w:val="20"/>
                <w:szCs w:val="20"/>
              </w:rPr>
              <w:t>4.2</w:t>
            </w:r>
          </w:p>
        </w:tc>
      </w:tr>
      <w:tr w:rsidR="00631871" w14:paraId="3F45BD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F3D9E"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BC79E" w14:textId="77777777" w:rsidR="00631871" w:rsidRDefault="0013387A">
            <w:r>
              <w:rPr>
                <w:sz w:val="20"/>
                <w:szCs w:val="20"/>
              </w:rPr>
              <w:t>18.5</w:t>
            </w:r>
          </w:p>
        </w:tc>
      </w:tr>
      <w:tr w:rsidR="00631871" w14:paraId="34CA86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5E386"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67DF2" w14:textId="77777777" w:rsidR="00631871" w:rsidRDefault="0013387A">
            <w:r>
              <w:rPr>
                <w:sz w:val="20"/>
                <w:szCs w:val="20"/>
              </w:rPr>
              <w:t>12.1</w:t>
            </w:r>
          </w:p>
        </w:tc>
      </w:tr>
      <w:tr w:rsidR="00631871" w14:paraId="3B1445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62B86"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AB30" w14:textId="77777777" w:rsidR="00631871" w:rsidRDefault="0013387A">
            <w:r>
              <w:rPr>
                <w:sz w:val="20"/>
                <w:szCs w:val="20"/>
              </w:rPr>
              <w:t>6.3</w:t>
            </w:r>
          </w:p>
        </w:tc>
      </w:tr>
      <w:tr w:rsidR="00631871" w14:paraId="258581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5A801"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AF77F" w14:textId="77777777" w:rsidR="00631871" w:rsidRDefault="0013387A">
            <w:r>
              <w:rPr>
                <w:sz w:val="20"/>
                <w:szCs w:val="20"/>
              </w:rPr>
              <w:t>2.8</w:t>
            </w:r>
          </w:p>
        </w:tc>
      </w:tr>
      <w:tr w:rsidR="00631871" w14:paraId="50C751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22416"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F2766" w14:textId="77777777" w:rsidR="00631871" w:rsidRDefault="0013387A">
            <w:r>
              <w:rPr>
                <w:sz w:val="20"/>
                <w:szCs w:val="20"/>
              </w:rPr>
              <w:t>0.4</w:t>
            </w:r>
          </w:p>
        </w:tc>
      </w:tr>
    </w:tbl>
    <w:p w14:paraId="099C7503"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16E5180D"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241B2E1"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7843D2"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CEA036" w14:textId="77777777" w:rsidR="00631871" w:rsidRDefault="0013387A">
            <w:r>
              <w:rPr>
                <w:b/>
                <w:bCs/>
                <w:color w:val="FFFFFF"/>
                <w:sz w:val="20"/>
                <w:szCs w:val="20"/>
              </w:rPr>
              <w:t>Concentration</w:t>
            </w:r>
          </w:p>
        </w:tc>
      </w:tr>
      <w:tr w:rsidR="00631871" w14:paraId="23CA8A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87BC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209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48CCE" w14:textId="77777777" w:rsidR="00631871" w:rsidRDefault="0013387A">
            <w:r>
              <w:rPr>
                <w:sz w:val="20"/>
                <w:szCs w:val="20"/>
              </w:rPr>
              <w:t>0</w:t>
            </w:r>
          </w:p>
        </w:tc>
      </w:tr>
      <w:tr w:rsidR="00631871" w14:paraId="7FD7B81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273F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82A78"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FF9B" w14:textId="77777777" w:rsidR="00631871" w:rsidRDefault="0013387A">
            <w:r>
              <w:rPr>
                <w:sz w:val="20"/>
                <w:szCs w:val="20"/>
              </w:rPr>
              <w:t>22.5</w:t>
            </w:r>
          </w:p>
        </w:tc>
      </w:tr>
      <w:tr w:rsidR="00631871" w14:paraId="1652786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F5CCC"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7C85C"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71D9" w14:textId="77777777" w:rsidR="00631871" w:rsidRDefault="0013387A">
            <w:r>
              <w:rPr>
                <w:sz w:val="20"/>
                <w:szCs w:val="20"/>
              </w:rPr>
              <w:t>0.4</w:t>
            </w:r>
          </w:p>
        </w:tc>
      </w:tr>
      <w:tr w:rsidR="00631871" w14:paraId="55424EB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221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F6456"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58F882" w14:textId="77777777" w:rsidR="00631871" w:rsidRDefault="0013387A">
            <w:r>
              <w:rPr>
                <w:sz w:val="20"/>
                <w:szCs w:val="20"/>
              </w:rPr>
              <w:t>0</w:t>
            </w:r>
          </w:p>
        </w:tc>
      </w:tr>
      <w:tr w:rsidR="00631871" w14:paraId="3B9C78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2CB39"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B368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6C2CF" w14:textId="77777777" w:rsidR="00631871" w:rsidRDefault="0013387A">
            <w:r>
              <w:rPr>
                <w:sz w:val="20"/>
                <w:szCs w:val="20"/>
              </w:rPr>
              <w:t>28.1</w:t>
            </w:r>
          </w:p>
        </w:tc>
      </w:tr>
      <w:tr w:rsidR="00631871" w14:paraId="07C9281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990A2"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E8059"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ECCF1" w14:textId="77777777" w:rsidR="00631871" w:rsidRDefault="0013387A">
            <w:r>
              <w:rPr>
                <w:sz w:val="20"/>
                <w:szCs w:val="20"/>
              </w:rPr>
              <w:t>0.6</w:t>
            </w:r>
          </w:p>
        </w:tc>
      </w:tr>
    </w:tbl>
    <w:p w14:paraId="4B13114E" w14:textId="77777777" w:rsidR="00631871" w:rsidRDefault="0013387A">
      <w:pPr>
        <w:pStyle w:val="Kop2"/>
      </w:pPr>
      <w:bookmarkStart w:id="14" w:name="_Toc226195263"/>
      <w:r>
        <w:t>Scenario 3: Multiple Subjects, Different Doses</w:t>
      </w:r>
      <w:bookmarkEnd w:id="14"/>
    </w:p>
    <w:p w14:paraId="358BC437" w14:textId="77777777" w:rsidR="00631871" w:rsidRDefault="0013387A">
      <w:pPr>
        <w:spacing w:after="120" w:line="276" w:lineRule="auto"/>
      </w:pPr>
      <w:r>
        <w:t>Add a Dose column if subjects received different doses (dose escalation, weight-based dosing).</w:t>
      </w:r>
    </w:p>
    <w:p w14:paraId="4DF33484" w14:textId="77777777" w:rsidR="00631871" w:rsidRDefault="0013387A">
      <w:pPr>
        <w:pStyle w:val="Kop2"/>
      </w:pPr>
      <w:bookmarkStart w:id="15" w:name="_Toc226195264"/>
      <w:r>
        <w:lastRenderedPageBreak/>
        <w:t>Scenario 4: Standard 2-Period Crossover (BE)</w:t>
      </w:r>
      <w:bookmarkEnd w:id="15"/>
    </w:p>
    <w:p w14:paraId="0632912F" w14:textId="77777777" w:rsidR="00631871" w:rsidRDefault="0013387A">
      <w:pPr>
        <w:spacing w:after="120" w:line="276" w:lineRule="auto"/>
      </w:pPr>
      <w:r>
        <w:t>Six columns: Subject, Treatment, Period, Sequence, Time, Concentration. Time resets to 0 at the start of each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D2D785E"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CF87AC2"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38A57A4"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510F63"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C81685"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149FB8"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40208C" w14:textId="77777777" w:rsidR="00631871" w:rsidRDefault="0013387A">
            <w:r>
              <w:rPr>
                <w:b/>
                <w:bCs/>
                <w:color w:val="FFFFFF"/>
                <w:sz w:val="20"/>
                <w:szCs w:val="20"/>
              </w:rPr>
              <w:t>Conc</w:t>
            </w:r>
          </w:p>
        </w:tc>
      </w:tr>
      <w:tr w:rsidR="00631871" w14:paraId="009459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FA25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49922"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394E7"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3CCE"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D915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D7CAA" w14:textId="77777777" w:rsidR="00631871" w:rsidRDefault="0013387A">
            <w:r>
              <w:rPr>
                <w:sz w:val="20"/>
                <w:szCs w:val="20"/>
              </w:rPr>
              <w:t>0</w:t>
            </w:r>
          </w:p>
        </w:tc>
      </w:tr>
      <w:tr w:rsidR="00631871" w14:paraId="556486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2CD1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3D22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35C06"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E0AE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506A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CFA20" w14:textId="77777777" w:rsidR="00631871" w:rsidRDefault="0013387A">
            <w:r>
              <w:rPr>
                <w:sz w:val="20"/>
                <w:szCs w:val="20"/>
              </w:rPr>
              <w:t>24.5</w:t>
            </w:r>
          </w:p>
        </w:tc>
      </w:tr>
      <w:tr w:rsidR="00631871" w14:paraId="0424F66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868B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4DCF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EA078"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4EC4C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FFEC"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6DD4F" w14:textId="77777777" w:rsidR="00631871" w:rsidRDefault="0013387A">
            <w:r>
              <w:rPr>
                <w:sz w:val="20"/>
                <w:szCs w:val="20"/>
              </w:rPr>
              <w:t>0</w:t>
            </w:r>
          </w:p>
        </w:tc>
      </w:tr>
      <w:tr w:rsidR="00631871" w14:paraId="2867DC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D3A3D"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FCD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2C2C7"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738DD"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DD57B2"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A003D" w14:textId="77777777" w:rsidR="00631871" w:rsidRDefault="0013387A">
            <w:r>
              <w:rPr>
                <w:sz w:val="20"/>
                <w:szCs w:val="20"/>
              </w:rPr>
              <w:t>22.8</w:t>
            </w:r>
          </w:p>
        </w:tc>
      </w:tr>
    </w:tbl>
    <w:p w14:paraId="339470B5" w14:textId="77777777" w:rsidR="00631871" w:rsidRDefault="0013387A">
      <w:pPr>
        <w:pStyle w:val="Kop2"/>
      </w:pPr>
      <w:bookmarkStart w:id="16" w:name="_Toc226195265"/>
      <w:r>
        <w:t>Scenario 5: Fixed-Order, 3-Period, and Replicate Crossover</w:t>
      </w:r>
      <w:bookmarkEnd w:id="16"/>
    </w:p>
    <w:p w14:paraId="60B49117"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0A2F082F" w14:textId="77777777" w:rsidR="00631871" w:rsidRDefault="0013387A">
      <w:pPr>
        <w:pStyle w:val="Kop2"/>
      </w:pPr>
      <w:bookmarkStart w:id="17" w:name="_Toc226195266"/>
      <w:r>
        <w:t>Scenario 6: Parallel-Group BE</w:t>
      </w:r>
      <w:bookmarkEnd w:id="17"/>
    </w:p>
    <w:p w14:paraId="4959AAF8" w14:textId="77777777" w:rsidR="00631871" w:rsidRDefault="0013387A">
      <w:pPr>
        <w:spacing w:after="120" w:line="276" w:lineRule="auto"/>
      </w:pPr>
      <w:r>
        <w:t>Four columns: Subject, Treatment, Time, Concentration. No Period or Sequence needed.</w:t>
      </w:r>
    </w:p>
    <w:p w14:paraId="1000D944" w14:textId="77777777" w:rsidR="00631871" w:rsidRDefault="0013387A">
      <w:pPr>
        <w:pStyle w:val="Kop2"/>
      </w:pPr>
      <w:bookmarkStart w:id="18" w:name="_Toc226195267"/>
      <w:r>
        <w:t>Scenario 7: Steady-State PK</w:t>
      </w:r>
      <w:bookmarkEnd w:id="18"/>
    </w:p>
    <w:p w14:paraId="0B9BD222" w14:textId="77777777" w:rsidR="00631871" w:rsidRDefault="0013387A">
      <w:pPr>
        <w:spacing w:after="120" w:line="276" w:lineRule="auto"/>
      </w:pPr>
      <w:r>
        <w:t>Same as Scenario 2. Pre-dose concentration is above zero. Tick ‘Steady-state (drug given repeatedly)’ in the app.</w:t>
      </w:r>
    </w:p>
    <w:p w14:paraId="73D92050" w14:textId="77777777" w:rsidR="00631871" w:rsidRDefault="0013387A">
      <w:pPr>
        <w:pStyle w:val="Kop2"/>
      </w:pPr>
      <w:bookmarkStart w:id="19" w:name="_Toc226195268"/>
      <w:r>
        <w:t>Scenario 8: Drug–Drug Interaction Study</w:t>
      </w:r>
      <w:bookmarkEnd w:id="19"/>
    </w:p>
    <w:p w14:paraId="6BB9A594"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C121D05" w14:textId="77777777" w:rsidR="00631871" w:rsidRDefault="0013387A">
      <w:pPr>
        <w:spacing w:after="120" w:line="276" w:lineRule="auto"/>
      </w:pPr>
      <w:r>
        <w:t>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14:paraId="6DF02533"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78BCFC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D0144F"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9A7DB10" w14:textId="77777777" w:rsidR="00631871" w:rsidRDefault="0013387A">
            <w:r>
              <w:rPr>
                <w:b/>
                <w:bCs/>
                <w:color w:val="FFFFFF"/>
                <w:sz w:val="20"/>
                <w:szCs w:val="20"/>
              </w:rPr>
              <w:t>Description</w:t>
            </w:r>
          </w:p>
        </w:tc>
      </w:tr>
      <w:tr w:rsidR="00631871" w14:paraId="3E7B4FC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ECC66"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44D6E" w14:textId="77777777" w:rsidR="00631871" w:rsidRDefault="0013387A">
            <w:r>
              <w:rPr>
                <w:sz w:val="20"/>
                <w:szCs w:val="20"/>
              </w:rPr>
              <w:t>Pre-first-quantifiable = 0, post-last-quantifiable = missing, between = 0 (default)</w:t>
            </w:r>
          </w:p>
        </w:tc>
      </w:tr>
      <w:tr w:rsidR="00631871" w14:paraId="1DFD003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B03E77"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92569" w14:textId="77777777" w:rsidR="00631871" w:rsidRDefault="0013387A">
            <w:r>
              <w:rPr>
                <w:sz w:val="20"/>
                <w:szCs w:val="20"/>
              </w:rPr>
              <w:t>All BLQ = 0</w:t>
            </w:r>
          </w:p>
        </w:tc>
      </w:tr>
      <w:tr w:rsidR="00631871" w14:paraId="02730C4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0EDD"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E9DA94" w14:textId="77777777" w:rsidR="00631871" w:rsidRDefault="0013387A">
            <w:r>
              <w:rPr>
                <w:sz w:val="20"/>
                <w:szCs w:val="20"/>
              </w:rPr>
              <w:t>All BLQ = excluded</w:t>
            </w:r>
          </w:p>
        </w:tc>
      </w:tr>
      <w:tr w:rsidR="00631871" w14:paraId="5AD5FF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AAF3A"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F6BA" w14:textId="77777777" w:rsidR="00631871" w:rsidRDefault="0013387A">
            <w:r>
              <w:rPr>
                <w:sz w:val="20"/>
                <w:szCs w:val="20"/>
              </w:rPr>
              <w:t>All BLQ = LLOQ/2</w:t>
            </w:r>
          </w:p>
        </w:tc>
      </w:tr>
      <w:tr w:rsidR="00631871" w14:paraId="0DE2A93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9314B"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4FB89" w14:textId="77777777" w:rsidR="00631871" w:rsidRDefault="0013387A">
            <w:r>
              <w:rPr>
                <w:sz w:val="20"/>
                <w:szCs w:val="20"/>
              </w:rPr>
              <w:t>Before Cmax = 0, after Cmax = missing</w:t>
            </w:r>
          </w:p>
        </w:tc>
      </w:tr>
      <w:tr w:rsidR="00631871" w14:paraId="56EEB1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157ED"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6EF7F" w14:textId="77777777" w:rsidR="00631871" w:rsidRDefault="0013387A">
            <w:r>
              <w:rPr>
                <w:sz w:val="20"/>
                <w:szCs w:val="20"/>
              </w:rPr>
              <w:t>First BLQ = LLOQ/2, rest = 0 (for drugs with absorption lag)</w:t>
            </w:r>
          </w:p>
        </w:tc>
      </w:tr>
    </w:tbl>
    <w:p w14:paraId="1E0F1317" w14:textId="77777777" w:rsidR="00631871" w:rsidRDefault="0013387A">
      <w:pPr>
        <w:spacing w:after="80" w:line="276" w:lineRule="auto"/>
      </w:pPr>
      <w:r>
        <w:rPr>
          <w:color w:val="555555"/>
          <w:sz w:val="20"/>
          <w:szCs w:val="20"/>
        </w:rPr>
        <w:t>Set LLOQ &gt; 0 when your data contains BLQ text entries. The app auto-detects the LLOQ from ‘&lt;X’ entries.</w:t>
      </w:r>
    </w:p>
    <w:p w14:paraId="435C1EBD" w14:textId="77777777" w:rsidR="00631871" w:rsidRDefault="0013387A">
      <w:pPr>
        <w:pStyle w:val="Kop2"/>
      </w:pPr>
      <w:bookmarkStart w:id="21" w:name="_Toc226195270"/>
      <w:r>
        <w:lastRenderedPageBreak/>
        <w:t>Common Mistakes</w:t>
      </w:r>
      <w:bookmarkEnd w:id="21"/>
    </w:p>
    <w:p w14:paraId="40141A24"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5E3BBCFB" w14:textId="77777777" w:rsidR="00631871" w:rsidRDefault="0013387A">
      <w:r>
        <w:br w:type="page"/>
      </w:r>
    </w:p>
    <w:p w14:paraId="34CDC439" w14:textId="77777777" w:rsidR="00631871" w:rsidRDefault="0013387A">
      <w:pPr>
        <w:pStyle w:val="Kop1"/>
      </w:pPr>
      <w:bookmarkStart w:id="22" w:name="_Toc226195271"/>
      <w:r>
        <w:lastRenderedPageBreak/>
        <w:t>Part III: Using the App</w:t>
      </w:r>
      <w:bookmarkEnd w:id="22"/>
    </w:p>
    <w:p w14:paraId="54ED8CC8" w14:textId="77777777" w:rsidR="00631871" w:rsidRDefault="0013387A">
      <w:pPr>
        <w:pStyle w:val="Kop2"/>
      </w:pPr>
      <w:bookmarkStart w:id="23" w:name="_Toc226195272"/>
      <w:r>
        <w:t>The Hub Screen</w:t>
      </w:r>
      <w:bookmarkEnd w:id="23"/>
    </w:p>
    <w:p w14:paraId="383EB8D6" w14:textId="77777777" w:rsidR="00631871" w:rsidRDefault="0013387A">
      <w:pPr>
        <w:spacing w:after="120" w:line="276" w:lineRule="auto"/>
      </w:pPr>
      <w:r>
        <w:t>Six cards for the six workflow paths, arranged in two rows of three. The top row covers planning and data preparation; the bottom row covers the three analysis paths. The top navigation bar contains the Statistical Methods page, Data Guide, and About.</w:t>
      </w:r>
    </w:p>
    <w:p w14:paraId="5945BDF6" w14:textId="77777777" w:rsidR="00631871" w:rsidRDefault="0013387A">
      <w:pPr>
        <w:pStyle w:val="Kop2"/>
      </w:pPr>
      <w:bookmarkStart w:id="24" w:name="_Toc226195273"/>
      <w:r>
        <w:t>Path 1: Plan a Study</w:t>
      </w:r>
      <w:bookmarkEnd w:id="24"/>
    </w:p>
    <w:p w14:paraId="63956680" w14:textId="77777777" w:rsidR="00631871" w:rsidRDefault="0013387A">
      <w:pPr>
        <w:spacing w:after="120" w:line="276" w:lineRule="auto"/>
      </w:pPr>
      <w:r>
        <w:t>Calculates sample size or power for bioequivalence studies. Supports ABE, ABEL (EMA), RSABE (FDA), and NTID. Uses the PowerTOST R package.</w:t>
      </w:r>
    </w:p>
    <w:p w14:paraId="758A180F" w14:textId="77777777" w:rsidR="00631871" w:rsidRDefault="0013387A">
      <w:pPr>
        <w:pStyle w:val="Kop2"/>
      </w:pPr>
      <w:bookmarkStart w:id="25" w:name="_Toc226195274"/>
      <w:r>
        <w:t>Path 2: Upload &amp; Check Data</w:t>
      </w:r>
      <w:bookmarkEnd w:id="25"/>
    </w:p>
    <w:p w14:paraId="4DC9F64D"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 After successful processing, a “Your data is ready — what’s next?” panel appears with direct links to Visualize Data, Single Subject, Batch Analysis, and Bioequivalence.</w:t>
      </w:r>
    </w:p>
    <w:p w14:paraId="71B3EB49" w14:textId="77777777" w:rsidR="00631871" w:rsidRDefault="0013387A">
      <w:pPr>
        <w:pStyle w:val="Kop2"/>
      </w:pPr>
      <w:r>
        <w:t>Path 3: Visualize Data</w:t>
      </w:r>
    </w:p>
    <w:p w14:paraId="66CACEC7"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58F7CF38" w14:textId="77777777" w:rsidR="00631871" w:rsidRDefault="0013387A">
      <w:pPr>
        <w:spacing w:after="120" w:line="276" w:lineRule="auto"/>
      </w:pPr>
      <w:r>
        <w:t>Layout: settings sidebar on the left, stacked plot area on the right. There are no tabs — the Plot Type control determines which plot or plots appear.</w:t>
      </w:r>
    </w:p>
    <w:p w14:paraId="43A993A0" w14:textId="77777777" w:rsidR="00631871" w:rsidRDefault="0013387A">
      <w:pPr>
        <w:pStyle w:val="Kop3"/>
      </w:pPr>
      <w:r>
        <w:t>Plot Types</w:t>
      </w:r>
    </w:p>
    <w:p w14:paraId="471E8E28" w14:textId="77777777" w:rsidR="00631871" w:rsidRDefault="0013387A">
      <w:pPr>
        <w:spacing w:after="120" w:line="276" w:lineRule="auto"/>
      </w:pPr>
      <w:r>
        <w:t>The Plot Type radio button has three options. Select “Individual Profiles (spaghetti plot)” to show one concentration–time line per subject, colour-coded by the grouping variable of your choice. This is the standard plot for visualising individual PK variability, checking for outliers, and detecting carry-over in crossover studies. Select “Summary Plot (geometric mean ± gCV%)” to show the geometric mean concentration at each time point with error bars representing the geometric standard deviation. When two or more treatment groups are present they are overlaid automatically with distinct colours. Select “Both plots” to render the spaghetti plot followed by the summary plot in a single scrollable view — useful for team reviews where you want to show both data quality and the central tendency in one screen.</w:t>
      </w:r>
    </w:p>
    <w:p w14:paraId="678227D4"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194D7978" w14:textId="77777777" w:rsidR="00631871" w:rsidRDefault="0013387A">
      <w:pPr>
        <w:pStyle w:val="Kop3"/>
      </w:pPr>
      <w:r>
        <w:t>Sidebar Controls</w:t>
      </w:r>
    </w:p>
    <w:p w14:paraId="79772B5D" w14:textId="77777777" w:rsidR="00631871" w:rsidRDefault="0013387A">
      <w:pPr>
        <w:spacing w:after="120" w:line="276" w:lineRule="auto"/>
      </w:pPr>
      <w:r>
        <w:t xml:space="preserve">Y-axis scale (Linear or Log₁₀): the semi-log view makes the terminal elimination phase linear, which is useful for identifying biphasic profiles or half-life estimation issues. When log </w:t>
        <w:lastRenderedPageBreak/>
        <w:t>scale is active and zero concentrations are present they are omitted from the plot and a note is shown.</w:t>
      </w:r>
    </w:p>
    <w:p w14:paraId="1BFBED96" w14:textId="77777777" w:rsidR="00631871" w:rsidRDefault="0013387A">
      <w:pPr>
        <w:spacing w:after="120" w:line="276" w:lineRule="auto"/>
      </w:pPr>
      <w:r>
        <w:t>Colour lines by (spaghetti plot, dropdown): options are generated from the columns mapped during upload — Subject ID (always available), Treatment, Period, Sequence (each available only when that column was mapped), and None. Use “Sequence” in crossover studies to check for period effects visually.</w:t>
      </w:r>
    </w:p>
    <w:p w14:paraId="1303834D" w14:textId="77777777" w:rsidR="00631871" w:rsidRDefault="0013387A">
      <w:pPr>
        <w:spacing w:after="120" w:line="276" w:lineRule="auto"/>
      </w:pPr>
      <w:r>
        <w:t>Normalize to dose — C/Dose (checkbox, conditional): appears only when a Dose column was mapped. When checked, concentration values are divided by the subject’s dose, so the Y axis shows C/Dose (e.g., ng/mL per mg). Useful for overlaying profiles from dose-escalation studies. Subjects with a missing or zero dose are shown as missing. Update the Y-axis label accordingly when this is active, e.g. “C/Dose (ng·mL⁻¹·mg⁻¹)”.</w:t>
      </w:r>
    </w:p>
    <w:p w14:paraId="59CC5DA7"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4C30C73"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 edit to add units, e.g. “Cyclosporin (ng/mL)”. The default X-axis label is “Time (h)”.</w:t>
      </w:r>
    </w:p>
    <w:p w14:paraId="57B5381E" w14:textId="77777777" w:rsidR="00631871" w:rsidRDefault="0013387A">
      <w:pPr>
        <w:pStyle w:val="Kop3"/>
      </w:pPr>
      <w:r>
        <w:t>Suggested Figure Legend</w:t>
      </w:r>
    </w:p>
    <w:p w14:paraId="24432AFE" w14:textId="77777777" w:rsidR="00631871" w:rsidRDefault="0013387A">
      <w:pPr>
        <w:spacing w:after="120" w:line="276" w:lineRule="auto"/>
      </w:pPr>
      <w:r>
        <w:t>Immediately above the plot area, the module displays a card titled “Suggested figure legend.” This card contains a ready-to-copy text description of the current figure, automatically generated from your data and settings. It includes the number of subjects and observations, plot type, summary statistic and sample size (for summary plots), error bar definition, treatment group names when a Treatment column is mapped, a count of BLQ observations excluded from the geometric mean, Y-axis scale, and colour grouping for spaghetti plots. The legend updates automatically whenever you change settings. Copy the text, paste it into your report or manuscript, and adapt as needed — add the drug name, time units, and concentration units.</w:t>
      </w:r>
    </w:p>
    <w:p w14:paraId="2EE31D86" w14:textId="77777777" w:rsidR="00631871" w:rsidRDefault="0013387A">
      <w:pPr>
        <w:pStyle w:val="Kop3"/>
      </w:pPr>
      <w:r>
        <w:t>Exporting a Figure</w:t>
      </w:r>
    </w:p>
    <w:p w14:paraId="3F2D4AFD" w14:textId="77777777" w:rsidR="00631871" w:rsidRDefault="0013387A">
      <w:pPr>
        <w:spacing w:after="120" w:line="276" w:lineRule="auto"/>
      </w:pPr>
      <w:r>
        <w:t>Export controls are at the bottom of the settings sidebar under the heading “Export Figure” — always visible, no separate tab required. A small “Will export” label above the Download button shows exactly which plot will be downloaded. When “Both plots” is selected, a radio button appears asking which plot to export; only one file is produced per download.</w:t>
      </w:r>
    </w:p>
    <w:p w14:paraId="1D964368"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3B623B18" w14:textId="77777777" w:rsidR="00631871" w:rsidRDefault="0013387A">
      <w:pPr>
        <w:pStyle w:val="Kop3"/>
      </w:pPr>
      <w:r>
        <w:lastRenderedPageBreak/>
        <w:t>Interactive Preview vs. Static Export</w:t>
      </w:r>
    </w:p>
    <w:p w14:paraId="30358630"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 font size, theme, and colour palette — and is the version suitable for reports and manuscripts.</w:t>
      </w:r>
    </w:p>
    <w:p w14:paraId="5147CAA5" w14:textId="77777777" w:rsidR="00631871" w:rsidRDefault="0013387A">
      <w:pPr>
        <w:pStyle w:val="Kop3"/>
      </w:pPr>
      <w:r>
        <w:t>Worked Examples</w:t>
      </w:r>
    </w:p>
    <w:p w14:paraId="361DE816"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 12 coloured lines, one per subject, on a linear Y scale. Toggle Y-axis to Log₁₀: the terminal phase becomes linear, confirming mono-exponential disposition. This is a visual check only; no analysis settings are required.</w:t>
      </w:r>
    </w:p>
    <w:p w14:paraId="31882675" w14:textId="77777777" w:rsidR="00631871" w:rsidRDefault="0013387A">
      <w:pPr>
        <w:spacing w:after="120" w:line="276" w:lineRule="auto"/>
      </w:pPr>
      <w:r>
        <w:rPr>
          <w:b/>
          <w:bCs/>
        </w:rPr>
        <w:t xml:space="preserve">Example 2: Summary plot for a crossover BE study. </w:t>
      </w:r>
      <w:r>
        <w:t>Upload your crossover dataset with a Treatment column mapped. Navigate to “3. Visualize Data” and select “Summary Plot.” The plot automatically overlays two curves, one per treatment, with error bars. Substantially overlapping error bars are consistent with bioequivalence; clearly separated curves suggest the 90% CI may fall outside 80–125%. Go to the Export Figure section in the sidebar, select PDF, 7 × 5 in, 300 DPI, and click Download. Include the PDF directly in your clinical study report.</w:t>
      </w:r>
    </w:p>
    <w:p w14:paraId="2B4FB3FD"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If dose disposition is proportional, the normalised profiles collapse onto each other; divergence suggests non-linear pharmacokinetics.</w:t>
      </w:r>
    </w:p>
    <w:p w14:paraId="74B6351F" w14:textId="77777777" w:rsidR="00631871" w:rsidRDefault="0013387A">
      <w:pPr>
        <w:pStyle w:val="Kop3"/>
      </w:pPr>
      <w:r>
        <w:t>Common Questions</w:t>
      </w:r>
    </w:p>
    <w:p w14:paraId="6302699B"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 simply wait for the plot to appear.</w:t>
      </w:r>
    </w:p>
    <w:p w14:paraId="4538849B"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362C78E" w14:textId="77777777" w:rsidR="00631871" w:rsidRDefault="0013387A">
      <w:pPr>
        <w:spacing w:after="120" w:line="276" w:lineRule="auto"/>
      </w:pPr>
      <w:r>
        <w:rPr>
          <w:b/>
          <w:bCs/>
        </w:rPr>
        <w:t xml:space="preserve">I see “N observations with concentration ≤ 0 excluded.” </w:t>
      </w:r>
      <w:r>
        <w:t>This is expected when your data contains BLQ values coded as 0 after applying BLQ rules 1, 2, or 5. These zeros cannot be log-transformed and are excluded from the geometric mean. They are not deleted from your data — only excluded from this summary calculation.</w:t>
      </w:r>
    </w:p>
    <w:p w14:paraId="2271165A"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F5F9207" w14:textId="77777777" w:rsidR="00631871" w:rsidRDefault="0013387A">
      <w:pPr>
        <w:pStyle w:val="Kop2"/>
      </w:pPr>
      <w:r>
        <w:t>Path 4: Analyze One Subject at a Time</w:t>
      </w:r>
    </w:p>
    <w:p w14:paraId="4CE6B7D5" w14:textId="77777777" w:rsidR="00631871" w:rsidRDefault="0013387A">
      <w:pPr>
        <w:spacing w:after="120" w:line="276" w:lineRule="auto"/>
      </w:pPr>
      <w:r>
        <w:lastRenderedPageBreak/>
        <w:t>Step through individual profiles. Manual data entry available. Half-life inspector allows point adjustment. Downloads: CSV and Complete Analysis Record (zip with reproducibility script).</w:t>
      </w:r>
    </w:p>
    <w:p w14:paraId="4A27501A" w14:textId="77777777" w:rsidR="00631871" w:rsidRDefault="0013387A">
      <w:pPr>
        <w:pStyle w:val="Kop2"/>
      </w:pPr>
      <w:bookmarkStart w:id="26" w:name="_Toc226195276"/>
      <w:r>
        <w:t>Path 5: Analyze All Subjects (Batch NCA)</w:t>
      </w:r>
      <w:bookmarkEnd w:id="26"/>
    </w:p>
    <w:p w14:paraId="6138DA99" w14:textId="77777777" w:rsidR="00631871" w:rsidRDefault="0013387A">
      <w:pPr>
        <w:spacing w:after="120" w:line="276" w:lineRule="auto"/>
      </w:pPr>
      <w:r>
        <w:t>Settings: route, dose (single or per-subject), steady-state, trapezoidal method, minimum R². Result tabs: concentration–time profiles, parameter table (expandable to 37 columns), summary statistics, individual grid (interactive, paginated, 12 subjects per page), half-life review. Downloads: CSV, Excel, Complete Analysis Record.</w:t>
      </w:r>
    </w:p>
    <w:p w14:paraId="5D2701A9" w14:textId="77777777" w:rsidR="00631871" w:rsidRDefault="0013387A">
      <w:pPr>
        <w:pStyle w:val="Kop2"/>
      </w:pPr>
      <w:bookmarkStart w:id="27" w:name="_Toc226195277"/>
      <w:r>
        <w:t>Path 6: Bioequivalence Testing</w:t>
      </w:r>
      <w:bookmarkEnd w:id="27"/>
    </w:p>
    <w:p w14:paraId="3C77A7AE" w14:textId="77777777" w:rsidR="00631871" w:rsidRDefault="0013387A">
      <w:pPr>
        <w:spacing w:after="120" w:line="276" w:lineRule="auto"/>
      </w:pPr>
      <w:r>
        <w:t>Runs NCA, then ANOVA, then 90% CI. Supports 5 designs: 2-period crossover, fixed-order crossover, 3-period crossover, replicate crossover, parallel. Fixed or mixed-effects model. Standard ABE only (80–125%). Downloads: Excel, CSV, Complete Analysis Record.</w:t>
      </w:r>
    </w:p>
    <w:p w14:paraId="55689EA5" w14:textId="77777777" w:rsidR="00631871" w:rsidRDefault="0013387A">
      <w:pPr>
        <w:pStyle w:val="Kop2"/>
      </w:pPr>
      <w:bookmarkStart w:id="28" w:name="_Toc226195278"/>
      <w:r>
        <w:t>Analysing Drug–Drug Interaction Studies</w:t>
      </w:r>
      <w:bookmarkEnd w:id="28"/>
    </w:p>
    <w:p w14:paraId="299AF104"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381CEE76" w14:textId="77777777" w:rsidR="00631871" w:rsidRDefault="0013387A">
      <w:pPr>
        <w:pStyle w:val="Kop3"/>
      </w:pPr>
      <w:bookmarkStart w:id="29" w:name="_Toc226195279"/>
      <w:r>
        <w:t>How to Set Up a DDI Analysis</w:t>
      </w:r>
      <w:bookmarkEnd w:id="29"/>
    </w:p>
    <w:p w14:paraId="48F4EDB3" w14:textId="77777777" w:rsidR="00631871" w:rsidRDefault="0013387A">
      <w:pPr>
        <w:spacing w:after="120" w:line="276" w:lineRule="auto"/>
      </w:pPr>
      <w:r>
        <w:t>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14:paraId="774FB4C8" w14:textId="77777777" w:rsidR="00631871" w:rsidRDefault="0013387A">
      <w:pPr>
        <w:spacing w:after="120" w:line="276" w:lineRule="auto"/>
      </w:pPr>
      <w:r>
        <w:t>Run the analysis. The app produces the geometric mean ratio and 90% confidence interval for C</w:t>
      </w:r>
      <w:r>
        <w:rPr>
          <w:vertAlign w:val="subscript"/>
        </w:rPr>
        <w:t>max</w:t>
      </w:r>
      <w:r>
        <w:t xml:space="preserve"> and AUC. The ratio represents the fold-change in exposure caused by the interacting drug: a ratio of 200% means the perpetrator doubled the victim’s exposure; a ratio of 50% means it halved it.</w:t>
      </w:r>
    </w:p>
    <w:p w14:paraId="47D744CE" w14:textId="77777777" w:rsidR="00631871" w:rsidRDefault="0013387A">
      <w:pPr>
        <w:pStyle w:val="Kop3"/>
      </w:pPr>
      <w:bookmarkStart w:id="30" w:name="_Toc226195280"/>
      <w:r>
        <w:t>Interpreting DDI Results</w:t>
      </w:r>
      <w:bookmarkEnd w:id="30"/>
    </w:p>
    <w:p w14:paraId="28777F1C"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B541AB5" w14:textId="77777777" w:rsidR="00631871" w:rsidRDefault="0013387A">
      <w:pPr>
        <w:spacing w:after="120" w:line="276" w:lineRule="auto"/>
      </w:pPr>
      <w:r>
        <w:t xml:space="preserve">• </w:t>
      </w:r>
      <w:r>
        <w:rPr>
          <w:b/>
          <w:bCs/>
        </w:rPr>
        <w:t>No clinically significant interaction</w:t>
      </w:r>
      <w:r>
        <w:t>: the 90% CI for the AUC ratio falls entirely within 80–125% (the EMA’s default threshold for ‘no effect’).</w:t>
      </w:r>
    </w:p>
    <w:p w14:paraId="34915AC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475594DC"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393C97B6" w14:textId="77777777" w:rsidR="00631871" w:rsidRDefault="0013387A">
      <w:pPr>
        <w:spacing w:after="120" w:line="276" w:lineRule="auto"/>
      </w:pPr>
      <w:r>
        <w:t xml:space="preserve">• </w:t>
      </w:r>
      <w:r>
        <w:rPr>
          <w:b/>
          <w:bCs/>
        </w:rPr>
        <w:t>Strong interaction</w:t>
      </w:r>
      <w:r>
        <w:t>: the AUC ratio exceeds 5.0 (inhibition) or is below 0.2 (induction).</w:t>
      </w:r>
    </w:p>
    <w:p w14:paraId="6494E826" w14:textId="77777777" w:rsidR="00631871" w:rsidRDefault="0013387A">
      <w:pPr>
        <w:spacing w:after="80" w:line="276" w:lineRule="auto"/>
      </w:pPr>
      <w:r>
        <w:rPr>
          <w:color w:val="555555"/>
          <w:sz w:val="20"/>
          <w:szCs w:val="20"/>
        </w:rPr>
        <w:lastRenderedPageBreak/>
        <w:t>These thresholds are from the FDA and EMA DDI guidance documents. The classification is based on the point estimate of the AUC ratio, not the CI boundaries.</w:t>
      </w:r>
    </w:p>
    <w:p w14:paraId="3F9ADB23" w14:textId="77777777" w:rsidR="00631871" w:rsidRDefault="0013387A">
      <w:pPr>
        <w:pStyle w:val="Kop3"/>
      </w:pPr>
      <w:bookmarkStart w:id="31" w:name="_Toc226195281"/>
      <w:r>
        <w:t>Practical Considerations</w:t>
      </w:r>
      <w:bookmarkEnd w:id="31"/>
    </w:p>
    <w:p w14:paraId="32D5A5AF" w14:textId="77777777" w:rsidR="00631871" w:rsidRDefault="0013387A">
      <w:pPr>
        <w:spacing w:after="120" w:line="276" w:lineRule="auto"/>
      </w:pPr>
      <w:r>
        <w:t>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14:paraId="4941E77E"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005A9A1B"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2ED69C4E" w14:textId="77777777" w:rsidR="00631871" w:rsidRDefault="0013387A">
      <w:pPr>
        <w:pStyle w:val="Kop2"/>
      </w:pPr>
      <w:bookmarkStart w:id="32" w:name="_Toc226195282"/>
      <w:r>
        <w:t>Complete Analysis Record</w:t>
      </w:r>
      <w:bookmarkEnd w:id="32"/>
    </w:p>
    <w:p w14:paraId="7A373367" w14:textId="77777777" w:rsidR="00631871" w:rsidRDefault="0013387A">
      <w:pPr>
        <w:spacing w:after="120" w:line="276" w:lineRule="auto"/>
      </w:pPr>
      <w:r>
        <w:t>Available in all three analysis paths (single-subject, batch NCA, and BE/DDI). Self-contained zip with: results.xlsx, analysis_settings.json, reproduce_analysis.R (standalone script), data_integrity.txt (SHA-256 hash), analysis_summary.html, and the original data file.</w:t>
      </w:r>
    </w:p>
    <w:p w14:paraId="32BBE131" w14:textId="77777777" w:rsidR="00631871" w:rsidRDefault="0013387A">
      <w:r>
        <w:br w:type="page"/>
      </w:r>
    </w:p>
    <w:p w14:paraId="6CBAE87E" w14:textId="77777777" w:rsidR="00631871" w:rsidRDefault="0013387A">
      <w:pPr>
        <w:pStyle w:val="Kop1"/>
      </w:pPr>
      <w:bookmarkStart w:id="33" w:name="_Toc226195283"/>
      <w:r>
        <w:lastRenderedPageBreak/>
        <w:t>Part IV: Worked Examples</w:t>
      </w:r>
      <w:bookmarkEnd w:id="33"/>
    </w:p>
    <w:p w14:paraId="597625DA" w14:textId="77777777" w:rsidR="00631871" w:rsidRDefault="0013387A">
      <w:pPr>
        <w:pStyle w:val="Kop2"/>
      </w:pPr>
      <w:bookmarkStart w:id="34" w:name="_Toc226195284"/>
      <w:r>
        <w:t>Exercise 1: Theoph Dataset (Batch NCA)</w:t>
      </w:r>
      <w:bookmarkEnd w:id="34"/>
    </w:p>
    <w:p w14:paraId="2497149B"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52FE542D"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01F02256" w14:textId="77777777" w:rsidR="00631871" w:rsidRDefault="0013387A">
      <w:pPr>
        <w:spacing w:after="120" w:line="276" w:lineRule="auto"/>
      </w:pPr>
      <w:r>
        <w:t>Upload. Set dose = 320, route = Oral / IM / SC (extravascular), method = Linear-up / Log-down. Run.</w:t>
      </w:r>
    </w:p>
    <w:p w14:paraId="7461E48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6A880999" w14:textId="77777777" w:rsidR="00631871" w:rsidRDefault="0013387A">
      <w:pPr>
        <w:spacing w:after="80" w:line="276" w:lineRule="auto"/>
      </w:pPr>
      <w:r>
        <w:rPr>
          <w:color w:val="555555"/>
          <w:sz w:val="20"/>
          <w:szCs w:val="20"/>
        </w:rPr>
        <w:t>Answers: 1) ~8.76 mg/L. 2) ~101.5 h·mg/L. 3) 1.25 h. 4) Subject 6 (~14.3 h). 5) ~22%.</w:t>
      </w:r>
    </w:p>
    <w:p w14:paraId="7FE5102A" w14:textId="77777777" w:rsidR="00631871" w:rsidRDefault="0013387A">
      <w:pPr>
        <w:pStyle w:val="Kop2"/>
      </w:pPr>
      <w:bookmarkStart w:id="35" w:name="_Toc226195285"/>
      <w:r>
        <w:t>Exercise 2: Bioequivalence</w:t>
      </w:r>
      <w:bookmarkEnd w:id="35"/>
    </w:p>
    <w:p w14:paraId="11AA1671"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452BB834" w14:textId="77777777" w:rsidR="00631871" w:rsidRDefault="0013387A">
      <w:pPr>
        <w:pStyle w:val="Kop2"/>
      </w:pPr>
      <w:bookmarkStart w:id="36" w:name="_Toc226195286"/>
      <w:r>
        <w:t>Exercise 3: Power Calculation</w:t>
      </w:r>
      <w:bookmarkEnd w:id="36"/>
    </w:p>
    <w:p w14:paraId="394683D9" w14:textId="77777777" w:rsidR="00631871" w:rsidRDefault="0013387A">
      <w:pPr>
        <w:spacing w:after="120" w:line="276" w:lineRule="auto"/>
      </w:pPr>
      <w:r>
        <w:t>Plan a Study. ABE, standard 2-period crossover, CV = 25 (enter as percentage), GMR = 95 (enter as percentage), target power = 80 (enter as percentage).</w:t>
      </w:r>
    </w:p>
    <w:p w14:paraId="613CF751" w14:textId="77777777" w:rsidR="00631871" w:rsidRDefault="0013387A">
      <w:pPr>
        <w:spacing w:after="120" w:line="276" w:lineRule="auto"/>
      </w:pPr>
      <w:r>
        <w:rPr>
          <w:b/>
          <w:bCs/>
        </w:rPr>
        <w:t xml:space="preserve">Questions: </w:t>
      </w:r>
      <w:r>
        <w:t>1) Subjects needed? 2) Power with 30 subjects? 3) Subjects needed at CV = 35%?</w:t>
      </w:r>
    </w:p>
    <w:p w14:paraId="7AE8D64F" w14:textId="77777777" w:rsidR="00631871" w:rsidRDefault="0013387A">
      <w:r>
        <w:br w:type="page"/>
      </w:r>
    </w:p>
    <w:p w14:paraId="51728684" w14:textId="77777777" w:rsidR="00631871" w:rsidRDefault="0013387A">
      <w:pPr>
        <w:pStyle w:val="Kop1"/>
      </w:pPr>
      <w:bookmarkStart w:id="37" w:name="_Toc226195287"/>
      <w:r>
        <w:lastRenderedPageBreak/>
        <w:t>Part V: Theoretical Background</w:t>
      </w:r>
      <w:bookmarkEnd w:id="37"/>
    </w:p>
    <w:p w14:paraId="319F4C7F" w14:textId="77777777" w:rsidR="00631871" w:rsidRDefault="0013387A">
      <w:pPr>
        <w:pStyle w:val="Kop2"/>
      </w:pPr>
      <w:bookmarkStart w:id="38" w:name="_Toc226195288"/>
      <w:r>
        <w:t>Trapezoidal Methods for AUC Calculation</w:t>
      </w:r>
      <w:bookmarkEnd w:id="38"/>
    </w:p>
    <w:p w14:paraId="4746761C" w14:textId="77777777" w:rsidR="00631871" w:rsidRDefault="0013387A">
      <w:pPr>
        <w:pStyle w:val="Kop3"/>
      </w:pPr>
      <w:bookmarkStart w:id="39" w:name="_Toc226195289"/>
      <w:r>
        <w:t>The Linear Trapezoidal Rule</w:t>
      </w:r>
      <w:bookmarkEnd w:id="39"/>
    </w:p>
    <w:p w14:paraId="752DDF12"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7BD399A4"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FBA1C30"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21D86822" w14:textId="77777777" w:rsidR="00631871" w:rsidRDefault="0013387A">
      <w:pPr>
        <w:pStyle w:val="Kop3"/>
      </w:pPr>
      <w:bookmarkStart w:id="40" w:name="_Toc226195290"/>
      <w:r>
        <w:t>The Logarithmic Trapezoidal Rule</w:t>
      </w:r>
      <w:bookmarkEnd w:id="40"/>
    </w:p>
    <w:p w14:paraId="061F9C39" w14:textId="77777777" w:rsidR="00631871" w:rsidRDefault="0013387A">
      <w:pPr>
        <w:spacing w:after="120" w:line="276" w:lineRule="auto"/>
      </w:pPr>
      <w:r>
        <w:t>If the concentration declines mono-exponentially between two points, the exact integral yields:</w:t>
      </w:r>
    </w:p>
    <w:p w14:paraId="05B8EF35"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22BD7615" w14:textId="77777777" w:rsidR="00631871" w:rsidRDefault="0013387A">
      <w:pPr>
        <w:spacing w:after="120" w:line="276" w:lineRule="auto"/>
      </w:pPr>
      <w:r>
        <w:t>This gives a more accurate estimate during the terminal phase. It requires both concentrations to be positive.</w:t>
      </w:r>
    </w:p>
    <w:p w14:paraId="5967D573" w14:textId="77777777" w:rsidR="00631871" w:rsidRDefault="0013387A">
      <w:pPr>
        <w:pStyle w:val="Kop3"/>
      </w:pPr>
      <w:bookmarkStart w:id="41" w:name="_Toc226195291"/>
      <w:r>
        <w:t>The Linear-Up / Log-Down Hybrid</w:t>
      </w:r>
      <w:bookmarkEnd w:id="41"/>
    </w:p>
    <w:p w14:paraId="7F74841A"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33FCC5CB" w14:textId="77777777" w:rsidR="00631871" w:rsidRDefault="0013387A">
      <w:pPr>
        <w:pStyle w:val="Kop2"/>
      </w:pPr>
      <w:bookmarkStart w:id="42" w:name="_Toc226195292"/>
      <w:r>
        <w:t>Terminal Phase Characterisation and Half-Life Estimation</w:t>
      </w:r>
      <w:bookmarkEnd w:id="42"/>
    </w:p>
    <w:p w14:paraId="033CC940" w14:textId="77777777" w:rsidR="00631871" w:rsidRDefault="0013387A">
      <w:pPr>
        <w:pStyle w:val="Kop3"/>
      </w:pPr>
      <w:bookmarkStart w:id="43" w:name="_Toc226195293"/>
      <w:r>
        <w:t>What Is the Terminal Phase?</w:t>
      </w:r>
      <w:bookmarkEnd w:id="43"/>
    </w:p>
    <w:p w14:paraId="4E01612F"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25FA261D" w14:textId="77777777" w:rsidR="00631871" w:rsidRDefault="0013387A">
      <w:pPr>
        <w:pStyle w:val="Kop3"/>
      </w:pPr>
      <w:bookmarkStart w:id="44" w:name="_Toc226195294"/>
      <w:r>
        <w:t>Automated Point Selection</w:t>
      </w:r>
      <w:bookmarkEnd w:id="44"/>
    </w:p>
    <w:p w14:paraId="0894EF7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w:t>
      </w:r>
    </w:p>
    <w:p w14:paraId="54B291C6" w14:textId="77777777" w:rsidR="00631871" w:rsidRDefault="0013387A">
      <w:pPr>
        <w:pStyle w:val="Kop3"/>
      </w:pPr>
      <w:bookmarkStart w:id="45" w:name="_Toc226195295"/>
      <w:r>
        <w:t>Manual Point Selection</w:t>
      </w:r>
      <w:bookmarkEnd w:id="45"/>
    </w:p>
    <w:p w14:paraId="618F3CF5" w14:textId="77777777" w:rsidR="00631871" w:rsidRDefault="0013387A">
      <w:pPr>
        <w:spacing w:after="120" w:line="276" w:lineRule="auto"/>
      </w:pPr>
      <w:r>
        <w:t>Common situations requiring manual adjustment: multi-phasic elimination, flip-flop kinetics, enterohepatic recirculation, late samples near LLOQ. Use the Half-Life Review tab to inspect and adjust. A wrong λ</w:t>
      </w:r>
      <w:r>
        <w:rPr>
          <w:vertAlign w:val="subscript"/>
        </w:rPr>
        <w:t>z</w:t>
      </w:r>
      <w:r>
        <w:t xml:space="preserve"> propagates through half-life, AUC∞, CL/F, and Vz/F. When AUC extrapolation exceeds 20%, results should be interpreted with caution.</w:t>
      </w:r>
    </w:p>
    <w:p w14:paraId="4F226FA6" w14:textId="77777777" w:rsidR="00631871" w:rsidRDefault="0013387A">
      <w:pPr>
        <w:pStyle w:val="Kop2"/>
      </w:pPr>
      <w:bookmarkStart w:id="46" w:name="_Toc226195296"/>
      <w:r>
        <w:t>BLQ Handling: Pharmacological Rationale</w:t>
      </w:r>
      <w:bookmarkEnd w:id="46"/>
    </w:p>
    <w:p w14:paraId="77221BAD" w14:textId="77777777" w:rsidR="00631871" w:rsidRDefault="0013387A">
      <w:pPr>
        <w:spacing w:after="120" w:line="276" w:lineRule="auto"/>
      </w:pPr>
      <w:r>
        <w:lastRenderedPageBreak/>
        <w:t>Every assay has a lower limit of quantification (LLOQ). Samples below it are reported as BLQ. The handling choice affects AUC: zero inflates early AUC, missing truncates late AUC, LLOQ/2 is a compromise. Rule 1 (default, Beal 2001) is the most widely used. Rule 6 (LLOQ/2 for first BLQ) is for drugs with absorption lag. Sensitivity analysis (two rules, compare results) is recommended for regulatory submissions.</w:t>
      </w:r>
    </w:p>
    <w:p w14:paraId="728CBD05" w14:textId="77777777" w:rsidR="00631871" w:rsidRDefault="0013387A">
      <w:pPr>
        <w:pStyle w:val="Kop2"/>
      </w:pPr>
      <w:bookmarkStart w:id="47" w:name="_Toc226195297"/>
      <w:r>
        <w:t>Steady-State Considerations</w:t>
      </w:r>
      <w:bookmarkEnd w:id="47"/>
    </w:p>
    <w:p w14:paraId="1C3C6EB7"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55702CBC" w14:textId="77777777" w:rsidR="00631871" w:rsidRDefault="0013387A">
      <w:r>
        <w:br w:type="page"/>
      </w:r>
    </w:p>
    <w:p w14:paraId="4B71025C" w14:textId="77777777" w:rsidR="00631871" w:rsidRDefault="0013387A">
      <w:pPr>
        <w:pStyle w:val="Kop1"/>
      </w:pPr>
      <w:bookmarkStart w:id="48" w:name="_Toc226195298"/>
      <w:r>
        <w:lastRenderedPageBreak/>
        <w:t>Part VI: Statistical Methods</w:t>
      </w:r>
      <w:bookmarkEnd w:id="48"/>
    </w:p>
    <w:p w14:paraId="49746A00" w14:textId="77777777" w:rsidR="00631871" w:rsidRDefault="0013387A">
      <w:pPr>
        <w:pStyle w:val="Kop2"/>
      </w:pPr>
      <w:bookmarkStart w:id="49" w:name="_Toc226195299"/>
      <w:r>
        <w:t>The Two One-Sided Tests (TOST) Procedure</w:t>
      </w:r>
      <w:bookmarkEnd w:id="49"/>
    </w:p>
    <w:p w14:paraId="12134F08"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9CB8EE5"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135A861"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2896C20"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05EE20" w14:textId="77777777" w:rsidR="00631871" w:rsidRDefault="0013387A">
      <w:pPr>
        <w:pStyle w:val="Kop2"/>
      </w:pPr>
      <w:bookmarkStart w:id="50" w:name="_Toc226195300"/>
      <w:r>
        <w:t>The ANOVA Model for Crossover Designs</w:t>
      </w:r>
      <w:bookmarkEnd w:id="50"/>
    </w:p>
    <w:p w14:paraId="778D2E0B" w14:textId="77777777" w:rsidR="00631871" w:rsidRDefault="0013387A">
      <w:pPr>
        <w:spacing w:after="120" w:line="276" w:lineRule="auto"/>
      </w:pPr>
      <w:r>
        <w:t>The standard model for a 2×2×2 crossover:</w:t>
      </w:r>
    </w:p>
    <w:p w14:paraId="7E2C55D3"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05E58D32"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52666F49" w14:textId="77777777" w:rsidR="00631871" w:rsidRDefault="0013387A">
      <w:pPr>
        <w:pStyle w:val="Kop2"/>
      </w:pPr>
      <w:bookmarkStart w:id="51" w:name="_Toc226195301"/>
      <w:r>
        <w:t>Fixed-Effects vs. Mixed-Effects Models</w:t>
      </w:r>
      <w:bookmarkEnd w:id="51"/>
    </w:p>
    <w:p w14:paraId="3EC81F3B" w14:textId="77777777" w:rsidR="00631871" w:rsidRDefault="0013387A">
      <w:pPr>
        <w:spacing w:after="120" w:line="276" w:lineRule="auto"/>
      </w:pPr>
      <w:r>
        <w:t>Fixed-effects (lm): all terms including Subject are fixed. Valid for balanced data. Residual df = N − 2 for 2×2×2.</w:t>
      </w:r>
    </w:p>
    <w:p w14:paraId="1E6300DD"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724DD60" w14:textId="77777777" w:rsidR="00631871" w:rsidRDefault="0013387A">
      <w:pPr>
        <w:pStyle w:val="Kop2"/>
      </w:pPr>
      <w:bookmarkStart w:id="52" w:name="_Toc226195302"/>
      <w:r>
        <w:t>Confidence Interval Construction</w:t>
      </w:r>
      <w:bookmarkEnd w:id="52"/>
    </w:p>
    <w:p w14:paraId="3C4D8377"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04B95309"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54B33BD6" w14:textId="77777777" w:rsidR="00631871" w:rsidRDefault="0013387A">
      <w:pPr>
        <w:pStyle w:val="Kop2"/>
      </w:pPr>
      <w:bookmarkStart w:id="53" w:name="_Toc226195303"/>
      <w:r>
        <w:t>Design-Specific Models</w:t>
      </w:r>
      <w:bookmarkEnd w:id="53"/>
    </w:p>
    <w:p w14:paraId="7B0B6A17" w14:textId="77777777" w:rsidR="00631871" w:rsidRDefault="0013387A">
      <w:pPr>
        <w:spacing w:after="120" w:line="276" w:lineRule="auto"/>
      </w:pPr>
      <w:r>
        <w:rPr>
          <w:b/>
          <w:bCs/>
        </w:rPr>
        <w:t xml:space="preserve">Fixed-order crossover: </w:t>
      </w:r>
      <w:r>
        <w:t>ln(Y) = μ + SUBJ + TRT + ε. Equivalent to a paired t-test. df = N − 1.</w:t>
      </w:r>
    </w:p>
    <w:p w14:paraId="7FF1DD07"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7CB94C4D" w14:textId="77777777" w:rsidR="00631871" w:rsidRDefault="0013387A">
      <w:pPr>
        <w:spacing w:after="120" w:line="276" w:lineRule="auto"/>
      </w:pPr>
      <w:r>
        <w:rPr>
          <w:b/>
          <w:bCs/>
        </w:rPr>
        <w:t xml:space="preserve">3-period and replicate: </w:t>
      </w:r>
      <w:r>
        <w:t>Same model with Period having 3 or 4 levels. Standard ABE limits applied.</w:t>
      </w:r>
    </w:p>
    <w:p w14:paraId="6BB1226D" w14:textId="77777777" w:rsidR="00631871" w:rsidRDefault="0013387A">
      <w:pPr>
        <w:pStyle w:val="Kop2"/>
      </w:pPr>
      <w:bookmarkStart w:id="54" w:name="_Toc226195304"/>
      <w:r>
        <w:t>Drug–Drug Interaction Analysis</w:t>
      </w:r>
      <w:bookmarkEnd w:id="54"/>
    </w:p>
    <w:p w14:paraId="0582A491"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lastRenderedPageBreak/>
        <w:t>quantifies the fold-change in exposure caused by the interacting drug, and the comparison is against DDI classification thresholds (see Part III) rather than BE acceptance limits.</w:t>
      </w:r>
    </w:p>
    <w:p w14:paraId="7FEFF09D"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2EEC21A" w14:textId="77777777" w:rsidR="00631871" w:rsidRDefault="0013387A">
      <w:pPr>
        <w:pStyle w:val="Kop2"/>
      </w:pPr>
      <w:bookmarkStart w:id="55" w:name="_Toc226195305"/>
      <w:r>
        <w:t>Power and Sample Size for Bioequivalence</w:t>
      </w:r>
      <w:bookmarkEnd w:id="55"/>
    </w:p>
    <w:p w14:paraId="0C993E15"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6DEF6EE9" w14:textId="77777777" w:rsidR="00631871" w:rsidRDefault="0013387A">
      <w:pPr>
        <w:spacing w:after="80" w:line="276" w:lineRule="auto"/>
      </w:pPr>
      <w:r>
        <w:rPr>
          <w:color w:val="555555"/>
          <w:sz w:val="20"/>
          <w:szCs w:val="20"/>
        </w:rPr>
        <w:t>Practical guidance: assume CV = 30% if no data exist. Assume GMR = 95% (enter 95 in the app). Target power 80% (enter 80) for standard studies or 90% (enter 90) for critical studies. Examine the sensitivity plot for robustness.</w:t>
      </w:r>
    </w:p>
    <w:p w14:paraId="157EE532" w14:textId="77777777" w:rsidR="00631871" w:rsidRDefault="0013387A">
      <w:pPr>
        <w:pStyle w:val="Kop2"/>
      </w:pPr>
      <w:bookmarkStart w:id="56" w:name="_Toc226195306"/>
      <w:r>
        <w:t>Regulatory Guidelines</w:t>
      </w:r>
      <w:bookmarkEnd w:id="56"/>
    </w:p>
    <w:p w14:paraId="402B6F14"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5D5129C8"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DBCBD7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1CBE4A77"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4B3B79D7"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43BE194D" w14:textId="77777777" w:rsidR="00631871" w:rsidRDefault="0013387A">
      <w:pPr>
        <w:spacing w:after="120" w:line="276" w:lineRule="auto"/>
      </w:pPr>
      <w:r>
        <w:rPr>
          <w:b/>
          <w:bCs/>
        </w:rPr>
        <w:t>ICH M3(R2)</w:t>
      </w:r>
      <w:r>
        <w:t>: https://www.ich.org/page/multidisciplinary-guidelines</w:t>
      </w:r>
    </w:p>
    <w:p w14:paraId="6EDD83E6" w14:textId="77777777" w:rsidR="00631871" w:rsidRDefault="0013387A">
      <w:r>
        <w:br w:type="page"/>
      </w:r>
    </w:p>
    <w:p w14:paraId="431A0218" w14:textId="77777777" w:rsidR="00631871" w:rsidRDefault="0013387A">
      <w:pPr>
        <w:pStyle w:val="Kop1"/>
      </w:pPr>
      <w:bookmarkStart w:id="57" w:name="_Toc226195307"/>
      <w:r>
        <w:lastRenderedPageBreak/>
        <w:t>Appendices</w:t>
      </w:r>
      <w:bookmarkEnd w:id="57"/>
    </w:p>
    <w:p w14:paraId="57CF3001" w14:textId="77777777" w:rsidR="00631871" w:rsidRDefault="0013387A">
      <w:pPr>
        <w:pStyle w:val="Kop2"/>
      </w:pPr>
      <w:bookmarkStart w:id="58" w:name="_Toc226195308"/>
      <w:r>
        <w:t>Appendix A: Glossary</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D9C3BB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7175AC"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BC2320" w14:textId="77777777" w:rsidR="00631871" w:rsidRDefault="0013387A">
            <w:r>
              <w:rPr>
                <w:b/>
                <w:bCs/>
                <w:color w:val="FFFFFF"/>
                <w:sz w:val="20"/>
                <w:szCs w:val="20"/>
              </w:rPr>
              <w:t>Definition</w:t>
            </w:r>
          </w:p>
        </w:tc>
      </w:tr>
      <w:tr w:rsidR="00631871" w14:paraId="4B4AF9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BEB6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33F29" w14:textId="77777777" w:rsidR="00631871" w:rsidRDefault="0013387A">
            <w:r>
              <w:rPr>
                <w:sz w:val="20"/>
                <w:szCs w:val="20"/>
              </w:rPr>
              <w:t>Average Bioequivalence (fixed 80–125% limits)</w:t>
            </w:r>
          </w:p>
        </w:tc>
      </w:tr>
      <w:tr w:rsidR="00631871" w14:paraId="354093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727E"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30D43" w14:textId="77777777" w:rsidR="00631871" w:rsidRDefault="0013387A">
            <w:r>
              <w:rPr>
                <w:sz w:val="20"/>
                <w:szCs w:val="20"/>
              </w:rPr>
              <w:t>Average Bioequivalence with Expanding Limits (EMA, for HVDs)</w:t>
            </w:r>
          </w:p>
        </w:tc>
      </w:tr>
      <w:tr w:rsidR="00631871" w14:paraId="7096C3F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08FAE"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4CDC5" w14:textId="77777777" w:rsidR="00631871" w:rsidRDefault="0013387A">
            <w:r>
              <w:rPr>
                <w:sz w:val="20"/>
                <w:szCs w:val="20"/>
              </w:rPr>
              <w:t>Analysis of Variance</w:t>
            </w:r>
          </w:p>
        </w:tc>
      </w:tr>
      <w:tr w:rsidR="00631871" w14:paraId="1B8A0E2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822C2"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A5273" w14:textId="77777777" w:rsidR="00631871" w:rsidRDefault="0013387A">
            <w:r>
              <w:rPr>
                <w:sz w:val="20"/>
                <w:szCs w:val="20"/>
              </w:rPr>
              <w:t>Area Under the Curve (total drug exposure)</w:t>
            </w:r>
          </w:p>
        </w:tc>
      </w:tr>
      <w:tr w:rsidR="00631871" w14:paraId="4DEA979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D91C3"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DDA408" w14:textId="77777777" w:rsidR="00631871" w:rsidRDefault="0013387A">
            <w:r>
              <w:rPr>
                <w:sz w:val="20"/>
                <w:szCs w:val="20"/>
              </w:rPr>
              <w:t>AUC within the dosing interval (steady state)</w:t>
            </w:r>
          </w:p>
        </w:tc>
      </w:tr>
      <w:tr w:rsidR="00631871" w14:paraId="08665E9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0D6"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C4F2D" w14:textId="77777777" w:rsidR="00631871" w:rsidRDefault="0013387A">
            <w:r>
              <w:rPr>
                <w:sz w:val="20"/>
                <w:szCs w:val="20"/>
              </w:rPr>
              <w:t>Below the Limit of Quantification</w:t>
            </w:r>
          </w:p>
        </w:tc>
      </w:tr>
      <w:tr w:rsidR="00631871" w14:paraId="79AF580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C09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5273F" w14:textId="77777777" w:rsidR="00631871" w:rsidRDefault="0013387A">
            <w:r>
              <w:rPr>
                <w:sz w:val="20"/>
                <w:szCs w:val="20"/>
              </w:rPr>
              <w:t>Apparent clearance</w:t>
            </w:r>
          </w:p>
        </w:tc>
      </w:tr>
      <w:tr w:rsidR="00631871" w14:paraId="70D5C7E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1E574"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C8136" w14:textId="77777777" w:rsidR="00631871" w:rsidRDefault="0013387A">
            <w:r>
              <w:rPr>
                <w:sz w:val="20"/>
                <w:szCs w:val="20"/>
              </w:rPr>
              <w:t>Maximum observed concentration</w:t>
            </w:r>
          </w:p>
        </w:tc>
      </w:tr>
      <w:tr w:rsidR="00631871" w14:paraId="1B284A1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41B6D"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0B54" w14:textId="77777777" w:rsidR="00631871" w:rsidRDefault="0013387A">
            <w:r>
              <w:rPr>
                <w:sz w:val="20"/>
                <w:szCs w:val="20"/>
              </w:rPr>
              <w:t>Coefficient of Variation</w:t>
            </w:r>
          </w:p>
        </w:tc>
      </w:tr>
      <w:tr w:rsidR="00631871" w14:paraId="19CFCB9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B02801"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B96AA" w14:textId="77777777" w:rsidR="00631871" w:rsidRDefault="0013387A">
            <w:r>
              <w:rPr>
                <w:sz w:val="20"/>
                <w:szCs w:val="20"/>
              </w:rPr>
              <w:t>Drug–Drug Interaction</w:t>
            </w:r>
          </w:p>
        </w:tc>
      </w:tr>
      <w:tr w:rsidR="00631871" w14:paraId="183DCB5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2B699"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3FBBF" w14:textId="77777777" w:rsidR="00631871" w:rsidRDefault="0013387A">
            <w:r>
              <w:rPr>
                <w:sz w:val="20"/>
                <w:szCs w:val="20"/>
              </w:rPr>
              <w:t>Geometric Mean Ratio (Test/Reference)</w:t>
            </w:r>
          </w:p>
        </w:tc>
      </w:tr>
      <w:tr w:rsidR="00631871" w14:paraId="656BC3D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FAE17"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67323" w14:textId="77777777" w:rsidR="00631871" w:rsidRDefault="0013387A">
            <w:r>
              <w:rPr>
                <w:sz w:val="20"/>
                <w:szCs w:val="20"/>
              </w:rPr>
              <w:t>Highly Variable Drug (CV &gt; 30%)</w:t>
            </w:r>
          </w:p>
        </w:tc>
      </w:tr>
      <w:tr w:rsidR="00631871" w14:paraId="3DAD9E6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48C1B"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FDDD2" w14:textId="77777777" w:rsidR="00631871" w:rsidRDefault="0013387A">
            <w:r>
              <w:rPr>
                <w:sz w:val="20"/>
                <w:szCs w:val="20"/>
              </w:rPr>
              <w:t>Lower Limit of Quantification</w:t>
            </w:r>
          </w:p>
        </w:tc>
      </w:tr>
      <w:tr w:rsidR="00631871" w14:paraId="2513D42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38CF8"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3E9F9" w14:textId="77777777" w:rsidR="00631871" w:rsidRDefault="0013387A">
            <w:r>
              <w:rPr>
                <w:sz w:val="20"/>
                <w:szCs w:val="20"/>
              </w:rPr>
              <w:t>Mean Residence Time</w:t>
            </w:r>
          </w:p>
        </w:tc>
      </w:tr>
      <w:tr w:rsidR="00631871" w14:paraId="4B88054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F3FE1"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24E71" w14:textId="77777777" w:rsidR="00631871" w:rsidRDefault="0013387A">
            <w:r>
              <w:rPr>
                <w:sz w:val="20"/>
                <w:szCs w:val="20"/>
              </w:rPr>
              <w:t>Non-Compartmental Analysis</w:t>
            </w:r>
          </w:p>
        </w:tc>
      </w:tr>
      <w:tr w:rsidR="00631871" w14:paraId="65F0D0B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ECEBB"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DAB48" w14:textId="77777777" w:rsidR="00631871" w:rsidRDefault="0013387A">
            <w:r>
              <w:rPr>
                <w:sz w:val="20"/>
                <w:szCs w:val="20"/>
              </w:rPr>
              <w:t>Narrow Therapeutic Index Drug</w:t>
            </w:r>
          </w:p>
        </w:tc>
      </w:tr>
      <w:tr w:rsidR="00631871" w14:paraId="73F297A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38AA4"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A9C14" w14:textId="77777777" w:rsidR="00631871" w:rsidRDefault="0013387A">
            <w:r>
              <w:rPr>
                <w:sz w:val="20"/>
                <w:szCs w:val="20"/>
              </w:rPr>
              <w:t>Reference-Scaled Average Bioequivalence (FDA, for HVDs)</w:t>
            </w:r>
          </w:p>
        </w:tc>
      </w:tr>
      <w:tr w:rsidR="00631871" w14:paraId="2B5EE92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0E7C"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272E8" w14:textId="77777777" w:rsidR="00631871" w:rsidRDefault="0013387A">
            <w:r>
              <w:rPr>
                <w:sz w:val="20"/>
                <w:szCs w:val="20"/>
              </w:rPr>
              <w:t>Two One-Sided Tests</w:t>
            </w:r>
          </w:p>
        </w:tc>
      </w:tr>
      <w:tr w:rsidR="00631871" w14:paraId="40D038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43458"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8FB5F" w14:textId="77777777" w:rsidR="00631871" w:rsidRDefault="0013387A">
            <w:r>
              <w:rPr>
                <w:sz w:val="20"/>
                <w:szCs w:val="20"/>
              </w:rPr>
              <w:t>Time of maximum observed concentration</w:t>
            </w:r>
          </w:p>
        </w:tc>
      </w:tr>
      <w:tr w:rsidR="00631871" w14:paraId="7A55037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2F59D"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654D58" w14:textId="77777777" w:rsidR="00631871" w:rsidRDefault="0013387A">
            <w:r>
              <w:rPr>
                <w:sz w:val="20"/>
                <w:szCs w:val="20"/>
              </w:rPr>
              <w:t>Terminal elimination half-life</w:t>
            </w:r>
          </w:p>
        </w:tc>
      </w:tr>
      <w:tr w:rsidR="00631871" w14:paraId="4656B35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36FB5"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14D7E" w14:textId="77777777" w:rsidR="00631871" w:rsidRDefault="0013387A">
            <w:r>
              <w:rPr>
                <w:sz w:val="20"/>
                <w:szCs w:val="20"/>
              </w:rPr>
              <w:t>Apparent volume of distribution (terminal phase)</w:t>
            </w:r>
          </w:p>
        </w:tc>
      </w:tr>
      <w:tr w:rsidR="00631871" w14:paraId="744F173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DEE9"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3D01" w14:textId="77777777" w:rsidR="00631871" w:rsidRDefault="0013387A">
            <w:r>
              <w:rPr>
                <w:sz w:val="20"/>
                <w:szCs w:val="20"/>
              </w:rPr>
              <w:t>Terminal elimination rate constant</w:t>
            </w:r>
          </w:p>
        </w:tc>
      </w:tr>
    </w:tbl>
    <w:p w14:paraId="193AA09A" w14:textId="77777777" w:rsidR="00631871" w:rsidRDefault="0013387A">
      <w:pPr>
        <w:pStyle w:val="Kop2"/>
      </w:pPr>
      <w:bookmarkStart w:id="59" w:name="_Toc226195309"/>
      <w:r>
        <w:t>Appendix B: Recognised Column Names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583EF597"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3004F1"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3A78F4" w14:textId="77777777" w:rsidR="00631871" w:rsidRDefault="0013387A">
            <w:r>
              <w:rPr>
                <w:b/>
                <w:bCs/>
                <w:color w:val="FFFFFF"/>
                <w:sz w:val="20"/>
                <w:szCs w:val="20"/>
              </w:rPr>
              <w:t>Recognised names (case-insensitive)</w:t>
            </w:r>
          </w:p>
        </w:tc>
      </w:tr>
      <w:tr w:rsidR="00631871" w14:paraId="61737D2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0909B"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82941" w14:textId="77777777" w:rsidR="00631871" w:rsidRDefault="0013387A">
            <w:r>
              <w:rPr>
                <w:sz w:val="20"/>
                <w:szCs w:val="20"/>
              </w:rPr>
              <w:t>Subject, SubjectID, USUBJID, ID, Pat, PatID, Proband</w:t>
            </w:r>
          </w:p>
        </w:tc>
      </w:tr>
      <w:tr w:rsidR="00631871" w14:paraId="5665182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35A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B1944" w14:textId="77777777" w:rsidR="00631871" w:rsidRDefault="0013387A">
            <w:r>
              <w:rPr>
                <w:sz w:val="20"/>
                <w:szCs w:val="20"/>
              </w:rPr>
              <w:t>Time, Hours, Hour, Tpt, NTIM, APTS, Zeit</w:t>
            </w:r>
          </w:p>
        </w:tc>
      </w:tr>
      <w:tr w:rsidR="00631871" w14:paraId="43D96D3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B55F8"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DFCD5" w14:textId="77777777" w:rsidR="00631871" w:rsidRDefault="0013387A">
            <w:r>
              <w:rPr>
                <w:sz w:val="20"/>
                <w:szCs w:val="20"/>
              </w:rPr>
              <w:t>Conc, Concentration, DV, Cp, Result, Konz, Plasma</w:t>
            </w:r>
          </w:p>
        </w:tc>
      </w:tr>
      <w:tr w:rsidR="00631871" w14:paraId="41CB27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0B2BA"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53CD2" w14:textId="77777777" w:rsidR="00631871" w:rsidRDefault="0013387A">
            <w:r>
              <w:rPr>
                <w:sz w:val="20"/>
                <w:szCs w:val="20"/>
              </w:rPr>
              <w:t>Treatment, Trt, Formulation, Drug, Arm</w:t>
            </w:r>
          </w:p>
        </w:tc>
      </w:tr>
      <w:tr w:rsidR="00631871" w14:paraId="48D8736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19A0"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7DC39" w14:textId="77777777" w:rsidR="00631871" w:rsidRDefault="0013387A">
            <w:r>
              <w:rPr>
                <w:sz w:val="20"/>
                <w:szCs w:val="20"/>
              </w:rPr>
              <w:t>Period, Per, Prd, Phase</w:t>
            </w:r>
          </w:p>
        </w:tc>
      </w:tr>
      <w:tr w:rsidR="00631871" w14:paraId="3255DC9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F806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D7DF4" w14:textId="77777777" w:rsidR="00631871" w:rsidRDefault="0013387A">
            <w:r>
              <w:rPr>
                <w:sz w:val="20"/>
                <w:szCs w:val="20"/>
              </w:rPr>
              <w:t>Sequence, Seq, Grp</w:t>
            </w:r>
          </w:p>
        </w:tc>
      </w:tr>
      <w:tr w:rsidR="00631871" w14:paraId="03D1AD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D9794"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CDE1B" w14:textId="77777777" w:rsidR="00631871" w:rsidRDefault="0013387A">
            <w:r>
              <w:rPr>
                <w:sz w:val="20"/>
                <w:szCs w:val="20"/>
              </w:rPr>
              <w:t>Dose, Amt, Amount</w:t>
            </w:r>
          </w:p>
        </w:tc>
      </w:tr>
    </w:tbl>
    <w:p w14:paraId="1E031623" w14:textId="77777777" w:rsidR="00631871" w:rsidRDefault="0013387A">
      <w:pPr>
        <w:pStyle w:val="Kop2"/>
      </w:pPr>
      <w:bookmarkStart w:id="60" w:name="_Toc226195310"/>
      <w:r>
        <w:t>Appendix C: Troubleshooting</w:t>
      </w:r>
      <w:bookmarkEnd w:id="60"/>
    </w:p>
    <w:p w14:paraId="7774F475"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5CD3321A"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D35E431" w14:textId="77777777" w:rsidR="00631871" w:rsidRDefault="0013387A">
      <w:pPr>
        <w:spacing w:after="120" w:line="276" w:lineRule="auto"/>
      </w:pPr>
      <w:r>
        <w:rPr>
          <w:b/>
          <w:bCs/>
        </w:rPr>
        <w:t>Individual profiles tab is blank</w:t>
      </w:r>
      <w:r>
        <w:t xml:space="preserve"> — Fixed in v1.0. If the plot does not appear, reload the page.</w:t>
      </w:r>
    </w:p>
    <w:p w14:paraId="077FEFFD" w14:textId="77777777" w:rsidR="00631871" w:rsidRDefault="0013387A">
      <w:pPr>
        <w:spacing w:after="120" w:line="276" w:lineRule="auto"/>
      </w:pPr>
      <w:r>
        <w:rPr>
          <w:b/>
          <w:bCs/>
        </w:rPr>
        <w:t>Half-life differs from WinNonlin</w:t>
      </w:r>
      <w:r>
        <w:t xml:space="preserve"> — Check R² threshold and point selection in the Half-Life Review tab.</w:t>
      </w:r>
    </w:p>
    <w:p w14:paraId="52267BA0" w14:textId="77777777" w:rsidR="00631871" w:rsidRDefault="0013387A">
      <w:pPr>
        <w:spacing w:after="120" w:line="276" w:lineRule="auto"/>
      </w:pPr>
      <w:r>
        <w:rPr>
          <w:b/>
          <w:bCs/>
        </w:rPr>
        <w:t>Comma decimals not recognised</w:t>
      </w:r>
      <w:r>
        <w:t xml:space="preserve"> — Convert to period decimals before uploading (see Part II).</w:t>
      </w:r>
    </w:p>
    <w:p w14:paraId="2961843D" w14:textId="77777777" w:rsidR="00631871" w:rsidRDefault="0013387A">
      <w:pPr>
        <w:pStyle w:val="Kop2"/>
      </w:pPr>
      <w:bookmarkStart w:id="61" w:name="_Toc226195311"/>
      <w:r>
        <w:t>Appendix D: Software References</w:t>
      </w:r>
      <w:bookmarkEnd w:id="61"/>
    </w:p>
    <w:p w14:paraId="1D1AED35"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D0AC3F3"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110C15E0" w14:textId="77777777" w:rsidR="00631871" w:rsidRDefault="0013387A">
      <w:pPr>
        <w:spacing w:after="120" w:line="276" w:lineRule="auto"/>
      </w:pPr>
      <w:r>
        <w:t>Labes D, Schütz H, Lang B. PowerTOST: Power and Sample Size for (Bio)Equivalence Studies. R package.</w:t>
      </w:r>
    </w:p>
    <w:p w14:paraId="17AFE8A0" w14:textId="77777777" w:rsidR="00631871" w:rsidRDefault="0013387A">
      <w:pPr>
        <w:spacing w:after="120" w:line="276" w:lineRule="auto"/>
      </w:pPr>
      <w:r>
        <w:t xml:space="preserve">Owen DB. A special case of a bivariate non-central t-distribution. </w:t>
      </w:r>
      <w:r>
        <w:rPr>
          <w:i/>
          <w:iCs/>
        </w:rPr>
        <w:t>Biometrika</w:t>
      </w:r>
      <w:r>
        <w:t>. 1965;52(3/4):437–446.</w:t>
      </w:r>
    </w:p>
    <w:p w14:paraId="527C0915" w14:textId="77777777" w:rsidR="00631871" w:rsidRDefault="0013387A">
      <w:pPr>
        <w:spacing w:after="120" w:line="276" w:lineRule="auto"/>
      </w:pPr>
      <w:r>
        <w:t xml:space="preserve">Pinheiro JC, Bates DM. </w:t>
      </w:r>
      <w:r>
        <w:rPr>
          <w:i/>
          <w:iCs/>
        </w:rPr>
        <w:t>Mixed-Effects Models in S and S-PLUS</w:t>
      </w:r>
      <w:r>
        <w:t>. Springer, 2000.</w:t>
      </w:r>
    </w:p>
    <w:p w14:paraId="7B7544FD"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CE4A05C"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49E8CC67"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3E0FB" w14:textId="77777777" w:rsidR="00413C79" w:rsidRDefault="00413C79">
      <w:r>
        <w:separator/>
      </w:r>
    </w:p>
  </w:endnote>
  <w:endnote w:type="continuationSeparator" w:id="0">
    <w:p w14:paraId="45BB28F3" w14:textId="77777777" w:rsidR="00413C79" w:rsidRDefault="00413C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47C41"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D93FF" w14:textId="77777777" w:rsidR="00413C79" w:rsidRDefault="00413C79">
      <w:r>
        <w:separator/>
      </w:r>
    </w:p>
  </w:footnote>
  <w:footnote w:type="continuationSeparator" w:id="0">
    <w:p w14:paraId="428B54FE" w14:textId="77777777" w:rsidR="00413C79" w:rsidRDefault="00413C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D47C" w14:textId="77777777" w:rsidR="00631871" w:rsidRDefault="0013387A">
    <w:pPr>
      <w:jc w:val="right"/>
    </w:pPr>
    <w:r>
      <w:rPr>
        <w:color w:val="999999"/>
        <w:sz w:val="16"/>
        <w:szCs w:val="16"/>
      </w:rPr>
      <w:t>NCA Assistant — User Manual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13387A"/>
    <w:rsid w:val="003702D7"/>
    <w:rsid w:val="00413C79"/>
    <w:rsid w:val="00631871"/>
    <w:rsid w:val="006A7CB2"/>
    <w:rsid w:val="006F2177"/>
    <w:rsid w:val="009220AE"/>
    <w:rsid w:val="00A06C9D"/>
    <w:rsid w:val="00AA404B"/>
    <w:rsid w:val="00D665F9"/>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7C6B463D"/>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5192</Words>
  <Characters>29342</Characters>
  <Application>Microsoft Office Word</Application>
  <DocSecurity>0</DocSecurity>
  <Lines>730</Lines>
  <Paragraphs>449</Paragraphs>
  <ScaleCrop>false</ScaleCrop>
  <Company/>
  <LinksUpToDate>false</LinksUpToDate>
  <CharactersWithSpaces>34089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5</cp:revision>
  <dcterms:created xsi:type="dcterms:W3CDTF">2026-04-04T09:25:00Z</dcterms:created>
  <dcterms:modified xsi:type="dcterms:W3CDTF">2026-04-14T12:51:00Z</dcterms:modified>
</cp:coreProperties>
</file>