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bioequivalence testing and study planning. Average bioequivalence for every design, plus EMA ABEL and FDA RSABE for replicate designs. The FDA scaled test for narrow therapeutic index drugs is for planning only. Studies run in several groups (ICH M13A, 2.2.3.5) are not modelled; a group column in the file is ignored.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596 automated and 77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The FDA scaled test for narrow therapeutic index drugs, and the FDA model for replicate designs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Plan a Study plans the NTID test. For a replicate study the app offers EMA ABEL and FDA RSABE.</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Ten short tutorials, from a first analysis without a file to a bioequivalence study with partial AUCs, with baseline covariates (Tutorial 4b) and with a reference-scaled approach (Tutorial 4c),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 For a highly variable drug, the Acceptance approach selector in Path 6 offers EMA ABEL (all three replicate designs) and FDA RSABE (2×3×3 and 2×2×4); example_be_replicate_hvd.csv (Tutorial 4c) shows both.</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 Baseline characteristics can be added as extra columns (for example Age, Weight, Sex), with the same value in every row of a subject, and used as covariates in Path 6. Keep numbers as plain numbers: text such as “72 kg” or a decimal comma is refused. The example is example_be_parallel_covariates.csv (Tutorial 4b).</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 a profile without any measurable value = missing, apart from its pre-dose sample</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all other BLQ → zero (also in a profile with no quantifiable value)</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724E9015" w14:textId="77777777" w:rsidR="00631871" w:rsidRDefault="0013387A">
      <w:pPr>
        <w:spacing w:after="120" w:line="276" w:lineRule="auto"/>
      </w:pPr>
      <w:r>
        <w:rPr>
          <w:b/>
        </w:rPr>
        <w:t>Acceptance approach</w:t>
      </w:r>
      <w:r>
        <w:t xml:space="preserve"> (replicate designs only): </w:t>
      </w:r>
      <w:r>
        <w:rPr>
          <w:b/>
        </w:rPr>
        <w:t>Standard (average bioequivalence)</w:t>
      </w:r>
      <w:r>
        <w:t xml:space="preserve">, </w:t>
      </w:r>
      <w:r>
        <w:rPr>
          <w:b/>
        </w:rPr>
        <w:t>EMA ABEL (Cmax, widened limits)</w:t>
      </w:r>
      <w:r>
        <w:t xml:space="preserve"> or </w:t>
      </w:r>
      <w:r>
        <w:rPr>
          <w:b/>
        </w:rPr>
        <w:t>FDA RSABE (reference-scaled)</w:t>
      </w:r>
      <w:r>
        <w:t>. The choice is your declaration before the run and belongs in the protocol; the app never switches by itself. ABEL is offered for 2×2×3, 2×3×3 and 2×2×4, RSABE for 2×3×3 and 2×2×4 only, because Appendix G of the FDA guidance has no steps for 2×2×3. With ABEL or RSABE the acceptance limits stay at 80 and 125: the method sets the limits, and they still apply to the metrics it does not scale. Reference-Scaled Approaches, in Statistical Methods, gives the rules.</w:t>
      </w:r>
    </w:p>
    <w:p w14:paraId="724E9015" w14:textId="77777777" w:rsidR="00631871" w:rsidRDefault="0013387A">
      <w:pPr>
        <w:spacing w:after="120" w:line="276" w:lineRule="auto"/>
      </w:pPr>
      <w:r>
        <w:rPr>
          <w:b/>
        </w:rPr>
        <w:t>Covariates (optional)</w:t>
      </w:r>
      <w:r>
        <w:t xml:space="preserve"> (parallel groups only): choose baseline characteristics from the columns of your file that hold no other role. The line under the box says how each was read, numeric or categorical with its number of groups. </w:t>
      </w:r>
      <w:r>
        <w:rPr>
          <w:b/>
        </w:rPr>
        <w:t>Advanced options</w:t>
      </w:r>
      <w:r>
        <w:t xml:space="preserve"> let you treat numeric codes such as 0 and 1 as categories and use the natural log of a covariate; they clear when you untick the box. Choose the covariates before you look at the results, and use values known before the first dose. The adjusted interval is the primary result, and the unadjusted interval is shown beside it. The run stops, with a message that names the problem, for a missing value, text such as “72 kg”, two different values for one subject, a constant or duplicated covariate, more than five covariates, fewer than 12 subjects per group or fewer than 10 residual degrees of freedom.</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a replicate design, choose EMA ABEL or FDA RSABE under Acceptance approach instead: the app then derives the limits, or applies the scaled criterion, from your data. A table also shows the within-subject variability of the Reference (and of the Test when replicated) and the EMA limits it would imply, for information.</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281805B5" w14:textId="77777777" w:rsidR="00631871" w:rsidRDefault="0013387A">
      <w:pPr>
        <w:spacing w:after="120" w:line="276" w:lineRule="auto"/>
      </w:pPr>
      <w:r>
        <w:t xml:space="preserve">With covariates, the line </w:t>
      </w:r>
      <w:r>
        <w:rPr>
          <w:b/>
        </w:rPr>
        <w:t>Adjusted for</w:t>
      </w:r>
      <w:r>
        <w:t xml:space="preserve"> names them, the two </w:t>
      </w:r>
      <w:r>
        <w:rPr>
          <w:b/>
        </w:rPr>
        <w:t>Unadjusted CI</w:t>
      </w:r>
      <w:r>
        <w:t xml:space="preserve"> columns give the interval without adjustment, and the card </w:t>
      </w:r>
      <w:r>
        <w:rPr>
          <w:b/>
        </w:rPr>
        <w:t>Group balance on the covariates</w:t>
      </w:r>
      <w:r>
        <w:t xml:space="preserve"> shows mean (SD) or n (%) per group with the standardized difference. The card describes the groups; it is not a test, and covariates are not to be chosen after looking at it. The Welch interval and the covariate coefficients are in the downloads (sheet BE_Covariates).</w:t>
      </w:r>
    </w:p>
    <w:p w14:paraId="281805B5" w14:textId="77777777" w:rsidR="00631871" w:rsidRDefault="0013387A">
      <w:pPr>
        <w:spacing w:after="120" w:line="276" w:lineRule="auto"/>
      </w:pPr>
      <w:r>
        <w:t xml:space="preserve">With ABEL or RSABE the table adds, after the verdict, the columns </w:t>
      </w:r>
      <w:r>
        <w:rPr>
          <w:b/>
        </w:rPr>
        <w:t>Route</w:t>
      </w:r>
      <w:r>
        <w:t xml:space="preserve"> (Scaled or Standard), </w:t>
      </w:r>
      <w:r>
        <w:rPr>
          <w:b/>
        </w:rPr>
        <w:t>s_WR</w:t>
      </w:r>
      <w:r>
        <w:t xml:space="preserve">, </w:t>
      </w:r>
      <w:r>
        <w:rPr>
          <w:b/>
        </w:rPr>
        <w:t>Limits</w:t>
      </w:r>
      <w:r>
        <w:t xml:space="preserve"> and, for RSABE, </w:t>
      </w:r>
      <w:r>
        <w:rPr>
          <w:b/>
        </w:rPr>
        <w:t>Criterion bound</w:t>
      </w:r>
      <w:r>
        <w:t>. Lines under the table say in words how each metric was judged, and the forest plot draws one pair of limits per metric. Below the switch (s_WR under 0.294) the route is Standard, which is not an error: nothing is scaled. The app warns below 24 evaluable subjects for RSABE, and says how many subjects were left out of the contrasts because they lack a period. The sensitivity analysis without exclusions uses the same approach. The downloads add a sheet BE_Scaled with the steps of the assessment.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Adjusted for, Unadjusted CI Lower and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covariates: the characteristics the estimate is adjusted for, and the interval without adjustment</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Route, s_WR, Limits, 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ABEL or RSABE: Scaled or Standard; the within-subject SD of the Reference (FDA contrasts for RSABE, EMA model for ABEL); the limits in force; and, for RSABE, the criterion, met at 0 or below</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Its bioequivalence analysis covers average bioequivalence, EMA ABEL and FDA RSABE, not the FDA scaled test for narrow therapeutic index drugs.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you type are not ABEL or RSABE (choose the approach for those),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The FDA scaled test for narrow therapeutic index drugs and the FDA model for replicate designs (separate Test and Reference variances and a subject-by-formulation interaction) are not available for analysis. EMA ABEL and FDA RSABE are.</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 A falling segment that ends at zero (a value set by a BLQ rule) has no logarithm, so the app integrates it with the linear formula.</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with halves rounded up as in SAS,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1BBA4EF1" w14:textId="77777777" w:rsidR="00631871" w:rsidRDefault="0013387A">
      <w:pPr>
        <w:spacing w:after="120" w:line="276" w:lineRule="auto"/>
      </w:pPr>
      <w:r>
        <w:rPr>
          <w:b/>
        </w:rPr>
        <w:t>Covariates (parallel groups).</w:t>
      </w:r>
      <w:r>
        <w:rPr/>
        <w:t xml:space="preserve"> When baseline covariates are chosen the model becomes ln(Y) = μ + TRT + covariates + ε: ordinary least squares, main effects only, pooled variance, and N − 2 − p residual degrees of freedom, where p counts the covariate terms (a categorical covariate with k categories has k − 1). The treatment coefficient stays the log ratio of geometric means. The adjusted interval is primary, and the unadjusted pooled interval is shown beside it. ICH M13A (2.2.3.4) asks that stratification factors be accounted for in a parallel study, and the FDA (2026) says an applicant may consider prespecifying baseline prognostic covariates (see also Tsiatis et al., 2008). The covariates must be baseline characteristics named before the analysis. The app cannot check when a value was measured, and the Analysis Record lists the covariates. A missing value stops the analysis, so nobody is dropped or imputed.</w:t>
      </w:r>
    </w:p>
    <w:p w14:paraId="55732501" w14:textId="77777777" w:rsidR="00631871" w:rsidRDefault="0013387A">
      <w:pPr>
        <w:spacing w:after="120" w:line="276" w:lineRule="auto"/>
      </w:pPr>
      <w:r>
        <w:rPr>
          <w:b/>
        </w:rPr>
        <w:t xml:space="preserve">Replicate designs: </w:t>
      </w:r>
      <w:r>
        <w:t>the same model, with Period at 3 or 4 levels; each administration enters once. Under the standard approach the confidence interval uses average bioequivalence limits; under EMA ABEL or FDA RSABE see Reference-Scaled Approaches.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2FE634AE" w14:textId="77777777" w:rsidR="00631871" w:rsidRDefault="0013387A">
      <w:pPr>
        <w:pStyle w:val="Kop2"/>
      </w:pPr>
      <w:r>
        <w:t>Reference-Scaled Approaches (EMA ABEL and FDA RSABE)</w:t>
      </w:r>
    </w:p>
    <w:p w14:paraId="3D5F6CB5" w14:textId="77777777" w:rsidR="00631871" w:rsidRDefault="0013387A">
      <w:pPr>
        <w:spacing w:after="120" w:line="276" w:lineRule="auto"/>
      </w:pPr>
      <w:r>
        <w:t>For replicate designs the analyst chooses, before the run, between the standard approach, EMA ABEL and FDA RSABE. The 2×3×3 and 2×2×4 designs support both; the 2×2×3 design supports ABEL only.</w:t>
      </w:r>
    </w:p>
    <w:p w14:paraId="3D5F6CB5" w14:textId="77777777" w:rsidR="00631871" w:rsidRDefault="0013387A">
      <w:pPr>
        <w:spacing w:after="120" w:line="276" w:lineRule="auto"/>
      </w:pPr>
      <w:r>
        <w:rPr>
          <w:b/>
        </w:rPr>
        <w:t>EMA ABEL (EMA 2010, section 4.1.10).</w:t>
      </w:r>
      <w:r>
        <w:rPr/>
        <w:t xml:space="preserve"> Cmax only; AUC is judged against 80.00–125.00%. CVwR comes from the EMA model described under Replicate designs. Up to CVwR 30% the limits stay at 80.00–125.00%. Above it they are exp(±0.760·sWR), with sWR = √ln(CVwR² + 1) and CVwR (as a fraction) capped at 0.50, which gives 69.84–143.19% at the cap. Bioequivalence is concluded when the 90% confidence interval lies within the limits and the point estimate within 80.00–125.00%. The guideline asks the applicant to justify that the variability is reliable and not the result of outliers.</w:t>
      </w:r>
    </w:p>
    <w:p w14:paraId="3D5F6CB5" w14:textId="77777777" w:rsidR="00631871" w:rsidRDefault="0013387A">
      <w:pPr>
        <w:spacing w:after="120" w:line="276" w:lineRule="auto"/>
      </w:pPr>
      <w:r>
        <w:rPr>
          <w:b/>
        </w:rPr>
        <w:t>FDA RSABE (FDA 2026, Appendix G).</w:t>
      </w:r>
      <w:r>
        <w:rPr/>
        <w:t xml:space="preserve"> Each log-transformed metric is assessed on the subjects with a value in every period. For each subject the administrations are put in period order and two contrasts formed: I, the mean of the Test values minus the mean of the Reference values, and D, the first minus the second Reference value. I ~ Sequence, by least squares, gives the estimate (the mean of the sequence means, each sequence weighted equally), its standard error and 90% limits from the t distribution with n − m degrees of freedom (n subjects, m sequences). Let x = estimate² − SE² and boundx the larger squared limit. D ~ Sequence gives s²WR = MSE/2 with df(d) residual degrees of freedom. With θ = (ln 1.25 / 0.25)² = 0.7967, y = −θ·s²WR and boundy = y·df(d) / χ²(0.95, df(d)). The criterion bound is (x + y) + √((boundx − x)² + (boundy − y)²), the 95% upper confidence bound of the scaled criterion (Howe, 1974).</w:t>
      </w:r>
    </w:p>
    <w:p w14:paraId="3D5F6CB5" w14:textId="77777777" w:rsidR="00631871" w:rsidRDefault="0013387A">
      <w:pPr>
        <w:spacing w:after="120" w:line="276" w:lineRule="auto"/>
      </w:pPr>
      <w:r>
        <w:t>If sWR is 0.294 or higher the route is Scaled: RSABE is met when the criterion bound is at or below 0 and the point estimate, 100·exp(estimate), lies within 80.00–125.00%, rounded to two decimals at both limits. Below 0.294 nothing is scaled, and the ordinary test against 80.00–125.00% is used with the model you chose. The results then say that this model is not the FDA model for replicate designs (Appendix C), which has separate Test and Reference variances and Satterthwaite degrees of freedom. The limits implied by sWR are exp(±ln 1.25·sWR/0.25).</w:t>
      </w:r>
    </w:p>
    <w:p w14:paraId="3D5F6CB5" w14:textId="77777777" w:rsidR="00631871" w:rsidRDefault="0013387A">
      <w:pPr>
        <w:spacing w:after="120" w:line="276" w:lineRule="auto"/>
      </w:pPr>
      <w:r>
        <w:t>Two within-subject SDs are in play. sWR (EMA model) is the residual SD of the period-adjusted model fitted to the Reference data. sWR (FDA contrasts) comes from the difference between a subject's two Reference administrations. They are estimated differently and can differ, and the table names the one it shows.</w:t>
      </w:r>
    </w:p>
    <w:p w14:paraId="3D5F6CB5" w14:textId="77777777" w:rsidR="00631871" w:rsidRDefault="0013387A">
      <w:pPr>
        <w:spacing w:after="120" w:line="276" w:lineRule="auto"/>
      </w:pPr>
      <w:r>
        <w:t>The FDA recommends at least 24 evaluable subjects for RSABE; the app warns below 24 and still computes. The PowerTOST documentation reports an inflated type I error for the FDA method when the true CVwR is at or below about 30%, around and below the switch. The partial replicate cannot estimate the Test variance, and with unequal variances its consumer risk can exceed 5% (Tothfalusi and Endrenyi, 2016). A subject who lacks a period leaves the RSABE contrasts. The app does not implement the exact method of Tothfalusi and Endrenyi or other corrections that neither agency has adopted.</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The Bioequivalence path applies the same ABEL and RSABE criteria to a replicate study, so the planned and the analysed criterion agree; the NTID test is for planning only.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Under EMA ABEL the app widens Cmax only. For a partial AUC it uses the limits you enter, which can be widened by hand when the protocol pre-specifies it.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 for Cmax, limits that widen with the within-subject variability of the Reference above CVwR 30%, capped at 50%. Chosen under Acceptance approach in replicate designs.</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Adjusted and unadjusted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Adjusted: the confidence interval from a model that contains covariates. Unadjusted: the interval from the model with Treatment only. The adjusted interval is the primary result, and the unadjusted one is shown beside it.</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Baseline characteristic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A characteristic of a subject that is known before the first dose, such as age, weight or sex. Only baseline characteristics are suitable as covariates.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Covariate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A subject characteristic that may influence a PK parameter and is included in the model. NCA Assistant offers baseline covariates for parallel-group studies.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In RSABE, the 95% upper confidence bound of the scaled criterion. RSABE requires it to be at or below 0.</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Intra-subject contrast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In the FDA RSABE method, a difference of log values within one subject: the Test mean minus the Reference mean (I), and the first minus the second Reference administration (D).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Point estimate constraint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requirement, for widened or scaled limits, that the point estimate also lies within 80.00–125.00%.</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Route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 a scaled run, Scaled when the method scaled the limits for that metric, and Standard when the ordinary 80.00–125.00% test applied (for example sWR below 0.294, or AUC under ABEL).</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Scaled limit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acceptance limits implied by the variability of the Reference: exp(±0.760·sWR) for ABEL, exp(±ln 1.25·sWR/0.25) for RSABE.</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Standardized difference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A measure of imbalance between groups on a baseline characteristic: the difference in means divided by the pooled SD (for a category, the difference in proportions divided by the pooled SD). It describes the groups and is not a test.</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Switch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value of sWR at which RSABE starts to scale, 0.294 (about CVwR 30%). Below it the ordinary test applies.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within-subject standard deviation of the Reference on the log scale. The EMA model and the FDA contrasts estimate it differently, so the table says which one it shows.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 when the within-subject SD of the Reference (sWR) is 0.294 or higher, the criterion scales with sWR, and the point estimate must also lie within 80.00–125.00%. Chosen under Acceptance approach in 2×3×3 and 2×2×4 designs.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0B8C1F2F" w14:textId="77777777" w:rsidR="00631871" w:rsidRDefault="0013387A">
      <w:pPr>
        <w:spacing w:after="120" w:line="276" w:lineRule="auto"/>
      </w:pPr>
      <w:r>
        <w:t>Route says Standard although I chose RSABE: for that metric sWR is below 0.294, so nothing is scaled and the ordinary test against 80.00–125.00% applies. This is not an error. Under ABEL the same happens for AUC, which the EMA never widens, and for Cmax when CVwR is 30% or lower.</w:t>
      </w:r>
    </w:p>
    <w:p w14:paraId="0B8C1F2F" w14:textId="77777777" w:rsidR="00631871" w:rsidRDefault="0013387A">
      <w:pPr>
        <w:spacing w:after="120" w:line="276" w:lineRule="auto"/>
      </w:pPr>
      <w:r>
        <w:t>Warning about fewer than 24 subjects: the FDA recommends at least 24 evaluable subjects for RSABE. The app computes the result anyway; discuss the sample size.</w:t>
      </w:r>
    </w:p>
    <w:p w14:paraId="0B8C1F2F" w14:textId="77777777" w:rsidR="00631871" w:rsidRDefault="0013387A">
      <w:pPr>
        <w:spacing w:after="120" w:line="276" w:lineRule="auto"/>
      </w:pPr>
      <w:r>
        <w:t>Subjects left out of the RSABE contrasts: a subject who lacks a value in one or more periods cannot form the two contrasts. The number of subjects used is in the downloads (the Subjects columns and the sheet BE_Scaled).</w:t>
      </w:r>
    </w:p>
    <w:p w14:paraId="0B8C1F2F" w14:textId="77777777" w:rsidR="00631871" w:rsidRDefault="0013387A">
      <w:pPr>
        <w:spacing w:after="120" w:line="276" w:lineRule="auto"/>
      </w:pPr>
      <w:r>
        <w:t>The run stopped with a covariate message: the message names the column and the subjects. The usual causes are a missing value, text such as “72 kg” or a decimal comma, two values for one subject and a constant column. Fix the file and upload it again, or remove the covariate.</w:t>
      </w:r>
    </w:p>
    <w:p w14:paraId="0B8C1F2F" w14:textId="77777777" w:rsidR="00631871" w:rsidRDefault="0013387A">
      <w:pPr>
        <w:spacing w:after="120" w:line="276" w:lineRule="auto"/>
      </w:pPr>
      <w:r>
        <w:t>My approach was cleared: changing any setting clears the results. The approach stays selected unless the design no longer offers it.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62007967" w14:textId="77777777" w:rsidR="00631871" w:rsidRDefault="0013387A">
      <w:pPr>
        <w:spacing w:after="120" w:line="276" w:lineRule="auto"/>
      </w:pPr>
      <w:r>
        <w:t>Davit BM, Chen ML, Conner DP, et al. Implementation of a reference-scaled average bioequivalence approach for highly variable generic drug products by the US Food and Drug Administration. AAPS J. 2012;14(4):915–924. doi:10.1208/s12248-012-9406-x.</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31C99737" w14:textId="77777777" w:rsidR="00631871" w:rsidRDefault="0013387A">
      <w:pPr>
        <w:spacing w:after="120" w:line="276" w:lineRule="auto"/>
      </w:pPr>
      <w:r>
        <w:t>Fuglsang A, Schütz H, Labes D. Reference datasets for bioequivalence trials in a two-group parallel design. AAPS J. 2015;17(2):400–404. doi:10.1208/s12248-014-9704-6.</w:t>
      </w:r>
    </w:p>
    <w:p w14:paraId="31C99737" w14:textId="77777777" w:rsidR="00631871" w:rsidRDefault="0013387A">
      <w:pPr>
        <w:spacing w:after="120" w:line="276" w:lineRule="auto"/>
      </w:pPr>
      <w:r>
        <w:t>Food and Drug Administration. Statistical Approaches to Establishing Bioequivalence. Guidance for industry, May 2026 (Appendix G: reference-scaled average bioequivalence).</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1DBAE82F" w14:textId="77777777" w:rsidR="00631871" w:rsidRDefault="0013387A">
      <w:pPr>
        <w:spacing w:after="120" w:line="276" w:lineRule="auto"/>
      </w:pPr>
      <w:r>
        <w:t>Howe WG. Approximate confidence limits on the mean of X+Y where X and Y are two tabled independent random variables. J Am Stat Assoc. 1974;69:789–794.</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B75C6A6" w14:textId="77777777" w:rsidR="00631871" w:rsidRDefault="0013387A">
      <w:pPr>
        <w:spacing w:after="120" w:line="276" w:lineRule="auto"/>
      </w:pPr>
      <w:r>
        <w:t>Tothfalusi L, Endrenyi L. An exact procedure for the evaluation of reference-scaled average bioequivalence. AAPS J. 2016;18(2):476–489. doi:10.1208/s12248-016-9873-6.</w:t>
      </w:r>
    </w:p>
    <w:p w14:paraId="7B75C6A6" w14:textId="77777777" w:rsidR="00631871" w:rsidRDefault="0013387A">
      <w:pPr>
        <w:spacing w:after="120" w:line="276" w:lineRule="auto"/>
      </w:pPr>
      <w:r>
        <w:t>Tsiatis AA, Davidian M, Zhang M, Lu X. Covariate adjustment for two-sample treatment comparisons in randomized clinical trials: a principled yet flexible approach. Stat Med. 2008;27(23):4658–4677. doi:10.1002/sim.3113.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7 October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 Also added to v1.8.0: the Welch interval beside the pooled interval for parallel groups, checked against the eleven published datasets of Fuglsang et al. (2015); the citation of the NCA Assistant article; covariate adjustment for parallel groups; EMA ABEL and FDA RSABE for replicate designs (Acceptance approach); Tutorials 4b and 4c with two example files and four figures; and the scope statement, glossary, troubleshooting and references revised.</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