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User Requirement Specification defines the functional and quality requirements for NCA Assistant v1.2.5,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URS covers 57 requirements across 8 categories: General (5), Data Handling (7), NCA (12), Bioequivalence (8),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NCA Assistant v1.2.5 provides six workflow paths accessible from a central hub: (1) Plan a Study, (2) Upload &amp; Check Data, (3) Visualize Data [new in v1.2], (4) Analyze One Subject at a Time, (5) Analyze All Subjects, (6) Bioequivalence Testing. GAMP 5 Category 5 custom application.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Critical R packages: NonCompart (NCA computation), PowerTOST (sample size/power), nlme (mixed-effects BE models), ggplot2/plotly (visualization), digest (SHA-256 hashing). All CRAN-hosted, peer-reviewed, widely adopted.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statistical methods page shall document all formulas, algorithms, and references used.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Methods page accessible from navigation.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 parameter names shall follow CDISC SDTM conventions where applicable.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cdisc_pk_names() maps NonCompart abbreviations to CDISC terms.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accept CSV and Excel (.xlsx/.xls) file uploads.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 and Excel files load without error; data preview matches source.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20+ data quality checks with severity levels (ERROR/WARNING/INFO/OK).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run_data_quality_check returns structured findings; ERRORs block processing.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implement 6 BLQ handling rules compatible with WinNonlin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6 rules produce correct output; multi-subject processing is independent.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estimate λz using best-fit adjusted R² criterion with configurable threshold.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λz matches analytical value; threshold filters poor fits.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single-subject NCA with interactive concentration-time plot.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sNCA produces valid results; plot is interactive.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batch NCA across all subjects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tblNCA returns one row per subject; summary statistics computed.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dose-normalized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CMAX_DN = CMAX/dose;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per-subject dosing from a data column.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Different doses per subject produce different CL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manual selection of terminal phase data points for λz estimation with validation guards (minimum 2 points, positive slope) and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Recalculated λz matches manual regression. Negative slope rejected. 2-point warning displayed.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ANOVA-based bioequivalence analysis on log-transformed PK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 ANOVA model per study design; MSE &gt; 0.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designs: 2-period crossover, fixed-order, 3-period, replicate, parallel.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design produces valid results; fixed-order df = N-1.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determine BE conclusion (YES/NO) based on CI vs.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BE=YES when CI within [80,125]; BE=NO otherwise.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both fixed-effects and mixed-effects (nlme) models.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Mixed model converges; GMR agrees with fixed effects within 5%.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90% CI, 80-125% limits; user can modify.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sample sizes using PowerTOST functions: TOST, scABEL, RSABE, NTID, noninf, dp.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functions return valid sample sizes for standard inputs.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 for sample size calculation.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designs return valid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bridge NCA-derived CV to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CV from NCA usable in sampleN.TOST.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 from all four analysis paths (Single, Batch, BE) and the Visualize Figure Record. ZIP contains results.xlsx, app_results_reference.csv, settings JSON, repro script,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standalone reproducibility R script.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parses as valid R; contains all key settings; re-verifies the source-data SHA-256; and automatically compares its output against the app results (app_results_reference.csv), reporting a MATCH / DIFFERENT verdict.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includes app version, R version, column mapping, etc.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FDA Bioavailability/Bioequivalence Guidance (2014)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EU Annex 11: Computerised Systems (2011)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