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2C3E50"/>
          <w:sz w:val="52"/>
          <w:szCs w:val="52"/>
        </w:rPr>
        <w:t xml:space="preserve">NCA Assistant</w:t>
      </w:r>
    </w:p>
    <w:p>
      <w:pPr>
        <w:spacing w:after="100"/>
        <w:jc w:val="center"/>
      </w:pPr>
      <w:r>
        <w:rPr>
          <w:rFonts w:ascii="Arial" w:cs="Arial" w:eastAsia="Arial" w:hAnsi="Arial"/>
          <w:color w:val="3498DB"/>
          <w:sz w:val="36"/>
          <w:szCs w:val="36"/>
        </w:rPr>
        <w:t xml:space="preserve">User Manual</w:t>
      </w:r>
    </w:p>
    <w:p>
      <w:pPr>
        <w:spacing w:after="400"/>
        <w:jc w:val="center"/>
      </w:pPr>
      <w:r>
        <w:rPr>
          <w:rFonts w:ascii="Arial" w:cs="Arial" w:eastAsia="Arial" w:hAnsi="Arial"/>
          <w:color w:val="7F8C8D"/>
          <w:sz w:val="24"/>
          <w:szCs w:val="24"/>
        </w:rPr>
        <w:t xml:space="preserve">Version 1.0</w:t>
      </w:r>
    </w:p>
    <w:p>
      <w:pPr>
        <w:spacing w:after="100"/>
        <w:jc w:val="center"/>
      </w:pPr>
      <w:r>
        <w:rPr>
          <w:rFonts w:ascii="Arial" w:cs="Arial" w:eastAsia="Arial" w:hAnsi="Arial"/>
          <w:sz w:val="24"/>
          <w:szCs w:val="24"/>
        </w:rPr>
        <w:t xml:space="preserve">Non-Compartmental Pharmacokinetic Analysis</w:t>
      </w:r>
    </w:p>
    <w:p>
      <w:pPr>
        <w:spacing w:after="100"/>
        <w:jc w:val="center"/>
      </w:pPr>
      <w:r>
        <w:rPr>
          <w:rFonts w:ascii="Arial" w:cs="Arial" w:eastAsia="Arial" w:hAnsi="Arial"/>
          <w:sz w:val="24"/>
          <w:szCs w:val="24"/>
        </w:rPr>
        <w:t xml:space="preserve">Bioequivalence Testing • Power &amp; Sample Size</w:t>
      </w:r>
    </w:p>
    <w:p>
      <w:pPr>
        <w:spacing w:before="800" w:after="100"/>
        <w:jc w:val="center"/>
      </w:pPr>
      <w:r>
        <w:rPr>
          <w:rFonts w:ascii="Arial" w:cs="Arial" w:eastAsia="Arial" w:hAnsi="Arial"/>
          <w:i/>
          <w:iCs/>
          <w:sz w:val="22"/>
          <w:szCs w:val="22"/>
        </w:rPr>
        <w:t xml:space="preserve">Radboud Applied Pharmacometrics</w:t>
      </w:r>
    </w:p>
    <w:p>
      <w:pPr>
        <w:jc w:val="center"/>
      </w:pPr>
      <w:r>
        <w:rPr>
          <w:rFonts w:ascii="Arial" w:cs="Arial" w:eastAsia="Arial" w:hAnsi="Arial"/>
          <w:i/>
          <w:iCs/>
          <w:sz w:val="22"/>
          <w:szCs w:val="22"/>
        </w:rPr>
        <w:t xml:space="preserve">Radboudumc, Nijmegen, The Netherlands</w:t>
      </w:r>
    </w:p>
    <w:p>
      <w:pPr>
        <w:spacing w:before="400"/>
        <w:jc w:val="center"/>
      </w:pPr>
      <w:r>
        <w:rPr>
          <w:rFonts w:ascii="Arial" w:cs="Arial" w:eastAsia="Arial" w:hAnsi="Arial"/>
          <w:color w:val="999999"/>
          <w:sz w:val="18"/>
          <w:szCs w:val="18"/>
        </w:rPr>
        <w:t xml:space="preserve">Manual version 1.0 — corresponds to NCA Assistant v1.0</w:t>
      </w:r>
    </w:p>
    <w:p>
      <w:r>
        <w:br w:type="page"/>
      </w:r>
    </w:p>
    <w:p>
      <w:pPr>
        <w:pStyle w:val="Heading1"/>
        <w:spacing w:before="360" w:after="200"/>
      </w:pPr>
      <w:r>
        <w:rPr>
          <w:rFonts w:ascii="Arial" w:cs="Arial" w:eastAsia="Arial" w:hAnsi="Arial"/>
          <w:b/>
          <w:bCs/>
          <w:sz w:val="32"/>
          <w:szCs w:val="32"/>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26"/>
        <w:gridCol w:w="3000"/>
      </w:tblGrid>
      <w:tr>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Date</w:t>
            </w:r>
          </w:p>
        </w:tc>
        <w:tc>
          <w:tcPr>
            <w:tcW w:type="dxa" w:w="25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Author</w:t>
            </w:r>
          </w:p>
        </w:tc>
        <w:tc>
          <w:tcPr>
            <w:tcW w:type="dxa" w:w="3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March 2026</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release</w:t>
            </w:r>
          </w:p>
        </w:tc>
      </w:tr>
    </w:tbl>
    <w:p>
      <w:pPr>
        <w:spacing w:after="80"/>
      </w:pPr>
      <w:r>
        <w:rPr>
          <w:rFonts w:ascii="Arial" w:cs="Arial" w:eastAsia="Arial" w:hAnsi="Arial"/>
          <w:color w:val="555555"/>
          <w:sz w:val="20"/>
          <w:szCs w:val="20"/>
        </w:rPr>
        <w:t xml:space="preserve">This document should be reviewed and updated when significant changes are made to the application.</w:t>
      </w:r>
    </w:p>
    <w:p>
      <w:r>
        <w:br w:type="page"/>
      </w:r>
    </w:p>
    <w:p>
      <w:pPr>
        <w:pStyle w:val="Heading1"/>
        <w:spacing w:before="36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80"/>
      </w:pPr>
      <w:r>
        <w:rPr>
          <w:rFonts w:ascii="Arial" w:cs="Arial" w:eastAsia="Arial" w:hAnsi="Arial"/>
          <w:color w:val="555555"/>
          <w:sz w:val="20"/>
          <w:szCs w:val="20"/>
        </w:rPr>
        <w:t xml:space="preserve">Update this table of contents after editing: right-click → Update Field → Update Entire Table.</w:t>
      </w:r>
    </w:p>
    <w:p>
      <w:r>
        <w:br w:type="page"/>
      </w:r>
    </w:p>
    <w:p>
      <w:pPr>
        <w:pStyle w:val="Heading1"/>
        <w:spacing w:before="360" w:after="200"/>
      </w:pPr>
      <w:r>
        <w:rPr>
          <w:rFonts w:ascii="Arial" w:cs="Arial" w:eastAsia="Arial" w:hAnsi="Arial"/>
          <w:b/>
          <w:bCs/>
          <w:sz w:val="32"/>
          <w:szCs w:val="32"/>
        </w:rPr>
        <w:t xml:space="preserve">Quick Start Guide</w:t>
      </w:r>
    </w:p>
    <w:p>
      <w:pPr>
        <w:spacing w:after="120"/>
      </w:pPr>
      <w:r>
        <w:rPr>
          <w:rFonts w:ascii="Arial" w:cs="Arial" w:eastAsia="Arial" w:hAnsi="Arial"/>
          <w:sz w:val="22"/>
          <w:szCs w:val="22"/>
        </w:rPr>
        <w:t xml:space="preserve">This one-page guide takes you from a CSV file to NCA results in under five minutes.</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Open the app at </w:t>
      </w:r>
      <w:r>
        <w:rPr>
          <w:rFonts w:ascii="Courier New" w:cs="Courier New" w:eastAsia="Courier New" w:hAnsi="Courier New"/>
          <w:sz w:val="20"/>
          <w:szCs w:val="20"/>
        </w:rPr>
        <w:t xml:space="preserve">robterheine.shinyapps.io/NCAassistant</w:t>
      </w:r>
      <w:r>
        <w:rPr>
          <w:rFonts w:ascii="Arial" w:cs="Arial" w:eastAsia="Arial" w:hAnsi="Arial"/>
          <w:sz w:val="22"/>
          <w:szCs w:val="22"/>
        </w:rPr>
        <w:t xml:space="preserve"> or run </w:t>
      </w:r>
      <w:r>
        <w:rPr>
          <w:rFonts w:ascii="Courier New" w:cs="Courier New" w:eastAsia="Courier New" w:hAnsi="Courier New"/>
          <w:sz w:val="20"/>
          <w:szCs w:val="20"/>
        </w:rPr>
        <w:t xml:space="preserve">source("install_and_run.R")</w:t>
      </w:r>
      <w:r>
        <w:rPr>
          <w:rFonts w:ascii="Arial" w:cs="Arial" w:eastAsia="Arial" w:hAnsi="Arial"/>
          <w:sz w:val="22"/>
          <w:szCs w:val="22"/>
        </w:rPr>
        <w:t xml:space="preserve"> in RStudio.</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Click </w:t>
      </w:r>
      <w:r>
        <w:rPr>
          <w:rFonts w:ascii="Arial" w:cs="Arial" w:eastAsia="Arial" w:hAnsi="Arial"/>
          <w:b/>
          <w:bCs/>
          <w:sz w:val="22"/>
          <w:szCs w:val="22"/>
        </w:rPr>
        <w:t xml:space="preserve">Upload &amp; Check Data</w:t>
      </w:r>
      <w:r>
        <w:rPr>
          <w:rFonts w:ascii="Arial" w:cs="Arial" w:eastAsia="Arial" w:hAnsi="Arial"/>
          <w:sz w:val="22"/>
          <w:szCs w:val="22"/>
        </w:rPr>
        <w:t xml:space="preserve">. Upload your CSV or Excel file. The app auto-detects your column names.</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If your data contains BLQ values: set the LLOQ value and select a BLQ handling rule. Click </w:t>
      </w:r>
      <w:r>
        <w:rPr>
          <w:rFonts w:ascii="Arial" w:cs="Arial" w:eastAsia="Arial" w:hAnsi="Arial"/>
          <w:b/>
          <w:bCs/>
          <w:sz w:val="22"/>
          <w:szCs w:val="22"/>
        </w:rPr>
        <w:t xml:space="preserve">Process Data</w:t>
      </w:r>
      <w:r>
        <w:rPr>
          <w:rFonts w:ascii="Arial" w:cs="Arial" w:eastAsia="Arial" w:hAnsi="Arial"/>
          <w:sz w:val="22"/>
          <w:szCs w:val="22"/>
        </w:rPr>
        <w:t xml:space="preserve">.</w:t>
      </w:r>
    </w:p>
    <w:p>
      <w:pPr>
        <w:spacing w:after="120"/>
      </w:pPr>
      <w:r>
        <w:rPr>
          <w:rFonts w:ascii="Arial" w:cs="Arial" w:eastAsia="Arial" w:hAnsi="Arial"/>
          <w:b/>
          <w:bCs/>
          <w:sz w:val="22"/>
          <w:szCs w:val="22"/>
        </w:rPr>
        <w:t xml:space="preserve">Step 4. </w:t>
      </w:r>
      <w:r>
        <w:rPr>
          <w:rFonts w:ascii="Arial" w:cs="Arial" w:eastAsia="Arial" w:hAnsi="Arial"/>
          <w:sz w:val="22"/>
          <w:szCs w:val="22"/>
        </w:rPr>
        <w:t xml:space="preserve">Go to </w:t>
      </w:r>
      <w:r>
        <w:rPr>
          <w:rFonts w:ascii="Arial" w:cs="Arial" w:eastAsia="Arial" w:hAnsi="Arial"/>
          <w:b/>
          <w:bCs/>
          <w:sz w:val="22"/>
          <w:szCs w:val="22"/>
        </w:rPr>
        <w:t xml:space="preserve">Analyze All Subjects</w:t>
      </w:r>
      <w:r>
        <w:rPr>
          <w:rFonts w:ascii="Arial" w:cs="Arial" w:eastAsia="Arial" w:hAnsi="Arial"/>
          <w:sz w:val="22"/>
          <w:szCs w:val="22"/>
        </w:rPr>
        <w:t xml:space="preserve">. Set the dose and route of administration. Click </w:t>
      </w:r>
      <w:r>
        <w:rPr>
          <w:rFonts w:ascii="Arial" w:cs="Arial" w:eastAsia="Arial" w:hAnsi="Arial"/>
          <w:b/>
          <w:bCs/>
          <w:sz w:val="22"/>
          <w:szCs w:val="22"/>
        </w:rPr>
        <w:t xml:space="preserve">Run Analysis on All Subjects</w:t>
      </w:r>
      <w:r>
        <w:rPr>
          <w:rFonts w:ascii="Arial" w:cs="Arial" w:eastAsia="Arial" w:hAnsi="Arial"/>
          <w:sz w:val="22"/>
          <w:szCs w:val="22"/>
        </w:rPr>
        <w:t xml:space="preserve">.</w:t>
      </w:r>
    </w:p>
    <w:p>
      <w:pPr>
        <w:spacing w:after="120"/>
      </w:pPr>
      <w:r>
        <w:rPr>
          <w:rFonts w:ascii="Arial" w:cs="Arial" w:eastAsia="Arial" w:hAnsi="Arial"/>
          <w:b/>
          <w:bCs/>
          <w:sz w:val="22"/>
          <w:szCs w:val="22"/>
        </w:rPr>
        <w:t xml:space="preserve">Step 5. </w:t>
      </w:r>
      <w:r>
        <w:rPr>
          <w:rFonts w:ascii="Arial" w:cs="Arial" w:eastAsia="Arial" w:hAnsi="Arial"/>
          <w:sz w:val="22"/>
          <w:szCs w:val="22"/>
        </w:rPr>
        <w:t xml:space="preserve">View your results in the tabs: Summary Statistics, Individual Profiles, Half-Life Review. Download as Excel or CSV, or generate a Complete Analysis Record for your files.</w:t>
      </w:r>
    </w:p>
    <w:p>
      <w:pPr>
        <w:spacing w:after="80"/>
      </w:pPr>
      <w:r>
        <w:rPr>
          <w:rFonts w:ascii="Arial" w:cs="Arial" w:eastAsia="Arial" w:hAnsi="Arial"/>
          <w:color w:val="555555"/>
          <w:sz w:val="20"/>
          <w:szCs w:val="20"/>
        </w:rPr>
        <w:t xml:space="preserve">For bioequivalence: after uploading crossover data, go to Bioequivalence Testing instead of Analyze All Subjects.</w:t>
      </w:r>
    </w:p>
    <w:p>
      <w:pPr>
        <w:spacing w:after="80"/>
      </w:pPr>
      <w:r>
        <w:rPr>
          <w:rFonts w:ascii="Arial" w:cs="Arial" w:eastAsia="Arial" w:hAnsi="Arial"/>
          <w:color w:val="555555"/>
          <w:sz w:val="20"/>
          <w:szCs w:val="20"/>
        </w:rPr>
        <w:t xml:space="preserve">For study planning: go directly to Plan a Study (no data upload needed).</w:t>
      </w:r>
    </w:p>
    <w:p>
      <w:r>
        <w:br w:type="page"/>
      </w:r>
    </w:p>
    <w:p>
      <w:pPr>
        <w:pStyle w:val="Heading1"/>
        <w:spacing w:before="360" w:after="200"/>
      </w:pPr>
      <w:r>
        <w:rPr>
          <w:rFonts w:ascii="Arial" w:cs="Arial" w:eastAsia="Arial" w:hAnsi="Arial"/>
          <w:b/>
          <w:bCs/>
          <w:sz w:val="32"/>
          <w:szCs w:val="32"/>
        </w:rPr>
        <w:t xml:space="preserve">Part I: Introduction to Non-Compartmental Analysis</w:t>
      </w:r>
    </w:p>
    <w:p>
      <w:pPr>
        <w:pStyle w:val="Heading2"/>
        <w:spacing w:before="280" w:after="160"/>
      </w:pPr>
      <w:r>
        <w:rPr>
          <w:rFonts w:ascii="Arial" w:cs="Arial" w:eastAsia="Arial" w:hAnsi="Arial"/>
          <w:b/>
          <w:bCs/>
          <w:sz w:val="26"/>
          <w:szCs w:val="26"/>
        </w:rPr>
        <w:t xml:space="preserve">What Is Non-Compartmental Analysis?</w:t>
      </w:r>
    </w:p>
    <w:p>
      <w:pPr>
        <w:spacing w:after="120"/>
      </w:pPr>
      <w:r>
        <w:rPr>
          <w:rFonts w:ascii="Arial" w:cs="Arial" w:eastAsia="Arial" w:hAnsi="Arial"/>
          <w:sz w:val="22"/>
          <w:szCs w:val="22"/>
        </w:rPr>
        <w:t xml:space="preserve">Non-compartmental analysis (NCA) is a method for describing the pharmacokinetics of a drug without assuming a specific structural model for how the drug distributes in the body. Instead of fitting a mathematical model (such as a one-compartment or two-compartment model), NCA calculates pharmacokinetic parameters directly from the observed concentration–time data using numerical integration and regression.</w:t>
      </w:r>
    </w:p>
    <w:p>
      <w:pPr>
        <w:spacing w:after="120"/>
      </w:pPr>
      <w:r>
        <w:rPr>
          <w:rFonts w:ascii="Arial" w:cs="Arial" w:eastAsia="Arial" w:hAnsi="Arial"/>
          <w:sz w:val="22"/>
          <w:szCs w:val="22"/>
        </w:rPr>
        <w:t xml:space="preserve">NCA is the standard approach for analyzing pharmacokinetic data in drug development. It is recommended by the EMA, FDA, and PMDA for bioequivalence studies and is routinely used in Phase I clinical trials, dose-finding studies, and therapeutic drug monitoring research.</w:t>
      </w:r>
    </w:p>
    <w:p>
      <w:pPr>
        <w:pStyle w:val="Heading2"/>
        <w:spacing w:before="280" w:after="160"/>
      </w:pPr>
      <w:r>
        <w:rPr>
          <w:rFonts w:ascii="Arial" w:cs="Arial" w:eastAsia="Arial" w:hAnsi="Arial"/>
          <w:b/>
          <w:bCs/>
          <w:sz w:val="26"/>
          <w:szCs w:val="26"/>
        </w:rPr>
        <w:t xml:space="preserve">The Concentration–Time Curve</w:t>
      </w:r>
    </w:p>
    <w:p>
      <w:pPr>
        <w:spacing w:after="120"/>
      </w:pPr>
      <w:r>
        <w:rPr>
          <w:rFonts w:ascii="Arial" w:cs="Arial" w:eastAsia="Arial" w:hAnsi="Arial"/>
          <w:sz w:val="22"/>
          <w:szCs w:val="22"/>
        </w:rPr>
        <w:t xml:space="preserve">After a drug is administered, blood samples are collected at specified times and the drug concentration is measured. When these concentration values are plotted against time, the resulting curve shows the drug’s journey through the body: absorption (concentrations rising), distribution (transition from rising to falling), and elimination (concentrations declining). NCA extracts quantitative parameters from this curve without assuming its shape.</w:t>
      </w:r>
    </w:p>
    <w:p>
      <w:pPr>
        <w:pStyle w:val="Heading2"/>
        <w:spacing w:before="280" w:after="160"/>
      </w:pPr>
      <w:r>
        <w:rPr>
          <w:rFonts w:ascii="Arial" w:cs="Arial" w:eastAsia="Arial" w:hAnsi="Arial"/>
          <w:b/>
          <w:bCs/>
          <w:sz w:val="26"/>
          <w:szCs w:val="26"/>
        </w:rPr>
        <w:t xml:space="preserve">Key Pharmacokinetic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4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Symbol</w:t>
            </w:r>
          </w:p>
        </w:tc>
        <w:tc>
          <w:tcPr>
            <w:tcW w:type="dxa" w:w="5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What it tells you</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Peak concentration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Cmax</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highest concentration observed. Relevant for efficacy and safety.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of peak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Tmax</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the peak occurs. Reflects the rate of absorption.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Area under the curve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drug exposure over time. The most important measure of overall exposure.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half-life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t½</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for the concentration to decrease by half during the terminal phase.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clearance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CL/F</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at which the body eliminates the drug, normalized to bioavailability.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Volume of distribution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Vz/F</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volume the drug distributes into during the terminal phase.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residence time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MRT</w:t>
            </w:r>
          </w:p>
        </w:tc>
        <w:tc>
          <w:tcPr>
            <w:tcW w:type="dxa" w:w="5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time a drug molecule stays in the body.</w:t>
            </w:r>
          </w:p>
        </w:tc>
      </w:tr>
    </w:tbl>
    <w:p>
      <w:pPr>
        <w:pStyle w:val="Heading2"/>
        <w:spacing w:before="280" w:after="160"/>
      </w:pPr>
      <w:r>
        <w:rPr>
          <w:rFonts w:ascii="Arial" w:cs="Arial" w:eastAsia="Arial" w:hAnsi="Arial"/>
          <w:b/>
          <w:bCs/>
          <w:sz w:val="26"/>
          <w:szCs w:val="26"/>
        </w:rPr>
        <w:t xml:space="preserve">Why NCA Is Used So Widely</w:t>
      </w:r>
    </w:p>
    <w:p>
      <w:pPr>
        <w:spacing w:after="120"/>
      </w:pPr>
      <w:r>
        <w:rPr>
          <w:rFonts w:ascii="Arial" w:cs="Arial" w:eastAsia="Arial" w:hAnsi="Arial"/>
          <w:sz w:val="22"/>
          <w:szCs w:val="22"/>
        </w:rPr>
        <w:t xml:space="preserve">NCA requires no assumptions about the number of compartments, the rate constants, or the shape of the concentration–time curve. This makes it robust: it works for drugs with simple and complex pharmacokinetics alike. It is reproducible across software platforms because the calculations are based on standard numerical methods (trapezoidal integration, linear regression) rather than iterative optimization. Regulatory agencies accept NCA results because the methods are well-defined, transparent, and not dependent on model selection.</w:t>
      </w:r>
    </w:p>
    <w:p>
      <w:pPr>
        <w:spacing w:after="120"/>
      </w:pPr>
      <w:r>
        <w:rPr>
          <w:rFonts w:ascii="Arial" w:cs="Arial" w:eastAsia="Arial" w:hAnsi="Arial"/>
          <w:sz w:val="22"/>
          <w:szCs w:val="22"/>
        </w:rPr>
        <w:t xml:space="preserve">NCA is the required approach for bioequivalence studies, where the goal is to compare the rate and extent of absorption between two formulations. For these studies, Cmax (rate) and AUC (extent) are the primary endpoints, and both are NCA-derived parameters.</w:t>
      </w:r>
    </w:p>
    <w:p>
      <w:pPr>
        <w:pStyle w:val="Heading2"/>
        <w:spacing w:before="280" w:after="160"/>
      </w:pPr>
      <w:r>
        <w:rPr>
          <w:rFonts w:ascii="Arial" w:cs="Arial" w:eastAsia="Arial" w:hAnsi="Arial"/>
          <w:b/>
          <w:bCs/>
          <w:sz w:val="26"/>
          <w:szCs w:val="26"/>
        </w:rPr>
        <w:t xml:space="preserve">When to Use NCA vs. Compartmental Modelling</w:t>
      </w:r>
    </w:p>
    <w:p>
      <w:pPr>
        <w:spacing w:after="120"/>
      </w:pPr>
      <w:r>
        <w:rPr>
          <w:rFonts w:ascii="Arial" w:cs="Arial" w:eastAsia="Arial" w:hAnsi="Arial"/>
          <w:sz w:val="22"/>
          <w:szCs w:val="22"/>
        </w:rPr>
        <w:t xml:space="preserve">Use NCA when you need standard PK parameters from observed data: first-in-human studies, bioequivalence, dose proportionality, food effect studies, drug interaction studies, and therapeutic drug monitoring. Use compartmental modelling when you need to simulate unobserved scenarios (dose adjustments, special populations), when you have sparse sampling, or when you need to understand the underlying PK mechanisms.</w:t>
      </w:r>
    </w:p>
    <w:p>
      <w:pPr>
        <w:spacing w:after="80"/>
      </w:pPr>
      <w:r>
        <w:rPr>
          <w:rFonts w:ascii="Arial" w:cs="Arial" w:eastAsia="Arial" w:hAnsi="Arial"/>
          <w:color w:val="555555"/>
          <w:sz w:val="20"/>
          <w:szCs w:val="20"/>
        </w:rPr>
        <w:t xml:space="preserve">NCA and compartmental modelling are complementary, not competing. Many studies report both.</w:t>
      </w:r>
    </w:p>
    <w:p>
      <w:r>
        <w:br w:type="page"/>
      </w:r>
    </w:p>
    <w:p>
      <w:pPr>
        <w:pStyle w:val="Heading1"/>
        <w:spacing w:before="360" w:after="200"/>
      </w:pPr>
      <w:r>
        <w:rPr>
          <w:rFonts w:ascii="Arial" w:cs="Arial" w:eastAsia="Arial" w:hAnsi="Arial"/>
          <w:b/>
          <w:bCs/>
          <w:sz w:val="32"/>
          <w:szCs w:val="32"/>
        </w:rPr>
        <w:t xml:space="preserve">Part II: Preparing Your Data</w:t>
      </w:r>
    </w:p>
    <w:p>
      <w:pPr>
        <w:pStyle w:val="Heading2"/>
        <w:spacing w:before="280" w:after="160"/>
      </w:pPr>
      <w:r>
        <w:rPr>
          <w:rFonts w:ascii="Arial" w:cs="Arial" w:eastAsia="Arial" w:hAnsi="Arial"/>
          <w:b/>
          <w:bCs/>
          <w:sz w:val="26"/>
          <w:szCs w:val="26"/>
        </w:rPr>
        <w:t xml:space="preserve">General Format Rules</w:t>
      </w:r>
    </w:p>
    <w:p>
      <w:pPr>
        <w:spacing w:after="120"/>
      </w:pPr>
      <w:r>
        <w:rPr>
          <w:rFonts w:ascii="Arial" w:cs="Arial" w:eastAsia="Arial" w:hAnsi="Arial"/>
          <w:sz w:val="22"/>
          <w:szCs w:val="22"/>
        </w:rPr>
        <w:t xml:space="preserve">The app expects data in </w:t>
      </w:r>
      <w:r>
        <w:rPr>
          <w:rFonts w:ascii="Arial" w:cs="Arial" w:eastAsia="Arial" w:hAnsi="Arial"/>
          <w:b/>
          <w:bCs/>
          <w:sz w:val="22"/>
          <w:szCs w:val="22"/>
        </w:rPr>
        <w:t xml:space="preserve">long format</w:t>
      </w:r>
      <w:r>
        <w:rPr>
          <w:rFonts w:ascii="Arial" w:cs="Arial" w:eastAsia="Arial" w:hAnsi="Arial"/>
          <w:sz w:val="22"/>
          <w:szCs w:val="22"/>
        </w:rPr>
        <w:t xml:space="preserve">: one row per observation (one blood sample = one row). Each row contains at minimum a subject identifier, the sampling time, and the measured concentration. Additional columns may be needed depending on the study design.</w:t>
      </w:r>
    </w:p>
    <w:p>
      <w:pPr>
        <w:spacing w:after="120"/>
      </w:pPr>
      <w:r>
        <w:rPr>
          <w:rFonts w:ascii="Arial" w:cs="Arial" w:eastAsia="Arial" w:hAnsi="Arial"/>
          <w:sz w:val="22"/>
          <w:szCs w:val="22"/>
        </w:rPr>
        <w:t xml:space="preserve">Accepted file formats: CSV (.csv), tab-separated (.tsv, .txt), and Excel (.xlsx, .xls). Column names are auto-detected from common conventions (Subject, Time, Conc, USUBJID, NTIM, DV, and many others). European-style CSV files with semicolon separators and comma decimals are supported.</w:t>
      </w:r>
    </w:p>
    <w:p>
      <w:pPr>
        <w:pStyle w:val="Heading2"/>
        <w:spacing w:before="280" w:after="160"/>
      </w:pPr>
      <w:r>
        <w:rPr>
          <w:rFonts w:ascii="Arial" w:cs="Arial" w:eastAsia="Arial" w:hAnsi="Arial"/>
          <w:b/>
          <w:bCs/>
          <w:sz w:val="26"/>
          <w:szCs w:val="26"/>
        </w:rPr>
        <w:t xml:space="preserve">Scenario 1: Single Subject, Single Dose</w:t>
      </w:r>
    </w:p>
    <w:p>
      <w:pPr>
        <w:spacing w:after="120"/>
      </w:pPr>
      <w:r>
        <w:rPr>
          <w:rFonts w:ascii="Arial" w:cs="Arial" w:eastAsia="Arial" w:hAnsi="Arial"/>
          <w:sz w:val="22"/>
          <w:szCs w:val="22"/>
        </w:rPr>
        <w:t xml:space="preserve">The simplest case: one person received a single dose and blood samples were collected over time. Only two columns are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4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Concentration</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18.5</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6.3</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w:t>
            </w:r>
          </w:p>
        </w:tc>
      </w:tr>
    </w:tbl>
    <w:p>
      <w:pPr>
        <w:spacing w:after="80"/>
      </w:pPr>
      <w:r>
        <w:rPr>
          <w:rFonts w:ascii="Arial" w:cs="Arial" w:eastAsia="Arial" w:hAnsi="Arial"/>
          <w:color w:val="555555"/>
          <w:sz w:val="20"/>
          <w:szCs w:val="20"/>
        </w:rPr>
        <w:t xml:space="preserve">Time is in hours since the dose. Include the pre-dose sample (time 0). Use actual sampling times if available.</w:t>
      </w:r>
    </w:p>
    <w:p>
      <w:pPr>
        <w:pStyle w:val="Heading2"/>
        <w:spacing w:before="280" w:after="160"/>
      </w:pPr>
      <w:r>
        <w:rPr>
          <w:rFonts w:ascii="Arial" w:cs="Arial" w:eastAsia="Arial" w:hAnsi="Arial"/>
          <w:b/>
          <w:bCs/>
          <w:sz w:val="26"/>
          <w:szCs w:val="26"/>
        </w:rPr>
        <w:t xml:space="preserve">Scenario 2: Multiple Subjects, Same Dose</w:t>
      </w:r>
    </w:p>
    <w:p>
      <w:pPr>
        <w:spacing w:after="120"/>
      </w:pPr>
      <w:r>
        <w:rPr>
          <w:rFonts w:ascii="Arial" w:cs="Arial" w:eastAsia="Arial" w:hAnsi="Arial"/>
          <w:sz w:val="22"/>
          <w:szCs w:val="22"/>
        </w:rPr>
        <w:t xml:space="preserve">Several subjects received the same drug at the same dose. Three columns: Subject, Time, Concentration. All subjects are stacked in one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3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35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Concentration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28.1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3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w:t>
            </w:r>
          </w:p>
        </w:tc>
      </w:tr>
    </w:tbl>
    <w:p>
      <w:pPr>
        <w:spacing w:after="80"/>
      </w:pPr>
      <w:r>
        <w:rPr>
          <w:rFonts w:ascii="Arial" w:cs="Arial" w:eastAsia="Arial" w:hAnsi="Arial"/>
          <w:color w:val="555555"/>
          <w:sz w:val="20"/>
          <w:szCs w:val="20"/>
        </w:rPr>
        <w:t xml:space="preserve">The dose is entered in the app settings (same for everyone). You do not need a Dose column.</w:t>
      </w:r>
    </w:p>
    <w:p>
      <w:pPr>
        <w:pStyle w:val="Heading2"/>
        <w:spacing w:before="280" w:after="160"/>
      </w:pPr>
      <w:r>
        <w:rPr>
          <w:rFonts w:ascii="Arial" w:cs="Arial" w:eastAsia="Arial" w:hAnsi="Arial"/>
          <w:b/>
          <w:bCs/>
          <w:sz w:val="26"/>
          <w:szCs w:val="26"/>
        </w:rPr>
        <w:t xml:space="preserve">Scenario 3: Multiple Subjects, Different Doses</w:t>
      </w:r>
    </w:p>
    <w:p>
      <w:pPr>
        <w:spacing w:after="120"/>
      </w:pPr>
      <w:r>
        <w:rPr>
          <w:rFonts w:ascii="Arial" w:cs="Arial" w:eastAsia="Arial" w:hAnsi="Arial"/>
          <w:sz w:val="22"/>
          <w:szCs w:val="22"/>
        </w:rPr>
        <w:t xml:space="preserve">If subjects received different doses (dose escalation, weight-based dosing), add a Dose column. The Dose value should be the same on every row for a given subject.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13"/>
        <w:gridCol w:w="2813"/>
      </w:tblGrid>
      <w:tr>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16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Dose</w:t>
            </w:r>
          </w:p>
        </w:tc>
        <w:tc>
          <w:tcPr>
            <w:tcW w:type="dxa" w:w="28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813"/>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Concentration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0.2</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22.5</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S002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28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r>
    </w:tbl>
    <w:p>
      <w:pPr>
        <w:spacing w:after="80"/>
      </w:pPr>
      <w:r>
        <w:rPr>
          <w:rFonts w:ascii="Arial" w:cs="Arial" w:eastAsia="Arial" w:hAnsi="Arial"/>
          <w:color w:val="555555"/>
          <w:sz w:val="20"/>
          <w:szCs w:val="20"/>
        </w:rPr>
        <w:t xml:space="preserve">In the app, select ‘Each subject has a different dose (from Dose column in data)’. The app reads each subject’s dose automatically.</w:t>
      </w:r>
    </w:p>
    <w:p>
      <w:pPr>
        <w:pStyle w:val="Heading2"/>
        <w:spacing w:before="280" w:after="160"/>
      </w:pPr>
      <w:r>
        <w:rPr>
          <w:rFonts w:ascii="Arial" w:cs="Arial" w:eastAsia="Arial" w:hAnsi="Arial"/>
          <w:b/>
          <w:bCs/>
          <w:sz w:val="26"/>
          <w:szCs w:val="26"/>
        </w:rPr>
        <w:t xml:space="preserve">Scenario 4: Standard 2-Period Crossover (Bioequivalence)</w:t>
      </w:r>
    </w:p>
    <w:p>
      <w:pPr>
        <w:spacing w:after="120"/>
      </w:pPr>
      <w:r>
        <w:rPr>
          <w:rFonts w:ascii="Arial" w:cs="Arial" w:eastAsia="Arial" w:hAnsi="Arial"/>
          <w:sz w:val="22"/>
          <w:szCs w:val="22"/>
        </w:rPr>
        <w:t xml:space="preserve">Each subject receives two formulations (Test and Reference) in two periods, with a washout between them. Half the subjects take Test first (TR sequence), half take Reference first (RT sequence). Six columns are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100"/>
        <w:gridCol w:w="1226"/>
        <w:gridCol w:w="1800"/>
        <w:gridCol w:w="2200"/>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Subject</w:t>
            </w:r>
          </w:p>
        </w:tc>
        <w:tc>
          <w:tcPr>
            <w:tcW w:type="dxa" w:w="15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Treatment</w:t>
            </w:r>
          </w:p>
        </w:tc>
        <w:tc>
          <w:tcPr>
            <w:tcW w:type="dxa" w:w="11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Period</w:t>
            </w:r>
          </w:p>
        </w:tc>
        <w:tc>
          <w:tcPr>
            <w:tcW w:type="dxa" w:w="12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Sequence</w:t>
            </w:r>
          </w:p>
        </w:tc>
        <w:tc>
          <w:tcPr>
            <w:tcW w:type="dxa" w:w="18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Conc</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S01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1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0.4</w:t>
            </w:r>
          </w:p>
        </w:tc>
      </w:tr>
    </w:tbl>
    <w:p>
      <w:pPr>
        <w:spacing w:after="120"/>
      </w:pPr>
      <w:r>
        <w:rPr>
          <w:rFonts w:ascii="Arial" w:cs="Arial" w:eastAsia="Arial" w:hAnsi="Arial"/>
          <w:b/>
          <w:bCs/>
          <w:sz w:val="22"/>
          <w:szCs w:val="22"/>
        </w:rPr>
        <w:t xml:space="preserve">Subject</w:t>
      </w:r>
      <w:r>
        <w:rPr>
          <w:rFonts w:ascii="Arial" w:cs="Arial" w:eastAsia="Arial" w:hAnsi="Arial"/>
          <w:sz w:val="22"/>
          <w:szCs w:val="22"/>
        </w:rPr>
        <w:t xml:space="preserve"> — a unique ID per person. </w:t>
      </w:r>
      <w:r>
        <w:rPr>
          <w:rFonts w:ascii="Arial" w:cs="Arial" w:eastAsia="Arial" w:hAnsi="Arial"/>
          <w:b/>
          <w:bCs/>
          <w:sz w:val="22"/>
          <w:szCs w:val="22"/>
        </w:rPr>
        <w:t xml:space="preserve">Treatment</w:t>
      </w:r>
      <w:r>
        <w:rPr>
          <w:rFonts w:ascii="Arial" w:cs="Arial" w:eastAsia="Arial" w:hAnsi="Arial"/>
          <w:sz w:val="22"/>
          <w:szCs w:val="22"/>
        </w:rPr>
        <w:t xml:space="preserve"> — ‘Test’ or ‘Reference’. </w:t>
      </w:r>
      <w:r>
        <w:rPr>
          <w:rFonts w:ascii="Arial" w:cs="Arial" w:eastAsia="Arial" w:hAnsi="Arial"/>
          <w:b/>
          <w:bCs/>
          <w:sz w:val="22"/>
          <w:szCs w:val="22"/>
        </w:rPr>
        <w:t xml:space="preserve">Period</w:t>
      </w:r>
      <w:r>
        <w:rPr>
          <w:rFonts w:ascii="Arial" w:cs="Arial" w:eastAsia="Arial" w:hAnsi="Arial"/>
          <w:sz w:val="22"/>
          <w:szCs w:val="22"/>
        </w:rPr>
        <w:t xml:space="preserve"> — 1 or 2. </w:t>
      </w:r>
      <w:r>
        <w:rPr>
          <w:rFonts w:ascii="Arial" w:cs="Arial" w:eastAsia="Arial" w:hAnsi="Arial"/>
          <w:b/>
          <w:bCs/>
          <w:sz w:val="22"/>
          <w:szCs w:val="22"/>
        </w:rPr>
        <w:t xml:space="preserve">Sequence</w:t>
      </w:r>
      <w:r>
        <w:rPr>
          <w:rFonts w:ascii="Arial" w:cs="Arial" w:eastAsia="Arial" w:hAnsi="Arial"/>
          <w:sz w:val="22"/>
          <w:szCs w:val="22"/>
        </w:rPr>
        <w:t xml:space="preserve"> — the order: ‘TR’ (Test first) or ‘RT’ (Reference first). </w:t>
      </w:r>
      <w:r>
        <w:rPr>
          <w:rFonts w:ascii="Arial" w:cs="Arial" w:eastAsia="Arial" w:hAnsi="Arial"/>
          <w:b/>
          <w:bCs/>
          <w:sz w:val="22"/>
          <w:szCs w:val="22"/>
        </w:rPr>
        <w:t xml:space="preserve">Time</w:t>
      </w:r>
      <w:r>
        <w:rPr>
          <w:rFonts w:ascii="Arial" w:cs="Arial" w:eastAsia="Arial" w:hAnsi="Arial"/>
          <w:sz w:val="22"/>
          <w:szCs w:val="22"/>
        </w:rPr>
        <w:t xml:space="preserve"> — hours since dosing, reset to 0 at the start of each period.</w:t>
      </w:r>
    </w:p>
    <w:p>
      <w:pPr>
        <w:spacing w:after="80"/>
      </w:pPr>
      <w:r>
        <w:rPr>
          <w:rFonts w:ascii="Arial" w:cs="Arial" w:eastAsia="Arial" w:hAnsi="Arial"/>
          <w:color w:val="555555"/>
          <w:sz w:val="20"/>
          <w:szCs w:val="20"/>
        </w:rPr>
        <w:t xml:space="preserve">Time resets to 0 at the start of period 2. If period 2 starts on day 8, the first sample is still time = 0.</w:t>
      </w:r>
    </w:p>
    <w:p>
      <w:pPr>
        <w:pStyle w:val="Heading2"/>
        <w:spacing w:before="280" w:after="160"/>
      </w:pPr>
      <w:r>
        <w:rPr>
          <w:rFonts w:ascii="Arial" w:cs="Arial" w:eastAsia="Arial" w:hAnsi="Arial"/>
          <w:b/>
          <w:bCs/>
          <w:sz w:val="26"/>
          <w:szCs w:val="26"/>
        </w:rPr>
        <w:t xml:space="preserve">Scenario 5: Fixed-Order Crossover</w:t>
      </w:r>
    </w:p>
    <w:p>
      <w:pPr>
        <w:spacing w:after="120"/>
      </w:pPr>
      <w:r>
        <w:rPr>
          <w:rFonts w:ascii="Arial" w:cs="Arial" w:eastAsia="Arial" w:hAnsi="Arial"/>
          <w:sz w:val="22"/>
          <w:szCs w:val="22"/>
        </w:rPr>
        <w:t xml:space="preserve">All subjects receive treatments in the same order (e.g., everyone gets Reference first, then Test). Same six columns, but the Sequence column has a single value for all subjects (e.g., ‘RT’). In the app, select ‘Fixed-order crossover’ as the study design.</w:t>
      </w:r>
    </w:p>
    <w:p>
      <w:pPr>
        <w:spacing w:after="80"/>
      </w:pPr>
      <w:r>
        <w:rPr>
          <w:rFonts w:ascii="Arial" w:cs="Arial" w:eastAsia="Arial" w:hAnsi="Arial"/>
          <w:color w:val="555555"/>
          <w:sz w:val="20"/>
          <w:szCs w:val="20"/>
        </w:rPr>
        <w:t xml:space="preserve">Statistical limitation: period and treatment effects are confounded and cannot be separated. The app uses a paired analysis.</w:t>
      </w:r>
    </w:p>
    <w:p>
      <w:pPr>
        <w:pStyle w:val="Heading2"/>
        <w:spacing w:before="280" w:after="160"/>
      </w:pPr>
      <w:r>
        <w:rPr>
          <w:rFonts w:ascii="Arial" w:cs="Arial" w:eastAsia="Arial" w:hAnsi="Arial"/>
          <w:b/>
          <w:bCs/>
          <w:sz w:val="26"/>
          <w:szCs w:val="26"/>
        </w:rPr>
        <w:t xml:space="preserve">Scenario 6: 3-Period and Replicate Crossover</w:t>
      </w:r>
    </w:p>
    <w:p>
      <w:pPr>
        <w:spacing w:after="120"/>
      </w:pPr>
      <w:r>
        <w:rPr>
          <w:rFonts w:ascii="Arial" w:cs="Arial" w:eastAsia="Arial" w:hAnsi="Arial"/>
          <w:sz w:val="22"/>
          <w:szCs w:val="22"/>
        </w:rPr>
        <w:t xml:space="preserve">Same format as the 2-period design, with Period going up to 3 or 4. For 3-period designs, common sequences include TRT|RTR (2-sequence) or TRR|RTR|RRT (Williams design). For 4-period replicate crossover, each subject receives each treatment twice (e.g., TRTR|RTRT).</w:t>
      </w:r>
    </w:p>
    <w:p>
      <w:pPr>
        <w:pStyle w:val="Heading2"/>
        <w:spacing w:before="280" w:after="160"/>
      </w:pPr>
      <w:r>
        <w:rPr>
          <w:rFonts w:ascii="Arial" w:cs="Arial" w:eastAsia="Arial" w:hAnsi="Arial"/>
          <w:b/>
          <w:bCs/>
          <w:sz w:val="26"/>
          <w:szCs w:val="26"/>
        </w:rPr>
        <w:t xml:space="preserve">Scenario 7: Parallel-Group Bioequivalence</w:t>
      </w:r>
    </w:p>
    <w:p>
      <w:pPr>
        <w:spacing w:after="120"/>
      </w:pPr>
      <w:r>
        <w:rPr>
          <w:rFonts w:ascii="Arial" w:cs="Arial" w:eastAsia="Arial" w:hAnsi="Arial"/>
          <w:sz w:val="22"/>
          <w:szCs w:val="22"/>
        </w:rPr>
        <w:t xml:space="preserve">Each subject receives only one formulation. Four columns: Subject, Treatment, Time, Concentration. No Period or Sequence column is needed.</w:t>
      </w:r>
    </w:p>
    <w:p>
      <w:pPr>
        <w:pStyle w:val="Heading2"/>
        <w:spacing w:before="280" w:after="160"/>
      </w:pPr>
      <w:r>
        <w:rPr>
          <w:rFonts w:ascii="Arial" w:cs="Arial" w:eastAsia="Arial" w:hAnsi="Arial"/>
          <w:b/>
          <w:bCs/>
          <w:sz w:val="26"/>
          <w:szCs w:val="26"/>
        </w:rPr>
        <w:t xml:space="preserve">Scenario 8: Steady-State (Multiple-Dose) PK</w:t>
      </w:r>
    </w:p>
    <w:p>
      <w:pPr>
        <w:spacing w:after="120"/>
      </w:pPr>
      <w:r>
        <w:rPr>
          <w:rFonts w:ascii="Arial" w:cs="Arial" w:eastAsia="Arial" w:hAnsi="Arial"/>
          <w:sz w:val="22"/>
          <w:szCs w:val="22"/>
        </w:rPr>
        <w:t xml:space="preserve">The drug has been given repeatedly and you are sampling during one dosing interval. Same columns as Scenario 2, but the pre-dose concentration is above zero (drug has accumulated). In the app, tick ‘Steady-state’ before running the analysis.</w:t>
      </w:r>
    </w:p>
    <w:p>
      <w:pPr>
        <w:spacing w:after="80"/>
      </w:pPr>
      <w:r>
        <w:rPr>
          <w:rFonts w:ascii="Arial" w:cs="Arial" w:eastAsia="Arial" w:hAnsi="Arial"/>
          <w:color w:val="555555"/>
          <w:sz w:val="20"/>
          <w:szCs w:val="20"/>
        </w:rPr>
        <w:t xml:space="preserve">Time = 0 means ‘just before the steady-state dose’. The sampling should cover one full dosing interval (e.g., 0–24 h for once-daily dosing).</w:t>
      </w:r>
    </w:p>
    <w:p>
      <w:pPr>
        <w:pStyle w:val="Heading2"/>
        <w:spacing w:before="280" w:after="160"/>
      </w:pPr>
      <w:r>
        <w:rPr>
          <w:rFonts w:ascii="Arial" w:cs="Arial" w:eastAsia="Arial" w:hAnsi="Arial"/>
          <w:b/>
          <w:bCs/>
          <w:sz w:val="26"/>
          <w:szCs w:val="26"/>
        </w:rPr>
        <w:t xml:space="preserve">Handling BLQ Values</w:t>
      </w:r>
    </w:p>
    <w:p>
      <w:pPr>
        <w:spacing w:after="120"/>
      </w:pPr>
      <w:r>
        <w:rPr>
          <w:rFonts w:ascii="Arial" w:cs="Arial" w:eastAsia="Arial" w:hAnsi="Arial"/>
          <w:sz w:val="22"/>
          <w:szCs w:val="22"/>
        </w:rPr>
        <w:t xml:space="preserve">Concentrations below the lower limit of quantification (LLOQ) may appear as text in your data: ‘BLQ’, ‘&lt;0.5’, ‘ND’. Leave them as-is in your file. The app auto-detects these entries. In the upload step, set the LLOQ value (from your bioanalytical report) and select a handling rule.</w:t>
      </w:r>
    </w:p>
    <w:p>
      <w:pPr>
        <w:spacing w:after="120"/>
      </w:pPr>
      <w:r>
        <w:rPr>
          <w:rFonts w:ascii="Arial" w:cs="Arial" w:eastAsia="Arial" w:hAnsi="Arial"/>
          <w:sz w:val="22"/>
          <w:szCs w:val="22"/>
        </w:rPr>
        <w:t xml:space="preserve">Six rules are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Rule</w:t>
            </w:r>
          </w:p>
        </w:tc>
        <w:tc>
          <w:tcPr>
            <w:tcW w:type="dxa" w:w="7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1</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Pre-first-quantifiable = 0, post-last-quantifiable = missing, between = 0 (WinNonlin default)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2</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BLQ = 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3</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BLQ = excluded (missing)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4</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BLQ = LLOQ/2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5</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Before Cmax = 0, after Cmax = missing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Rule 6</w:t>
            </w:r>
          </w:p>
        </w:tc>
        <w:tc>
          <w:tcPr>
            <w:tcW w:type="dxa" w:w="7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First BLQ = LLOQ/2, rest = 0 (for drugs with absorption lag)</w:t>
            </w:r>
          </w:p>
        </w:tc>
      </w:tr>
    </w:tbl>
    <w:p>
      <w:pPr>
        <w:spacing w:after="80"/>
      </w:pPr>
      <w:r>
        <w:rPr>
          <w:rFonts w:ascii="Arial" w:cs="Arial" w:eastAsia="Arial" w:hAnsi="Arial"/>
          <w:color w:val="555555"/>
          <w:sz w:val="20"/>
          <w:szCs w:val="20"/>
        </w:rPr>
        <w:t xml:space="preserve">When in doubt, use Rule 1. If the app detects ‘&lt;X’ entries, it auto-fills the LLOQ field with the detected value.</w:t>
      </w:r>
    </w:p>
    <w:p>
      <w:pPr>
        <w:pStyle w:val="Heading2"/>
        <w:spacing w:before="280" w:after="160"/>
      </w:pPr>
      <w:r>
        <w:rPr>
          <w:rFonts w:ascii="Arial" w:cs="Arial" w:eastAsia="Arial" w:hAnsi="Arial"/>
          <w:b/>
          <w:bCs/>
          <w:sz w:val="26"/>
          <w:szCs w:val="26"/>
        </w:rPr>
        <w:t xml:space="preserve">Common Data Preparation Mistakes</w:t>
      </w:r>
    </w:p>
    <w:p>
      <w:pPr>
        <w:spacing w:after="120"/>
      </w:pPr>
      <w:r>
        <w:rPr>
          <w:rFonts w:ascii="Arial" w:cs="Arial" w:eastAsia="Arial" w:hAnsi="Arial"/>
          <w:b/>
          <w:bCs/>
          <w:sz w:val="22"/>
          <w:szCs w:val="22"/>
        </w:rPr>
        <w:t xml:space="preserve">Wide format</w:t>
      </w:r>
      <w:r>
        <w:rPr>
          <w:rFonts w:ascii="Arial" w:cs="Arial" w:eastAsia="Arial" w:hAnsi="Arial"/>
          <w:sz w:val="22"/>
          <w:szCs w:val="22"/>
        </w:rPr>
        <w:t xml:space="preserve"> — subjects as columns instead of rows. The app needs long format: one row per sample.</w:t>
      </w:r>
    </w:p>
    <w:p>
      <w:pPr>
        <w:spacing w:after="120"/>
      </w:pPr>
      <w:r>
        <w:rPr>
          <w:rFonts w:ascii="Arial" w:cs="Arial" w:eastAsia="Arial" w:hAnsi="Arial"/>
          <w:b/>
          <w:bCs/>
          <w:sz w:val="22"/>
          <w:szCs w:val="22"/>
        </w:rPr>
        <w:t xml:space="preserve">Time not reset</w:t>
      </w:r>
      <w:r>
        <w:rPr>
          <w:rFonts w:ascii="Arial" w:cs="Arial" w:eastAsia="Arial" w:hAnsi="Arial"/>
          <w:sz w:val="22"/>
          <w:szCs w:val="22"/>
        </w:rPr>
        <w:t xml:space="preserve"> — in crossover studies, time must restart at 0 for each period.</w:t>
      </w:r>
    </w:p>
    <w:p>
      <w:pPr>
        <w:spacing w:after="120"/>
      </w:pPr>
      <w:r>
        <w:rPr>
          <w:rFonts w:ascii="Arial" w:cs="Arial" w:eastAsia="Arial" w:hAnsi="Arial"/>
          <w:b/>
          <w:bCs/>
          <w:sz w:val="22"/>
          <w:szCs w:val="22"/>
        </w:rPr>
        <w:t xml:space="preserve">Entering 0 for missing samples</w:t>
      </w:r>
      <w:r>
        <w:rPr>
          <w:rFonts w:ascii="Arial" w:cs="Arial" w:eastAsia="Arial" w:hAnsi="Arial"/>
          <w:sz w:val="22"/>
          <w:szCs w:val="22"/>
        </w:rPr>
        <w:t xml:space="preserve"> — use a blank cell or omit the row. Zero means ‘concentration was actually zero’.</w:t>
      </w:r>
    </w:p>
    <w:p>
      <w:pPr>
        <w:spacing w:after="120"/>
      </w:pPr>
      <w:r>
        <w:rPr>
          <w:rFonts w:ascii="Arial" w:cs="Arial" w:eastAsia="Arial" w:hAnsi="Arial"/>
          <w:b/>
          <w:bCs/>
          <w:sz w:val="22"/>
          <w:szCs w:val="22"/>
        </w:rPr>
        <w:t xml:space="preserve">Duplicate time points</w:t>
      </w:r>
      <w:r>
        <w:rPr>
          <w:rFonts w:ascii="Arial" w:cs="Arial" w:eastAsia="Arial" w:hAnsi="Arial"/>
          <w:sz w:val="22"/>
          <w:szCs w:val="22"/>
        </w:rPr>
        <w:t xml:space="preserve"> — the app blocks processing if the same subject has two samples at the same time. Average replicates before uploading.</w:t>
      </w:r>
    </w:p>
    <w:p>
      <w:pPr>
        <w:spacing w:after="120"/>
      </w:pPr>
      <w:r>
        <w:rPr>
          <w:rFonts w:ascii="Arial" w:cs="Arial" w:eastAsia="Arial" w:hAnsi="Arial"/>
          <w:b/>
          <w:bCs/>
          <w:sz w:val="22"/>
          <w:szCs w:val="22"/>
        </w:rPr>
        <w:t xml:space="preserve">LLOQ left at 0</w:t>
      </w:r>
      <w:r>
        <w:rPr>
          <w:rFonts w:ascii="Arial" w:cs="Arial" w:eastAsia="Arial" w:hAnsi="Arial"/>
          <w:sz w:val="22"/>
          <w:szCs w:val="22"/>
        </w:rPr>
        <w:t xml:space="preserve"> — when your data has BLQ text entries, you must set LLOQ &gt; 0. The app blocks processing and tells you.</w:t>
      </w:r>
    </w:p>
    <w:p>
      <w:r>
        <w:br w:type="page"/>
      </w:r>
    </w:p>
    <w:p>
      <w:pPr>
        <w:pStyle w:val="Heading1"/>
        <w:spacing w:before="360" w:after="200"/>
      </w:pPr>
      <w:r>
        <w:rPr>
          <w:rFonts w:ascii="Arial" w:cs="Arial" w:eastAsia="Arial" w:hAnsi="Arial"/>
          <w:b/>
          <w:bCs/>
          <w:sz w:val="32"/>
          <w:szCs w:val="32"/>
        </w:rPr>
        <w:t xml:space="preserve">Part III: Using the App</w:t>
      </w:r>
    </w:p>
    <w:p>
      <w:pPr>
        <w:pStyle w:val="Heading2"/>
        <w:spacing w:before="280" w:after="160"/>
      </w:pPr>
      <w:r>
        <w:rPr>
          <w:rFonts w:ascii="Arial" w:cs="Arial" w:eastAsia="Arial" w:hAnsi="Arial"/>
          <w:b/>
          <w:bCs/>
          <w:sz w:val="26"/>
          <w:szCs w:val="26"/>
        </w:rPr>
        <w:t xml:space="preserve">The Hub Screen</w:t>
      </w:r>
    </w:p>
    <w:p>
      <w:pPr>
        <w:spacing w:after="120"/>
      </w:pPr>
      <w:r>
        <w:rPr>
          <w:rFonts w:ascii="Arial" w:cs="Arial" w:eastAsia="Arial" w:hAnsi="Arial"/>
          <w:sz w:val="22"/>
          <w:szCs w:val="22"/>
        </w:rPr>
        <w:t xml:space="preserve">The home screen shows five coloured cards, one for each workflow path. Click any card to enter that path. A breadcrumb trail at the top (e.g., Home / Bioequivalence Testing) shows where you are. Click ‘Home’ to return to the hub.</w:t>
      </w:r>
    </w:p>
    <w:p>
      <w:pPr>
        <w:spacing w:after="120"/>
      </w:pPr>
      <w:r>
        <w:rPr>
          <w:rFonts w:ascii="Arial" w:cs="Arial" w:eastAsia="Arial" w:hAnsi="Arial"/>
          <w:sz w:val="22"/>
          <w:szCs w:val="22"/>
        </w:rPr>
        <w:t xml:space="preserve">The top navigation bar contains three buttons: </w:t>
      </w:r>
      <w:r>
        <w:rPr>
          <w:rFonts w:ascii="Arial" w:cs="Arial" w:eastAsia="Arial" w:hAnsi="Arial"/>
          <w:b/>
          <w:bCs/>
          <w:sz w:val="22"/>
          <w:szCs w:val="22"/>
        </w:rPr>
        <w:t xml:space="preserve">Statistical Methods</w:t>
      </w:r>
      <w:r>
        <w:rPr>
          <w:rFonts w:ascii="Arial" w:cs="Arial" w:eastAsia="Arial" w:hAnsi="Arial"/>
          <w:sz w:val="22"/>
          <w:szCs w:val="22"/>
        </w:rPr>
        <w:t xml:space="preserve"> (publication-ready analysis descriptions), </w:t>
      </w:r>
      <w:r>
        <w:rPr>
          <w:rFonts w:ascii="Arial" w:cs="Arial" w:eastAsia="Arial" w:hAnsi="Arial"/>
          <w:b/>
          <w:bCs/>
          <w:sz w:val="22"/>
          <w:szCs w:val="22"/>
        </w:rPr>
        <w:t xml:space="preserve">Data Guide</w:t>
      </w:r>
      <w:r>
        <w:rPr>
          <w:rFonts w:ascii="Arial" w:cs="Arial" w:eastAsia="Arial" w:hAnsi="Arial"/>
          <w:sz w:val="22"/>
          <w:szCs w:val="22"/>
        </w:rPr>
        <w:t xml:space="preserve"> (data preparation instructions), and </w:t>
      </w:r>
      <w:r>
        <w:rPr>
          <w:rFonts w:ascii="Arial" w:cs="Arial" w:eastAsia="Arial" w:hAnsi="Arial"/>
          <w:b/>
          <w:bCs/>
          <w:sz w:val="22"/>
          <w:szCs w:val="22"/>
        </w:rPr>
        <w:t xml:space="preserve">About</w:t>
      </w:r>
      <w:r>
        <w:rPr>
          <w:rFonts w:ascii="Arial" w:cs="Arial" w:eastAsia="Arial" w:hAnsi="Arial"/>
          <w:sz w:val="22"/>
          <w:szCs w:val="22"/>
        </w:rPr>
        <w:t xml:space="preserve"> (version history, software references, license).</w:t>
      </w:r>
    </w:p>
    <w:p>
      <w:pPr>
        <w:pStyle w:val="Heading2"/>
        <w:spacing w:before="280" w:after="160"/>
      </w:pPr>
      <w:r>
        <w:rPr>
          <w:rFonts w:ascii="Arial" w:cs="Arial" w:eastAsia="Arial" w:hAnsi="Arial"/>
          <w:b/>
          <w:bCs/>
          <w:sz w:val="26"/>
          <w:szCs w:val="26"/>
        </w:rPr>
        <w:t xml:space="preserve">Path 1: Plan a Study (Power &amp; Sample Size)</w:t>
      </w:r>
    </w:p>
    <w:p>
      <w:pPr>
        <w:spacing w:after="120"/>
      </w:pPr>
      <w:r>
        <w:rPr>
          <w:rFonts w:ascii="Arial" w:cs="Arial" w:eastAsia="Arial" w:hAnsi="Arial"/>
          <w:sz w:val="22"/>
          <w:szCs w:val="22"/>
        </w:rPr>
        <w:t xml:space="preserve">This path calculates the number of subjects needed for a bioequivalence study or the statistical power of a study with a given number of subjects. No data upload is needed.</w:t>
      </w:r>
    </w:p>
    <w:p>
      <w:pPr>
        <w:pStyle w:val="Heading3"/>
        <w:spacing w:before="200" w:after="120"/>
      </w:pPr>
      <w:r>
        <w:rPr>
          <w:rFonts w:ascii="Arial" w:cs="Arial" w:eastAsia="Arial" w:hAnsi="Arial"/>
          <w:b/>
          <w:bCs/>
          <w:sz w:val="22"/>
          <w:szCs w:val="22"/>
        </w:rPr>
        <w:t xml:space="preserve">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4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Analysis type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type of bioequivalence test. Standard ABE uses fixed 80–125% limits. ABEL (EMA) and RSABE (FDA) allow widened limits for highly variable drugs. NTID uses tightened limits.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Calculation mode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Sample size: how many subjects do I need? Power: what is my chance of success with N subjects?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Sample size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Study design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crossover or parallel design. Affects degrees of freedom and power.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2×2×2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CV (%)</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Within-subject coefficient of variation. Estimate from previous studies or literature.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Target power</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desired probability of concluding bioequivalence if the formulations are truly equivalent.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GMR (theta0)</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Expected geometric mean ratio (Test/Reference). 0.95 is a common assumption.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BE limits</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Acceptance limits for the 90% confidence interval. Standard: 0.80–1.25.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0.80–1.25</w:t>
            </w:r>
          </w:p>
        </w:tc>
      </w:tr>
    </w:tbl>
    <w:p>
      <w:pPr>
        <w:pStyle w:val="Heading3"/>
        <w:spacing w:before="200" w:after="120"/>
      </w:pPr>
      <w:r>
        <w:rPr>
          <w:rFonts w:ascii="Arial" w:cs="Arial" w:eastAsia="Arial" w:hAnsi="Arial"/>
          <w:b/>
          <w:bCs/>
          <w:sz w:val="22"/>
          <w:szCs w:val="22"/>
        </w:rPr>
        <w:t xml:space="preserve">Output</w:t>
      </w:r>
    </w:p>
    <w:p>
      <w:pPr>
        <w:spacing w:after="120"/>
      </w:pPr>
      <w:r>
        <w:rPr>
          <w:rFonts w:ascii="Arial" w:cs="Arial" w:eastAsia="Arial" w:hAnsi="Arial"/>
          <w:sz w:val="22"/>
          <w:szCs w:val="22"/>
        </w:rPr>
        <w:t xml:space="preserve">The app shows the required sample size (or achieved power), a power curve showing how power changes with sample size, and a sensitivity plot showing how sample size changes with variability. All results are computed using the PowerTOST R package.</w:t>
      </w:r>
    </w:p>
    <w:p>
      <w:pPr>
        <w:pStyle w:val="Heading2"/>
        <w:spacing w:before="280" w:after="160"/>
      </w:pPr>
      <w:r>
        <w:rPr>
          <w:rFonts w:ascii="Arial" w:cs="Arial" w:eastAsia="Arial" w:hAnsi="Arial"/>
          <w:b/>
          <w:bCs/>
          <w:sz w:val="26"/>
          <w:szCs w:val="26"/>
        </w:rPr>
        <w:t xml:space="preserve">Path 2: Upload &amp; Check Data</w:t>
      </w:r>
    </w:p>
    <w:p>
      <w:pPr>
        <w:spacing w:after="120"/>
      </w:pPr>
      <w:r>
        <w:rPr>
          <w:rFonts w:ascii="Arial" w:cs="Arial" w:eastAsia="Arial" w:hAnsi="Arial"/>
          <w:sz w:val="22"/>
          <w:szCs w:val="22"/>
        </w:rPr>
        <w:t xml:space="preserve">This is the shared data gateway for Paths 3, 4, and 5. Upload your file, map the columns, set BLQ handling, and click Process Data.</w:t>
      </w:r>
    </w:p>
    <w:p>
      <w:pPr>
        <w:pStyle w:val="Heading3"/>
        <w:spacing w:before="200" w:after="120"/>
      </w:pPr>
      <w:r>
        <w:rPr>
          <w:rFonts w:ascii="Arial" w:cs="Arial" w:eastAsia="Arial" w:hAnsi="Arial"/>
          <w:b/>
          <w:bCs/>
          <w:sz w:val="22"/>
          <w:szCs w:val="22"/>
        </w:rPr>
        <w:t xml:space="preserve">Column Mapping</w:t>
      </w:r>
    </w:p>
    <w:p>
      <w:pPr>
        <w:spacing w:after="120"/>
      </w:pPr>
      <w:r>
        <w:rPr>
          <w:rFonts w:ascii="Arial" w:cs="Arial" w:eastAsia="Arial" w:hAnsi="Arial"/>
          <w:sz w:val="22"/>
          <w:szCs w:val="22"/>
        </w:rPr>
        <w:t xml:space="preserve">The app auto-detects common column names. If it guesses wrong, use the dropdown menus to correct the mapping. Required columns: Subject, Time, Concentration. Optional: Treatment, Period, Sequence, Dose.</w:t>
      </w:r>
    </w:p>
    <w:p>
      <w:pPr>
        <w:pStyle w:val="Heading3"/>
        <w:spacing w:before="200" w:after="120"/>
      </w:pPr>
      <w:r>
        <w:rPr>
          <w:rFonts w:ascii="Arial" w:cs="Arial" w:eastAsia="Arial" w:hAnsi="Arial"/>
          <w:b/>
          <w:bCs/>
          <w:sz w:val="22"/>
          <w:szCs w:val="22"/>
        </w:rPr>
        <w:t xml:space="preserve">Data Quality Checks</w:t>
      </w:r>
    </w:p>
    <w:p>
      <w:pPr>
        <w:spacing w:after="120"/>
      </w:pPr>
      <w:r>
        <w:rPr>
          <w:rFonts w:ascii="Arial" w:cs="Arial" w:eastAsia="Arial" w:hAnsi="Arial"/>
          <w:sz w:val="22"/>
          <w:szCs w:val="22"/>
        </w:rPr>
        <w:t xml:space="preserve">After clicking Process Data, the app runs 20+ automated checks. Errors (red) block processing and must be fixed in your data file. Warnings (orange) allow processing but flag potential issues. Checks include: non-numeric values, negative concentrations, duplicate time points, missing columns, BLQ text entries with LLOQ not set, and crossover design consistency.</w:t>
      </w:r>
    </w:p>
    <w:p>
      <w:pPr>
        <w:spacing w:after="80"/>
      </w:pPr>
      <w:r>
        <w:rPr>
          <w:rFonts w:ascii="Arial" w:cs="Arial" w:eastAsia="Arial" w:hAnsi="Arial"/>
          <w:color w:val="555555"/>
          <w:sz w:val="20"/>
          <w:szCs w:val="20"/>
        </w:rPr>
        <w:t xml:space="preserve">When you upload a new file, all previous results and quality reports are automatically cleared.</w:t>
      </w:r>
    </w:p>
    <w:p>
      <w:pPr>
        <w:pStyle w:val="Heading2"/>
        <w:spacing w:before="280" w:after="160"/>
      </w:pPr>
      <w:r>
        <w:rPr>
          <w:rFonts w:ascii="Arial" w:cs="Arial" w:eastAsia="Arial" w:hAnsi="Arial"/>
          <w:b/>
          <w:bCs/>
          <w:sz w:val="26"/>
          <w:szCs w:val="26"/>
        </w:rPr>
        <w:t xml:space="preserve">Path 3: Analyze One Subject at a Time</w:t>
      </w:r>
    </w:p>
    <w:p>
      <w:pPr>
        <w:spacing w:after="120"/>
      </w:pPr>
      <w:r>
        <w:rPr>
          <w:rFonts w:ascii="Arial" w:cs="Arial" w:eastAsia="Arial" w:hAnsi="Arial"/>
          <w:sz w:val="22"/>
          <w:szCs w:val="22"/>
        </w:rPr>
        <w:t xml:space="preserve">Step through individual concentration–time profiles one at a time, using Previous/Next buttons. Useful for reviewing individual profiles before batch analysis, or for analyzing a single-subject dataset.</w:t>
      </w:r>
    </w:p>
    <w:p>
      <w:pPr>
        <w:pStyle w:val="Heading3"/>
        <w:spacing w:before="200" w:after="120"/>
      </w:pPr>
      <w:r>
        <w:rPr>
          <w:rFonts w:ascii="Arial" w:cs="Arial" w:eastAsia="Arial" w:hAnsi="Arial"/>
          <w:b/>
          <w:bCs/>
          <w:sz w:val="22"/>
          <w:szCs w:val="22"/>
        </w:rPr>
        <w:t xml:space="preserve">Manual Data Entry</w:t>
      </w:r>
    </w:p>
    <w:p>
      <w:pPr>
        <w:spacing w:after="120"/>
      </w:pPr>
      <w:r>
        <w:rPr>
          <w:rFonts w:ascii="Arial" w:cs="Arial" w:eastAsia="Arial" w:hAnsi="Arial"/>
          <w:sz w:val="22"/>
          <w:szCs w:val="22"/>
        </w:rPr>
        <w:t xml:space="preserve">Select ‘Enter data manually’ to type time and concentration values directly, without uploading a file. Useful for quick calculations from tabulated data in a publication.</w:t>
      </w:r>
    </w:p>
    <w:p>
      <w:pPr>
        <w:pStyle w:val="Heading3"/>
        <w:spacing w:before="200" w:after="120"/>
      </w:pPr>
      <w:r>
        <w:rPr>
          <w:rFonts w:ascii="Arial" w:cs="Arial" w:eastAsia="Arial" w:hAnsi="Arial"/>
          <w:b/>
          <w:bCs/>
          <w:sz w:val="22"/>
          <w:szCs w:val="22"/>
        </w:rPr>
        <w:t xml:space="preserve">Half-Life Inspector</w:t>
      </w:r>
    </w:p>
    <w:p>
      <w:pPr>
        <w:spacing w:after="120"/>
      </w:pPr>
      <w:r>
        <w:rPr>
          <w:rFonts w:ascii="Arial" w:cs="Arial" w:eastAsia="Arial" w:hAnsi="Arial"/>
          <w:sz w:val="22"/>
          <w:szCs w:val="22"/>
        </w:rPr>
        <w:t xml:space="preserve">The plot shows ln(concentration) vs. time with the terminal slope regression line. Red points are used for the half-life calculation; grey points are excluded. Uncheck points that do not belong on the straight line, then click Recalculate. All dependent parameters (t½, AUC∞, CL/F, Vz/F) update immediately.</w:t>
      </w:r>
    </w:p>
    <w:p>
      <w:pPr>
        <w:pStyle w:val="Heading3"/>
        <w:spacing w:before="200" w:after="120"/>
      </w:pPr>
      <w:r>
        <w:rPr>
          <w:rFonts w:ascii="Arial" w:cs="Arial" w:eastAsia="Arial" w:hAnsi="Arial"/>
          <w:b/>
          <w:bCs/>
          <w:sz w:val="22"/>
          <w:szCs w:val="22"/>
        </w:rPr>
        <w:t xml:space="preserve">Output</w:t>
      </w:r>
    </w:p>
    <w:p>
      <w:pPr>
        <w:spacing w:after="120"/>
      </w:pPr>
      <w:r>
        <w:rPr>
          <w:rFonts w:ascii="Arial" w:cs="Arial" w:eastAsia="Arial" w:hAnsi="Arial"/>
          <w:sz w:val="22"/>
          <w:szCs w:val="22"/>
        </w:rPr>
        <w:t xml:space="preserve">A single-subject NCA parameter table. Download as CSV (includes Parameter name, Abbreviation, and Value columns).</w:t>
      </w:r>
    </w:p>
    <w:p>
      <w:pPr>
        <w:pStyle w:val="Heading2"/>
        <w:spacing w:before="280" w:after="160"/>
      </w:pPr>
      <w:r>
        <w:rPr>
          <w:rFonts w:ascii="Arial" w:cs="Arial" w:eastAsia="Arial" w:hAnsi="Arial"/>
          <w:b/>
          <w:bCs/>
          <w:sz w:val="26"/>
          <w:szCs w:val="26"/>
        </w:rPr>
        <w:t xml:space="preserve">Path 4: Analyze All Subjects (Batch NCA)</w:t>
      </w:r>
    </w:p>
    <w:p>
      <w:pPr>
        <w:spacing w:after="120"/>
      </w:pPr>
      <w:r>
        <w:rPr>
          <w:rFonts w:ascii="Arial" w:cs="Arial" w:eastAsia="Arial" w:hAnsi="Arial"/>
          <w:sz w:val="22"/>
          <w:szCs w:val="22"/>
        </w:rPr>
        <w:t xml:space="preserve">The main analysis path. Runs NCA on all subjects at once and produces population summary statistics.</w:t>
      </w:r>
    </w:p>
    <w:p>
      <w:pPr>
        <w:pStyle w:val="Heading3"/>
        <w:spacing w:before="200" w:after="120"/>
      </w:pPr>
      <w:r>
        <w:rPr>
          <w:rFonts w:ascii="Arial" w:cs="Arial" w:eastAsia="Arial" w:hAnsi="Arial"/>
          <w:b/>
          <w:bCs/>
          <w:sz w:val="22"/>
          <w:szCs w:val="22"/>
        </w:rPr>
        <w:t xml:space="preserve">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4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Route of administration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the drug was given. Affects whether CL or CL/F is reported and how C(0) is handled.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Extravascular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Dose information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dose for all subjects (enter one value) or per-subject dose (from Dose column in data).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Same dose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Steady-state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Tick for multiple-dose studies. Changes the display to show AUC within the dosing interval.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Trapezoidal method</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Linear-up/Log-down is recommended and widely used. Linear is available for comparison.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Log-down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Min R² for half-life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Minimum adjusted R² for the terminal slope regression. Lower = more permissive.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0.70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Dose-normalized</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Divides Cmax and AUC by dose. Only meaningful if pharmacokinetics are dose-proportional.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Off</w:t>
            </w:r>
          </w:p>
        </w:tc>
      </w:tr>
    </w:tbl>
    <w:p>
      <w:pPr>
        <w:pStyle w:val="Heading3"/>
        <w:spacing w:before="200" w:after="120"/>
      </w:pPr>
      <w:r>
        <w:rPr>
          <w:rFonts w:ascii="Arial" w:cs="Arial" w:eastAsia="Arial" w:hAnsi="Arial"/>
          <w:b/>
          <w:bCs/>
          <w:sz w:val="22"/>
          <w:szCs w:val="22"/>
        </w:rPr>
        <w:t xml:space="preserve">Result Tabs</w:t>
      </w:r>
    </w:p>
    <w:p>
      <w:pPr>
        <w:spacing w:after="120"/>
      </w:pPr>
      <w:r>
        <w:rPr>
          <w:rFonts w:ascii="Arial" w:cs="Arial" w:eastAsia="Arial" w:hAnsi="Arial"/>
          <w:b/>
          <w:bCs/>
          <w:sz w:val="22"/>
          <w:szCs w:val="22"/>
        </w:rPr>
        <w:t xml:space="preserve">Concentration–Time Profiles</w:t>
      </w:r>
      <w:r>
        <w:rPr>
          <w:rFonts w:ascii="Arial" w:cs="Arial" w:eastAsia="Arial" w:hAnsi="Arial"/>
          <w:sz w:val="22"/>
          <w:szCs w:val="22"/>
        </w:rPr>
        <w:t xml:space="preserve"> — spaghetti plot (all subjects overlaid on log scale) and mean ± SD plot.</w:t>
      </w:r>
    </w:p>
    <w:p>
      <w:pPr>
        <w:spacing w:after="120"/>
      </w:pPr>
      <w:r>
        <w:rPr>
          <w:rFonts w:ascii="Arial" w:cs="Arial" w:eastAsia="Arial" w:hAnsi="Arial"/>
          <w:b/>
          <w:bCs/>
          <w:sz w:val="22"/>
          <w:szCs w:val="22"/>
        </w:rPr>
        <w:t xml:space="preserve">All Parameters (per subject)</w:t>
      </w:r>
      <w:r>
        <w:rPr>
          <w:rFonts w:ascii="Arial" w:cs="Arial" w:eastAsia="Arial" w:hAnsi="Arial"/>
          <w:sz w:val="22"/>
          <w:szCs w:val="22"/>
        </w:rPr>
        <w:t xml:space="preserve"> — one row per subject, key columns shown by default. Tick ‘Show all parameters’ to expand to 37 columns. Download as CSV or Excel.</w:t>
      </w:r>
    </w:p>
    <w:p>
      <w:pPr>
        <w:spacing w:after="120"/>
      </w:pPr>
      <w:r>
        <w:rPr>
          <w:rFonts w:ascii="Arial" w:cs="Arial" w:eastAsia="Arial" w:hAnsi="Arial"/>
          <w:b/>
          <w:bCs/>
          <w:sz w:val="22"/>
          <w:szCs w:val="22"/>
        </w:rPr>
        <w:t xml:space="preserve">Summary Statistics</w:t>
      </w:r>
      <w:r>
        <w:rPr>
          <w:rFonts w:ascii="Arial" w:cs="Arial" w:eastAsia="Arial" w:hAnsi="Arial"/>
          <w:sz w:val="22"/>
          <w:szCs w:val="22"/>
        </w:rPr>
        <w:t xml:space="preserve"> — mean, SD, CV%, median, min, max, geometric mean, and geometric CV% for key parameters across all subjects. At steady state, AUC is labelled as AUC within the dosing interval.</w:t>
      </w:r>
    </w:p>
    <w:p>
      <w:pPr>
        <w:spacing w:after="120"/>
      </w:pPr>
      <w:r>
        <w:rPr>
          <w:rFonts w:ascii="Arial" w:cs="Arial" w:eastAsia="Arial" w:hAnsi="Arial"/>
          <w:b/>
          <w:bCs/>
          <w:sz w:val="22"/>
          <w:szCs w:val="22"/>
        </w:rPr>
        <w:t xml:space="preserve">Individual Profiles (grid)</w:t>
      </w:r>
      <w:r>
        <w:rPr>
          <w:rFonts w:ascii="Arial" w:cs="Arial" w:eastAsia="Arial" w:hAnsi="Arial"/>
          <w:sz w:val="22"/>
          <w:szCs w:val="22"/>
        </w:rPr>
        <w:t xml:space="preserve"> — one panel per subject on log scale.</w:t>
      </w:r>
    </w:p>
    <w:p>
      <w:pPr>
        <w:spacing w:after="120"/>
      </w:pPr>
      <w:r>
        <w:rPr>
          <w:rFonts w:ascii="Arial" w:cs="Arial" w:eastAsia="Arial" w:hAnsi="Arial"/>
          <w:b/>
          <w:bCs/>
          <w:sz w:val="22"/>
          <w:szCs w:val="22"/>
        </w:rPr>
        <w:t xml:space="preserve">Half-Life Review</w:t>
      </w:r>
      <w:r>
        <w:rPr>
          <w:rFonts w:ascii="Arial" w:cs="Arial" w:eastAsia="Arial" w:hAnsi="Arial"/>
          <w:sz w:val="22"/>
          <w:szCs w:val="22"/>
        </w:rPr>
        <w:t xml:space="preserve"> — select any subject and adjust the terminal phase regression points.</w:t>
      </w:r>
    </w:p>
    <w:p>
      <w:pPr>
        <w:pStyle w:val="Heading3"/>
        <w:spacing w:before="200" w:after="120"/>
      </w:pPr>
      <w:r>
        <w:rPr>
          <w:rFonts w:ascii="Arial" w:cs="Arial" w:eastAsia="Arial" w:hAnsi="Arial"/>
          <w:b/>
          <w:bCs/>
          <w:sz w:val="22"/>
          <w:szCs w:val="22"/>
        </w:rPr>
        <w:t xml:space="preserve">Downloads</w:t>
      </w:r>
    </w:p>
    <w:p>
      <w:pPr>
        <w:spacing w:after="120"/>
      </w:pPr>
      <w:r>
        <w:rPr>
          <w:rFonts w:ascii="Arial" w:cs="Arial" w:eastAsia="Arial" w:hAnsi="Arial"/>
          <w:sz w:val="22"/>
          <w:szCs w:val="22"/>
        </w:rPr>
        <w:t xml:space="preserve">CSV, Excel, and </w:t>
      </w:r>
      <w:r>
        <w:rPr>
          <w:rFonts w:ascii="Arial" w:cs="Arial" w:eastAsia="Arial" w:hAnsi="Arial"/>
          <w:b/>
          <w:bCs/>
          <w:sz w:val="22"/>
          <w:szCs w:val="22"/>
        </w:rPr>
        <w:t xml:space="preserve">Complete Analysis Record</w:t>
      </w:r>
      <w:r>
        <w:rPr>
          <w:rFonts w:ascii="Arial" w:cs="Arial" w:eastAsia="Arial" w:hAnsi="Arial"/>
          <w:sz w:val="22"/>
          <w:szCs w:val="22"/>
        </w:rPr>
        <w:t xml:space="preserve"> (see below).</w:t>
      </w:r>
    </w:p>
    <w:p>
      <w:pPr>
        <w:pStyle w:val="Heading2"/>
        <w:spacing w:before="280" w:after="160"/>
      </w:pPr>
      <w:r>
        <w:rPr>
          <w:rFonts w:ascii="Arial" w:cs="Arial" w:eastAsia="Arial" w:hAnsi="Arial"/>
          <w:b/>
          <w:bCs/>
          <w:sz w:val="26"/>
          <w:szCs w:val="26"/>
        </w:rPr>
        <w:t xml:space="preserve">Path 5: Bioequivalence Testing</w:t>
      </w:r>
    </w:p>
    <w:p>
      <w:pPr>
        <w:spacing w:after="120"/>
      </w:pPr>
      <w:r>
        <w:rPr>
          <w:rFonts w:ascii="Arial" w:cs="Arial" w:eastAsia="Arial" w:hAnsi="Arial"/>
          <w:sz w:val="22"/>
          <w:szCs w:val="22"/>
        </w:rPr>
        <w:t xml:space="preserve">Runs NCA on crossover or parallel data, then performs the ANOVA and constructs the 90% confidence interval for the geometric mean ratio.</w:t>
      </w:r>
    </w:p>
    <w:p>
      <w:pPr>
        <w:pStyle w:val="Heading3"/>
        <w:spacing w:before="200" w:after="120"/>
      </w:pPr>
      <w:r>
        <w:rPr>
          <w:rFonts w:ascii="Arial" w:cs="Arial" w:eastAsia="Arial" w:hAnsi="Arial"/>
          <w:b/>
          <w:bCs/>
          <w:sz w:val="22"/>
          <w:szCs w:val="22"/>
        </w:rPr>
        <w:t xml:space="preserve">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826"/>
        <w:gridCol w:w="2000"/>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4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What it does</w:t>
            </w:r>
          </w:p>
        </w:tc>
        <w:tc>
          <w:tcPr>
            <w:tcW w:type="dxa" w:w="20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Default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Study design</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Select the design that matches your study. The app adapts the ANOVA model accordingly.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2-period crossover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Statistical model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effects (standard, for balanced data) or mixed effects (handles dropouts, FDA recommended).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Fixed effects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Parameters to compare</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NCA parameters to test for bioequivalence. Cmax and AUC are standard.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Cmax, AUClast, AUCinf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Log-transform</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Log-transformation is required by regulatory guidance for Cmax and AUC.</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Confidence level</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is standard for bioequivalence (equivalent to two one-sided tests at 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w:t>
            </w:r>
          </w:p>
        </w:tc>
      </w:tr>
    </w:tbl>
    <w:p>
      <w:pPr>
        <w:spacing w:after="120"/>
      </w:pPr>
      <w:r>
        <w:rPr>
          <w:rFonts w:ascii="Arial" w:cs="Arial" w:eastAsia="Arial" w:hAnsi="Arial"/>
          <w:b/>
          <w:bCs/>
          <w:sz w:val="22"/>
          <w:szCs w:val="22"/>
        </w:rPr>
        <w:t xml:space="preserve">Limitation: </w:t>
      </w:r>
      <w:r>
        <w:rPr>
          <w:rFonts w:ascii="Arial" w:cs="Arial" w:eastAsia="Arial" w:hAnsi="Arial"/>
          <w:sz w:val="22"/>
          <w:szCs w:val="22"/>
        </w:rPr>
        <w:t xml:space="preserve">the app performs standard Average Bioequivalence (ABE) with fixed 80–125% limits for all designs. It does not perform reference-scaled analyses (ABEL, RSABE) or NTID analyses.</w:t>
      </w:r>
    </w:p>
    <w:p>
      <w:pPr>
        <w:pStyle w:val="Heading3"/>
        <w:spacing w:before="200" w:after="120"/>
      </w:pPr>
      <w:r>
        <w:rPr>
          <w:rFonts w:ascii="Arial" w:cs="Arial" w:eastAsia="Arial" w:hAnsi="Arial"/>
          <w:b/>
          <w:bCs/>
          <w:sz w:val="22"/>
          <w:szCs w:val="22"/>
        </w:rPr>
        <w:t xml:space="preserve">Result Tabs</w:t>
      </w:r>
    </w:p>
    <w:p>
      <w:pPr>
        <w:spacing w:after="120"/>
      </w:pPr>
      <w:r>
        <w:rPr>
          <w:rFonts w:ascii="Arial" w:cs="Arial" w:eastAsia="Arial" w:hAnsi="Arial"/>
          <w:b/>
          <w:bCs/>
          <w:sz w:val="22"/>
          <w:szCs w:val="22"/>
        </w:rPr>
        <w:t xml:space="preserve">Test vs. Reference Comparison</w:t>
      </w:r>
      <w:r>
        <w:rPr>
          <w:rFonts w:ascii="Arial" w:cs="Arial" w:eastAsia="Arial" w:hAnsi="Arial"/>
          <w:sz w:val="22"/>
          <w:szCs w:val="22"/>
        </w:rPr>
        <w:t xml:space="preserve"> — confidence interval table showing the ratio, 90% CI, and bioequivalence conclusion. A forest plot visualises the results.</w:t>
      </w:r>
    </w:p>
    <w:p>
      <w:pPr>
        <w:spacing w:after="120"/>
      </w:pPr>
      <w:r>
        <w:rPr>
          <w:rFonts w:ascii="Arial" w:cs="Arial" w:eastAsia="Arial" w:hAnsi="Arial"/>
          <w:b/>
          <w:bCs/>
          <w:sz w:val="22"/>
          <w:szCs w:val="22"/>
        </w:rPr>
        <w:t xml:space="preserve">PK Parameter Table</w:t>
      </w:r>
      <w:r>
        <w:rPr>
          <w:rFonts w:ascii="Arial" w:cs="Arial" w:eastAsia="Arial" w:hAnsi="Arial"/>
          <w:sz w:val="22"/>
          <w:szCs w:val="22"/>
        </w:rPr>
        <w:t xml:space="preserve"> — individual NCA results for each subject-treatment combination.</w:t>
      </w:r>
    </w:p>
    <w:p>
      <w:pPr>
        <w:spacing w:after="120"/>
      </w:pPr>
      <w:r>
        <w:rPr>
          <w:rFonts w:ascii="Arial" w:cs="Arial" w:eastAsia="Arial" w:hAnsi="Arial"/>
          <w:b/>
          <w:bCs/>
          <w:sz w:val="22"/>
          <w:szCs w:val="22"/>
        </w:rPr>
        <w:t xml:space="preserve">Statistical Details (ANOVA)</w:t>
      </w:r>
      <w:r>
        <w:rPr>
          <w:rFonts w:ascii="Arial" w:cs="Arial" w:eastAsia="Arial" w:hAnsi="Arial"/>
          <w:sz w:val="22"/>
          <w:szCs w:val="22"/>
        </w:rPr>
        <w:t xml:space="preserve"> — full ANOVA table for each tested parameter.</w:t>
      </w:r>
    </w:p>
    <w:p>
      <w:pPr>
        <w:spacing w:after="120"/>
      </w:pPr>
      <w:r>
        <w:rPr>
          <w:rFonts w:ascii="Arial" w:cs="Arial" w:eastAsia="Arial" w:hAnsi="Arial"/>
          <w:b/>
          <w:bCs/>
          <w:sz w:val="22"/>
          <w:szCs w:val="22"/>
        </w:rPr>
        <w:t xml:space="preserve">Concentration–Time Profiles</w:t>
      </w:r>
      <w:r>
        <w:rPr>
          <w:rFonts w:ascii="Arial" w:cs="Arial" w:eastAsia="Arial" w:hAnsi="Arial"/>
          <w:sz w:val="22"/>
          <w:szCs w:val="22"/>
        </w:rPr>
        <w:t xml:space="preserve"> — overlay of all profiles coloured by treatment.</w:t>
      </w:r>
    </w:p>
    <w:p>
      <w:pPr>
        <w:pStyle w:val="Heading2"/>
        <w:spacing w:before="280" w:after="160"/>
      </w:pPr>
      <w:r>
        <w:rPr>
          <w:rFonts w:ascii="Arial" w:cs="Arial" w:eastAsia="Arial" w:hAnsi="Arial"/>
          <w:b/>
          <w:bCs/>
          <w:sz w:val="26"/>
          <w:szCs w:val="26"/>
        </w:rPr>
        <w:t xml:space="preserve">Complete Analysis Record</w:t>
      </w:r>
    </w:p>
    <w:p>
      <w:pPr>
        <w:spacing w:after="120"/>
      </w:pPr>
      <w:r>
        <w:rPr>
          <w:rFonts w:ascii="Arial" w:cs="Arial" w:eastAsia="Arial" w:hAnsi="Arial"/>
          <w:sz w:val="22"/>
          <w:szCs w:val="22"/>
        </w:rPr>
        <w:t xml:space="preserve">Available in both Batch NCA and Bioequivalence Testing. Generates a self-contained zip file with six components:</w:t>
      </w:r>
    </w:p>
    <w:p>
      <w:pPr>
        <w:spacing w:after="120"/>
      </w:pPr>
      <w:r>
        <w:rPr>
          <w:rFonts w:ascii="Arial" w:cs="Arial" w:eastAsia="Arial" w:hAnsi="Arial"/>
          <w:b/>
          <w:bCs/>
          <w:sz w:val="22"/>
          <w:szCs w:val="22"/>
        </w:rPr>
        <w:t xml:space="preserve">results.xlsx</w:t>
      </w:r>
      <w:r>
        <w:rPr>
          <w:rFonts w:ascii="Arial" w:cs="Arial" w:eastAsia="Arial" w:hAnsi="Arial"/>
          <w:sz w:val="22"/>
          <w:szCs w:val="22"/>
        </w:rPr>
        <w:t xml:space="preserve"> — NCA parameters with plain-language column names, summary statistics, and (for BE) the confidence interval table and ANOVA.</w:t>
      </w:r>
    </w:p>
    <w:p>
      <w:pPr>
        <w:spacing w:after="120"/>
      </w:pPr>
      <w:r>
        <w:rPr>
          <w:rFonts w:ascii="Arial" w:cs="Arial" w:eastAsia="Arial" w:hAnsi="Arial"/>
          <w:b/>
          <w:bCs/>
          <w:sz w:val="22"/>
          <w:szCs w:val="22"/>
        </w:rPr>
        <w:t xml:space="preserve">analysis_settings.json</w:t>
      </w:r>
      <w:r>
        <w:rPr>
          <w:rFonts w:ascii="Arial" w:cs="Arial" w:eastAsia="Arial" w:hAnsi="Arial"/>
          <w:sz w:val="22"/>
          <w:szCs w:val="22"/>
        </w:rPr>
        <w:t xml:space="preserve"> — every setting that affected the analysis: route, dose, trapezoidal method, BLQ rule, LLOQ, R² threshold, steady-state flag, plus app version, R version, and all package versions.</w:t>
      </w:r>
    </w:p>
    <w:p>
      <w:pPr>
        <w:spacing w:after="120"/>
      </w:pPr>
      <w:r>
        <w:rPr>
          <w:rFonts w:ascii="Arial" w:cs="Arial" w:eastAsia="Arial" w:hAnsi="Arial"/>
          <w:b/>
          <w:bCs/>
          <w:sz w:val="22"/>
          <w:szCs w:val="22"/>
        </w:rPr>
        <w:t xml:space="preserve">reproduce_analysis.R</w:t>
      </w:r>
      <w:r>
        <w:rPr>
          <w:rFonts w:ascii="Arial" w:cs="Arial" w:eastAsia="Arial" w:hAnsi="Arial"/>
          <w:sz w:val="22"/>
          <w:szCs w:val="22"/>
        </w:rPr>
        <w:t xml:space="preserve"> — a standalone R script that reproduces the exact same analysis without the app. Heavily commented, with step-by-step explanations. Installs missing packages automatically.</w:t>
      </w:r>
    </w:p>
    <w:p>
      <w:pPr>
        <w:spacing w:after="120"/>
      </w:pPr>
      <w:r>
        <w:rPr>
          <w:rFonts w:ascii="Arial" w:cs="Arial" w:eastAsia="Arial" w:hAnsi="Arial"/>
          <w:b/>
          <w:bCs/>
          <w:sz w:val="22"/>
          <w:szCs w:val="22"/>
        </w:rPr>
        <w:t xml:space="preserve">data_integrity.txt</w:t>
      </w:r>
      <w:r>
        <w:rPr>
          <w:rFonts w:ascii="Arial" w:cs="Arial" w:eastAsia="Arial" w:hAnsi="Arial"/>
          <w:sz w:val="22"/>
          <w:szCs w:val="22"/>
        </w:rPr>
        <w:t xml:space="preserve"> — SHA-256 hash of the original data file. Verifies that the data has not been modified since the analysis.</w:t>
      </w:r>
    </w:p>
    <w:p>
      <w:pPr>
        <w:spacing w:after="120"/>
      </w:pPr>
      <w:r>
        <w:rPr>
          <w:rFonts w:ascii="Arial" w:cs="Arial" w:eastAsia="Arial" w:hAnsi="Arial"/>
          <w:b/>
          <w:bCs/>
          <w:sz w:val="22"/>
          <w:szCs w:val="22"/>
        </w:rPr>
        <w:t xml:space="preserve">analysis_summary.html</w:t>
      </w:r>
      <w:r>
        <w:rPr>
          <w:rFonts w:ascii="Arial" w:cs="Arial" w:eastAsia="Arial" w:hAnsi="Arial"/>
          <w:sz w:val="22"/>
          <w:szCs w:val="22"/>
        </w:rPr>
        <w:t xml:space="preserve"> — a self-contained document with the statistical methods, software environment, and instructions for running the reproducibility script.</w:t>
      </w:r>
    </w:p>
    <w:p>
      <w:pPr>
        <w:spacing w:after="120"/>
      </w:pPr>
      <w:r>
        <w:rPr>
          <w:rFonts w:ascii="Arial" w:cs="Arial" w:eastAsia="Arial" w:hAnsi="Arial"/>
          <w:b/>
          <w:bCs/>
          <w:sz w:val="22"/>
          <w:szCs w:val="22"/>
        </w:rPr>
        <w:t xml:space="preserve">Original data file</w:t>
      </w:r>
      <w:r>
        <w:rPr>
          <w:rFonts w:ascii="Arial" w:cs="Arial" w:eastAsia="Arial" w:hAnsi="Arial"/>
          <w:sz w:val="22"/>
          <w:szCs w:val="22"/>
        </w:rPr>
        <w:t xml:space="preserve"> — a copy of the uploaded data, so the package is entirely self-contained.</w:t>
      </w:r>
    </w:p>
    <w:p>
      <w:pPr>
        <w:spacing w:after="80"/>
      </w:pPr>
      <w:r>
        <w:rPr>
          <w:rFonts w:ascii="Arial" w:cs="Arial" w:eastAsia="Arial" w:hAnsi="Arial"/>
          <w:color w:val="555555"/>
          <w:sz w:val="20"/>
          <w:szCs w:val="20"/>
        </w:rPr>
        <w:t xml:space="preserve">To generate: expand the ‘Download Complete Analysis Record’ section below the download buttons, optionally enter your name and study name, and click Generate.</w:t>
      </w:r>
    </w:p>
    <w:p>
      <w:pPr>
        <w:pStyle w:val="Heading2"/>
        <w:spacing w:before="280" w:after="160"/>
      </w:pPr>
      <w:r>
        <w:rPr>
          <w:rFonts w:ascii="Arial" w:cs="Arial" w:eastAsia="Arial" w:hAnsi="Arial"/>
          <w:b/>
          <w:bCs/>
          <w:sz w:val="26"/>
          <w:szCs w:val="26"/>
        </w:rPr>
        <w:t xml:space="preserve">Statistical Methods Page</w:t>
      </w:r>
    </w:p>
    <w:p>
      <w:pPr>
        <w:spacing w:after="120"/>
      </w:pPr>
      <w:r>
        <w:rPr>
          <w:rFonts w:ascii="Arial" w:cs="Arial" w:eastAsia="Arial" w:hAnsi="Arial"/>
          <w:sz w:val="22"/>
          <w:szCs w:val="22"/>
        </w:rPr>
        <w:t xml:space="preserve">Accessible from the top navigation bar. Contains publication-ready descriptions of every statistical method used in the app, with equations. Organised by analysis type: NCA, Steady-State, BLQ Handling, Bioequivalence, Power &amp; Sample Size. The ‘Example Paragraph’ tab provides copy-ready text for the Methods section of a manuscript, with bracketed placeholders for study-specific details and a complete reference list.</w:t>
      </w:r>
    </w:p>
    <w:p>
      <w:r>
        <w:br w:type="page"/>
      </w:r>
    </w:p>
    <w:p>
      <w:pPr>
        <w:pStyle w:val="Heading1"/>
        <w:spacing w:before="360" w:after="200"/>
      </w:pPr>
      <w:r>
        <w:rPr>
          <w:rFonts w:ascii="Arial" w:cs="Arial" w:eastAsia="Arial" w:hAnsi="Arial"/>
          <w:b/>
          <w:bCs/>
          <w:sz w:val="32"/>
          <w:szCs w:val="32"/>
        </w:rPr>
        <w:t xml:space="preserve">Part IV: Worked Examples</w:t>
      </w:r>
    </w:p>
    <w:p>
      <w:pPr>
        <w:pStyle w:val="Heading2"/>
        <w:spacing w:before="280" w:after="160"/>
      </w:pPr>
      <w:r>
        <w:rPr>
          <w:rFonts w:ascii="Arial" w:cs="Arial" w:eastAsia="Arial" w:hAnsi="Arial"/>
          <w:b/>
          <w:bCs/>
          <w:sz w:val="26"/>
          <w:szCs w:val="26"/>
        </w:rPr>
        <w:t xml:space="preserve">Exercise 1: Single-Dose PK Study (Theoph Dataset)</w:t>
      </w:r>
    </w:p>
    <w:p>
      <w:pPr>
        <w:spacing w:after="120"/>
      </w:pPr>
      <w:r>
        <w:rPr>
          <w:rFonts w:ascii="Arial" w:cs="Arial" w:eastAsia="Arial" w:hAnsi="Arial"/>
          <w:sz w:val="22"/>
          <w:szCs w:val="22"/>
        </w:rPr>
        <w:t xml:space="preserve">The Theoph dataset is built into R. It contains concentration–time data for 12 subjects who each received a single 320 mg oral dose of theophylline. To use it in the app, save it as a CSV:</w:t>
      </w:r>
    </w:p>
    <w:p>
      <w:pPr>
        <w:spacing w:after="120"/>
      </w:pPr>
      <w:r>
        <w:rPr>
          <w:rFonts w:ascii="Courier New" w:cs="Courier New" w:eastAsia="Courier New" w:hAnsi="Courier New"/>
          <w:sz w:val="20"/>
          <w:szCs w:val="20"/>
        </w:rPr>
        <w:t xml:space="preserve">write.csv(Theoph, "theoph.csv", row.names = FALSE)</w:t>
      </w:r>
    </w:p>
    <w:p>
      <w:pPr>
        <w:spacing w:after="120"/>
      </w:pPr>
      <w:r>
        <w:rPr>
          <w:rFonts w:ascii="Arial" w:cs="Arial" w:eastAsia="Arial" w:hAnsi="Arial"/>
          <w:b/>
          <w:bCs/>
          <w:sz w:val="22"/>
          <w:szCs w:val="22"/>
        </w:rPr>
        <w:t xml:space="preserve">Steps:</w:t>
      </w:r>
    </w:p>
    <w:p>
      <w:pPr>
        <w:spacing w:after="120"/>
      </w:pPr>
      <w:r>
        <w:rPr>
          <w:rFonts w:ascii="Arial" w:cs="Arial" w:eastAsia="Arial" w:hAnsi="Arial"/>
          <w:sz w:val="22"/>
          <w:szCs w:val="22"/>
        </w:rPr>
        <w:t xml:space="preserve">1. Upload theoph.csv. The app maps Subject, Time, and conc automatically.</w:t>
      </w:r>
    </w:p>
    <w:p>
      <w:pPr>
        <w:spacing w:after="120"/>
      </w:pPr>
      <w:r>
        <w:rPr>
          <w:rFonts w:ascii="Arial" w:cs="Arial" w:eastAsia="Arial" w:hAnsi="Arial"/>
          <w:sz w:val="22"/>
          <w:szCs w:val="22"/>
        </w:rPr>
        <w:t xml:space="preserve">2. Click Process Data (LLOQ = 0 is fine; theophylline has no BLQ values).</w:t>
      </w:r>
    </w:p>
    <w:p>
      <w:pPr>
        <w:spacing w:after="120"/>
      </w:pPr>
      <w:r>
        <w:rPr>
          <w:rFonts w:ascii="Arial" w:cs="Arial" w:eastAsia="Arial" w:hAnsi="Arial"/>
          <w:sz w:val="22"/>
          <w:szCs w:val="22"/>
        </w:rPr>
        <w:t xml:space="preserve">3. Go to Analyze All Subjects. Set dose = 320, route = Extravascular, trapezoidal method = Log-down.</w:t>
      </w:r>
    </w:p>
    <w:p>
      <w:pPr>
        <w:spacing w:after="120"/>
      </w:pPr>
      <w:r>
        <w:rPr>
          <w:rFonts w:ascii="Arial" w:cs="Arial" w:eastAsia="Arial" w:hAnsi="Arial"/>
          <w:sz w:val="22"/>
          <w:szCs w:val="22"/>
        </w:rPr>
        <w:t xml:space="preserve">4. Click Run Analysis on All Subjects.</w:t>
      </w:r>
    </w:p>
    <w:p>
      <w:pPr>
        <w:pStyle w:val="Heading3"/>
        <w:spacing w:before="200" w:after="120"/>
      </w:pPr>
      <w:r>
        <w:rPr>
          <w:rFonts w:ascii="Arial" w:cs="Arial" w:eastAsia="Arial" w:hAnsi="Arial"/>
          <w:b/>
          <w:bCs/>
          <w:sz w:val="22"/>
          <w:szCs w:val="22"/>
        </w:rPr>
        <w:t xml:space="preserve">Questions</w:t>
      </w:r>
    </w:p>
    <w:p>
      <w:pPr>
        <w:spacing w:after="120"/>
      </w:pPr>
      <w:r>
        <w:rPr>
          <w:rFonts w:ascii="Arial" w:cs="Arial" w:eastAsia="Arial" w:hAnsi="Arial"/>
          <w:sz w:val="22"/>
          <w:szCs w:val="22"/>
        </w:rPr>
        <w:t xml:space="preserve">1. What is the mean Cmax across all subjects?</w:t>
      </w:r>
    </w:p>
    <w:p>
      <w:pPr>
        <w:spacing w:after="120"/>
      </w:pPr>
      <w:r>
        <w:rPr>
          <w:rFonts w:ascii="Arial" w:cs="Arial" w:eastAsia="Arial" w:hAnsi="Arial"/>
          <w:sz w:val="22"/>
          <w:szCs w:val="22"/>
        </w:rPr>
        <w:t xml:space="preserve">2. What is the geometric mean AUC to last point?</w:t>
      </w:r>
    </w:p>
    <w:p>
      <w:pPr>
        <w:spacing w:after="120"/>
      </w:pPr>
      <w:r>
        <w:rPr>
          <w:rFonts w:ascii="Arial" w:cs="Arial" w:eastAsia="Arial" w:hAnsi="Arial"/>
          <w:sz w:val="22"/>
          <w:szCs w:val="22"/>
        </w:rPr>
        <w:t xml:space="preserve">3. What is the median Tmax?</w:t>
      </w:r>
    </w:p>
    <w:p>
      <w:pPr>
        <w:spacing w:after="120"/>
      </w:pPr>
      <w:r>
        <w:rPr>
          <w:rFonts w:ascii="Arial" w:cs="Arial" w:eastAsia="Arial" w:hAnsi="Arial"/>
          <w:sz w:val="22"/>
          <w:szCs w:val="22"/>
        </w:rPr>
        <w:t xml:space="preserve">4. Which subject has the longest half-life?</w:t>
      </w:r>
    </w:p>
    <w:p>
      <w:pPr>
        <w:spacing w:after="120"/>
      </w:pPr>
      <w:r>
        <w:rPr>
          <w:rFonts w:ascii="Arial" w:cs="Arial" w:eastAsia="Arial" w:hAnsi="Arial"/>
          <w:sz w:val="22"/>
          <w:szCs w:val="22"/>
        </w:rPr>
        <w:t xml:space="preserve">5. What is the geometric CV% for AUC to infinity?</w:t>
      </w:r>
    </w:p>
    <w:p>
      <w:pPr>
        <w:pStyle w:val="Heading3"/>
        <w:spacing w:before="200" w:after="120"/>
      </w:pPr>
      <w:r>
        <w:rPr>
          <w:rFonts w:ascii="Arial" w:cs="Arial" w:eastAsia="Arial" w:hAnsi="Arial"/>
          <w:b/>
          <w:bCs/>
          <w:sz w:val="22"/>
          <w:szCs w:val="22"/>
        </w:rPr>
        <w:t xml:space="preserve">Answers</w:t>
      </w:r>
    </w:p>
    <w:p>
      <w:pPr>
        <w:spacing w:after="80"/>
      </w:pPr>
      <w:r>
        <w:rPr>
          <w:rFonts w:ascii="Arial" w:cs="Arial" w:eastAsia="Arial" w:hAnsi="Arial"/>
          <w:color w:val="555555"/>
          <w:sz w:val="20"/>
          <w:szCs w:val="20"/>
        </w:rPr>
        <w:t xml:space="preserve">1. Approximately 8.76 mg/L. 2. Approximately 101.5 h·mg/L. 3. 1.25 h (median of observed Tmax values). 4. Subject 6 (approximately 14.3 h). 5. Approximately 22%.</w:t>
      </w:r>
    </w:p>
    <w:p>
      <w:pPr>
        <w:spacing w:after="80"/>
      </w:pPr>
      <w:r>
        <w:rPr>
          <w:rFonts w:ascii="Arial" w:cs="Arial" w:eastAsia="Arial" w:hAnsi="Arial"/>
          <w:color w:val="555555"/>
          <w:sz w:val="20"/>
          <w:szCs w:val="20"/>
        </w:rPr>
        <w:t xml:space="preserve">Exact values may vary slightly depending on the trapezoidal method and R² threshold. Use the app’s output to verify.</w:t>
      </w:r>
    </w:p>
    <w:p>
      <w:pPr>
        <w:pStyle w:val="Heading2"/>
        <w:spacing w:before="280" w:after="160"/>
      </w:pPr>
      <w:r>
        <w:rPr>
          <w:rFonts w:ascii="Arial" w:cs="Arial" w:eastAsia="Arial" w:hAnsi="Arial"/>
          <w:b/>
          <w:bCs/>
          <w:sz w:val="26"/>
          <w:szCs w:val="26"/>
        </w:rPr>
        <w:t xml:space="preserve">Exercise 2: Bioequivalence Study</w:t>
      </w:r>
    </w:p>
    <w:p>
      <w:pPr>
        <w:spacing w:after="120"/>
      </w:pPr>
      <w:r>
        <w:rPr>
          <w:rFonts w:ascii="Arial" w:cs="Arial" w:eastAsia="Arial" w:hAnsi="Arial"/>
          <w:sz w:val="22"/>
          <w:szCs w:val="22"/>
        </w:rPr>
        <w:t xml:space="preserve">The app includes a built-in example dataset (example_be_crossover.csv) with 6 subjects in a 2×2×2 crossover design.</w:t>
      </w:r>
    </w:p>
    <w:p>
      <w:pPr>
        <w:spacing w:after="120"/>
      </w:pPr>
      <w:r>
        <w:rPr>
          <w:rFonts w:ascii="Arial" w:cs="Arial" w:eastAsia="Arial" w:hAnsi="Arial"/>
          <w:b/>
          <w:bCs/>
          <w:sz w:val="22"/>
          <w:szCs w:val="22"/>
        </w:rPr>
        <w:t xml:space="preserve">Steps:</w:t>
      </w:r>
    </w:p>
    <w:p>
      <w:pPr>
        <w:spacing w:after="120"/>
      </w:pPr>
      <w:r>
        <w:rPr>
          <w:rFonts w:ascii="Arial" w:cs="Arial" w:eastAsia="Arial" w:hAnsi="Arial"/>
          <w:sz w:val="22"/>
          <w:szCs w:val="22"/>
        </w:rPr>
        <w:t xml:space="preserve">1. Upload example_be_crossover.csv.</w:t>
      </w:r>
    </w:p>
    <w:p>
      <w:pPr>
        <w:spacing w:after="120"/>
      </w:pPr>
      <w:r>
        <w:rPr>
          <w:rFonts w:ascii="Arial" w:cs="Arial" w:eastAsia="Arial" w:hAnsi="Arial"/>
          <w:sz w:val="22"/>
          <w:szCs w:val="22"/>
        </w:rPr>
        <w:t xml:space="preserve">2. Map columns: Subject, Treatment, Period, Sequence, Time, Conc. Click Process Data.</w:t>
      </w:r>
    </w:p>
    <w:p>
      <w:pPr>
        <w:spacing w:after="120"/>
      </w:pPr>
      <w:r>
        <w:rPr>
          <w:rFonts w:ascii="Arial" w:cs="Arial" w:eastAsia="Arial" w:hAnsi="Arial"/>
          <w:sz w:val="22"/>
          <w:szCs w:val="22"/>
        </w:rPr>
        <w:t xml:space="preserve">3. Go to Bioequivalence Testing. Set dose = 100, design = Standard 2-period crossover.</w:t>
      </w:r>
    </w:p>
    <w:p>
      <w:pPr>
        <w:spacing w:after="120"/>
      </w:pPr>
      <w:r>
        <w:rPr>
          <w:rFonts w:ascii="Arial" w:cs="Arial" w:eastAsia="Arial" w:hAnsi="Arial"/>
          <w:sz w:val="22"/>
          <w:szCs w:val="22"/>
        </w:rPr>
        <w:t xml:space="preserve">4. Click Run Complete BE Analysis.</w:t>
      </w:r>
    </w:p>
    <w:p>
      <w:pPr>
        <w:pStyle w:val="Heading3"/>
        <w:spacing w:before="200" w:after="120"/>
      </w:pPr>
      <w:r>
        <w:rPr>
          <w:rFonts w:ascii="Arial" w:cs="Arial" w:eastAsia="Arial" w:hAnsi="Arial"/>
          <w:b/>
          <w:bCs/>
          <w:sz w:val="22"/>
          <w:szCs w:val="22"/>
        </w:rPr>
        <w:t xml:space="preserve">Questions</w:t>
      </w:r>
    </w:p>
    <w:p>
      <w:pPr>
        <w:spacing w:after="120"/>
      </w:pPr>
      <w:r>
        <w:rPr>
          <w:rFonts w:ascii="Arial" w:cs="Arial" w:eastAsia="Arial" w:hAnsi="Arial"/>
          <w:sz w:val="22"/>
          <w:szCs w:val="22"/>
        </w:rPr>
        <w:t xml:space="preserve">1. Is the formulation bioequivalent based on Cmax?</w:t>
      </w:r>
    </w:p>
    <w:p>
      <w:pPr>
        <w:spacing w:after="120"/>
      </w:pPr>
      <w:r>
        <w:rPr>
          <w:rFonts w:ascii="Arial" w:cs="Arial" w:eastAsia="Arial" w:hAnsi="Arial"/>
          <w:sz w:val="22"/>
          <w:szCs w:val="22"/>
        </w:rPr>
        <w:t xml:space="preserve">2. What is the geometric mean ratio for AUC to last point?</w:t>
      </w:r>
    </w:p>
    <w:p>
      <w:pPr>
        <w:spacing w:after="120"/>
      </w:pPr>
      <w:r>
        <w:rPr>
          <w:rFonts w:ascii="Arial" w:cs="Arial" w:eastAsia="Arial" w:hAnsi="Arial"/>
          <w:sz w:val="22"/>
          <w:szCs w:val="22"/>
        </w:rPr>
        <w:t xml:space="preserve">3. Does the 90% CI for AUC to infinity fall within 80–125%?</w:t>
      </w:r>
    </w:p>
    <w:p>
      <w:pPr>
        <w:pStyle w:val="Heading3"/>
        <w:spacing w:before="200" w:after="120"/>
      </w:pPr>
      <w:r>
        <w:rPr>
          <w:rFonts w:ascii="Arial" w:cs="Arial" w:eastAsia="Arial" w:hAnsi="Arial"/>
          <w:b/>
          <w:bCs/>
          <w:sz w:val="22"/>
          <w:szCs w:val="22"/>
        </w:rPr>
        <w:t xml:space="preserve">Answers</w:t>
      </w:r>
    </w:p>
    <w:p>
      <w:pPr>
        <w:spacing w:after="80"/>
      </w:pPr>
      <w:r>
        <w:rPr>
          <w:rFonts w:ascii="Arial" w:cs="Arial" w:eastAsia="Arial" w:hAnsi="Arial"/>
          <w:color w:val="555555"/>
          <w:sz w:val="20"/>
          <w:szCs w:val="20"/>
        </w:rPr>
        <w:t xml:space="preserve">The answers depend on the example dataset’s specific values. Run the analysis and check the Test vs. Reference Comparison tab for the confidence intervals and conclusions.</w:t>
      </w:r>
    </w:p>
    <w:p>
      <w:pPr>
        <w:pStyle w:val="Heading2"/>
        <w:spacing w:before="280" w:after="160"/>
      </w:pPr>
      <w:r>
        <w:rPr>
          <w:rFonts w:ascii="Arial" w:cs="Arial" w:eastAsia="Arial" w:hAnsi="Arial"/>
          <w:b/>
          <w:bCs/>
          <w:sz w:val="26"/>
          <w:szCs w:val="26"/>
        </w:rPr>
        <w:t xml:space="preserve">Exercise 3: Power Calculation</w:t>
      </w:r>
    </w:p>
    <w:p>
      <w:pPr>
        <w:spacing w:after="120"/>
      </w:pPr>
      <w:r>
        <w:rPr>
          <w:rFonts w:ascii="Arial" w:cs="Arial" w:eastAsia="Arial" w:hAnsi="Arial"/>
          <w:sz w:val="22"/>
          <w:szCs w:val="22"/>
        </w:rPr>
        <w:t xml:space="preserve">You are planning a bioequivalence study. From the literature, the within-subject CV for your drug is 25% and you expect the true GMR to be 0.95.</w:t>
      </w:r>
    </w:p>
    <w:p>
      <w:pPr>
        <w:spacing w:after="120"/>
      </w:pPr>
      <w:r>
        <w:rPr>
          <w:rFonts w:ascii="Arial" w:cs="Arial" w:eastAsia="Arial" w:hAnsi="Arial"/>
          <w:b/>
          <w:bCs/>
          <w:sz w:val="22"/>
          <w:szCs w:val="22"/>
        </w:rPr>
        <w:t xml:space="preserve">Steps:</w:t>
      </w:r>
    </w:p>
    <w:p>
      <w:pPr>
        <w:spacing w:after="120"/>
      </w:pPr>
      <w:r>
        <w:rPr>
          <w:rFonts w:ascii="Arial" w:cs="Arial" w:eastAsia="Arial" w:hAnsi="Arial"/>
          <w:sz w:val="22"/>
          <w:szCs w:val="22"/>
        </w:rPr>
        <w:t xml:space="preserve">1. Go to Plan a Study (no data upload needed).</w:t>
      </w:r>
    </w:p>
    <w:p>
      <w:pPr>
        <w:spacing w:after="120"/>
      </w:pPr>
      <w:r>
        <w:rPr>
          <w:rFonts w:ascii="Arial" w:cs="Arial" w:eastAsia="Arial" w:hAnsi="Arial"/>
          <w:sz w:val="22"/>
          <w:szCs w:val="22"/>
        </w:rPr>
        <w:t xml:space="preserve">2. Set: ABE, Sample size mode, 2×2×2 design, CV = 25%, GMR = 0.95, target power = 0.80.</w:t>
      </w:r>
    </w:p>
    <w:p>
      <w:pPr>
        <w:spacing w:after="120"/>
      </w:pPr>
      <w:r>
        <w:rPr>
          <w:rFonts w:ascii="Arial" w:cs="Arial" w:eastAsia="Arial" w:hAnsi="Arial"/>
          <w:sz w:val="22"/>
          <w:szCs w:val="22"/>
        </w:rPr>
        <w:t xml:space="preserve">3. Click Calculate.</w:t>
      </w:r>
    </w:p>
    <w:p>
      <w:pPr>
        <w:pStyle w:val="Heading3"/>
        <w:spacing w:before="200" w:after="120"/>
      </w:pPr>
      <w:r>
        <w:rPr>
          <w:rFonts w:ascii="Arial" w:cs="Arial" w:eastAsia="Arial" w:hAnsi="Arial"/>
          <w:b/>
          <w:bCs/>
          <w:sz w:val="22"/>
          <w:szCs w:val="22"/>
        </w:rPr>
        <w:t xml:space="preserve">Questions</w:t>
      </w:r>
    </w:p>
    <w:p>
      <w:pPr>
        <w:spacing w:after="120"/>
      </w:pPr>
      <w:r>
        <w:rPr>
          <w:rFonts w:ascii="Arial" w:cs="Arial" w:eastAsia="Arial" w:hAnsi="Arial"/>
          <w:sz w:val="22"/>
          <w:szCs w:val="22"/>
        </w:rPr>
        <w:t xml:space="preserve">1. How many subjects do you need?</w:t>
      </w:r>
    </w:p>
    <w:p>
      <w:pPr>
        <w:spacing w:after="120"/>
      </w:pPr>
      <w:r>
        <w:rPr>
          <w:rFonts w:ascii="Arial" w:cs="Arial" w:eastAsia="Arial" w:hAnsi="Arial"/>
          <w:sz w:val="22"/>
          <w:szCs w:val="22"/>
        </w:rPr>
        <w:t xml:space="preserve">2. What power would you achieve with 30 subjects?</w:t>
      </w:r>
    </w:p>
    <w:p>
      <w:pPr>
        <w:spacing w:after="120"/>
      </w:pPr>
      <w:r>
        <w:rPr>
          <w:rFonts w:ascii="Arial" w:cs="Arial" w:eastAsia="Arial" w:hAnsi="Arial"/>
          <w:sz w:val="22"/>
          <w:szCs w:val="22"/>
        </w:rPr>
        <w:t xml:space="preserve">3. How does the required sample size change if CV increases to 35%?</w:t>
      </w:r>
    </w:p>
    <w:p>
      <w:pPr>
        <w:spacing w:after="80"/>
      </w:pPr>
      <w:r>
        <w:rPr>
          <w:rFonts w:ascii="Arial" w:cs="Arial" w:eastAsia="Arial" w:hAnsi="Arial"/>
          <w:color w:val="555555"/>
          <w:sz w:val="20"/>
          <w:szCs w:val="20"/>
        </w:rPr>
        <w:t xml:space="preserve">Switch to Power mode and enter N = 30 to answer question 2. Use the sensitivity plot to answer question 3.</w:t>
      </w:r>
    </w:p>
    <w:p>
      <w:r>
        <w:br w:type="page"/>
      </w:r>
    </w:p>
    <w:p>
      <w:pPr>
        <w:pStyle w:val="Heading1"/>
        <w:spacing w:before="360" w:after="200"/>
      </w:pPr>
      <w:r>
        <w:rPr>
          <w:rFonts w:ascii="Arial" w:cs="Arial" w:eastAsia="Arial" w:hAnsi="Arial"/>
          <w:b/>
          <w:bCs/>
          <w:sz w:val="32"/>
          <w:szCs w:val="32"/>
        </w:rPr>
        <w:t xml:space="preserve">Part V: Statistical Reference</w:t>
      </w:r>
    </w:p>
    <w:p>
      <w:pPr>
        <w:spacing w:after="80"/>
      </w:pPr>
      <w:r>
        <w:rPr>
          <w:rFonts w:ascii="Arial" w:cs="Arial" w:eastAsia="Arial" w:hAnsi="Arial"/>
          <w:color w:val="555555"/>
          <w:sz w:val="20"/>
          <w:szCs w:val="20"/>
        </w:rPr>
        <w:t xml:space="preserve">This section provides the formal statistical descriptions of the methods used in the app. The text is identical to the app’s Statistical Methods page and can be used in the Methods section of a manuscript.</w:t>
      </w:r>
    </w:p>
    <w:p>
      <w:pPr>
        <w:pStyle w:val="Heading2"/>
        <w:spacing w:before="280" w:after="160"/>
      </w:pPr>
      <w:r>
        <w:rPr>
          <w:rFonts w:ascii="Arial" w:cs="Arial" w:eastAsia="Arial" w:hAnsi="Arial"/>
          <w:b/>
          <w:bCs/>
          <w:sz w:val="26"/>
          <w:szCs w:val="26"/>
        </w:rPr>
        <w:t xml:space="preserve">NCA Computation Methods</w:t>
      </w:r>
    </w:p>
    <w:p>
      <w:pPr>
        <w:spacing w:after="120"/>
      </w:pPr>
      <w:r>
        <w:rPr>
          <w:rFonts w:ascii="Arial" w:cs="Arial" w:eastAsia="Arial" w:hAnsi="Arial"/>
          <w:b/>
          <w:bCs/>
          <w:sz w:val="22"/>
          <w:szCs w:val="22"/>
        </w:rPr>
        <w:t xml:space="preserve">AUC (linear trapezoidal): </w:t>
      </w:r>
      <w:r>
        <w:rPr>
          <w:rFonts w:ascii="Arial" w:cs="Arial" w:eastAsia="Arial" w:hAnsi="Arial"/>
          <w:sz w:val="22"/>
          <w:szCs w:val="22"/>
        </w:rPr>
        <w:t xml:space="preserve">AUC</w:t>
      </w:r>
      <w:r>
        <w:rPr>
          <w:rFonts w:ascii="Arial" w:cs="Arial" w:eastAsia="Arial" w:hAnsi="Arial"/>
          <w:i/>
          <w:iCs/>
          <w:sz w:val="22"/>
          <w:szCs w:val="22"/>
        </w:rPr>
        <w:t xml:space="preserve">i</w:t>
      </w:r>
      <w:r>
        <w:rPr>
          <w:rFonts w:ascii="Arial" w:cs="Arial" w:eastAsia="Arial" w:hAnsi="Arial"/>
          <w:sz w:val="22"/>
          <w:szCs w:val="22"/>
        </w:rPr>
        <w:t xml:space="preserve"> = (t</w:t>
      </w:r>
      <w:r>
        <w:rPr>
          <w:rFonts w:ascii="Arial" w:cs="Arial" w:eastAsia="Arial" w:hAnsi="Arial"/>
          <w:i/>
          <w:iCs/>
          <w:sz w:val="22"/>
          <w:szCs w:val="22"/>
        </w:rPr>
        <w:t xml:space="preserve">i+1</w:t>
      </w:r>
      <w:r>
        <w:rPr>
          <w:rFonts w:ascii="Arial" w:cs="Arial" w:eastAsia="Arial" w:hAnsi="Arial"/>
          <w:sz w:val="22"/>
          <w:szCs w:val="22"/>
        </w:rPr>
        <w:t xml:space="preserve"> − t</w:t>
      </w:r>
      <w:r>
        <w:rPr>
          <w:rFonts w:ascii="Arial" w:cs="Arial" w:eastAsia="Arial" w:hAnsi="Arial"/>
          <w:i/>
          <w:iCs/>
          <w:sz w:val="22"/>
          <w:szCs w:val="22"/>
        </w:rPr>
        <w:t xml:space="preserve">i</w:t>
      </w:r>
      <w:r>
        <w:rPr>
          <w:rFonts w:ascii="Arial" w:cs="Arial" w:eastAsia="Arial" w:hAnsi="Arial"/>
          <w:sz w:val="22"/>
          <w:szCs w:val="22"/>
        </w:rPr>
        <w:t xml:space="preserve">) × (C</w:t>
      </w:r>
      <w:r>
        <w:rPr>
          <w:rFonts w:ascii="Arial" w:cs="Arial" w:eastAsia="Arial" w:hAnsi="Arial"/>
          <w:i/>
          <w:iCs/>
          <w:sz w:val="22"/>
          <w:szCs w:val="22"/>
        </w:rPr>
        <w:t xml:space="preserve">i</w:t>
      </w:r>
      <w:r>
        <w:rPr>
          <w:rFonts w:ascii="Arial" w:cs="Arial" w:eastAsia="Arial" w:hAnsi="Arial"/>
          <w:sz w:val="22"/>
          <w:szCs w:val="22"/>
        </w:rPr>
        <w:t xml:space="preserve"> + C</w:t>
      </w:r>
      <w:r>
        <w:rPr>
          <w:rFonts w:ascii="Arial" w:cs="Arial" w:eastAsia="Arial" w:hAnsi="Arial"/>
          <w:i/>
          <w:iCs/>
          <w:sz w:val="22"/>
          <w:szCs w:val="22"/>
        </w:rPr>
        <w:t xml:space="preserve">i+1</w:t>
      </w:r>
      <w:r>
        <w:rPr>
          <w:rFonts w:ascii="Arial" w:cs="Arial" w:eastAsia="Arial" w:hAnsi="Arial"/>
          <w:sz w:val="22"/>
          <w:szCs w:val="22"/>
        </w:rPr>
        <w:t xml:space="preserve">) / 2</w:t>
      </w:r>
    </w:p>
    <w:p>
      <w:pPr>
        <w:spacing w:after="120"/>
      </w:pPr>
      <w:r>
        <w:rPr>
          <w:rFonts w:ascii="Arial" w:cs="Arial" w:eastAsia="Arial" w:hAnsi="Arial"/>
          <w:b/>
          <w:bCs/>
          <w:sz w:val="22"/>
          <w:szCs w:val="22"/>
        </w:rPr>
        <w:t xml:space="preserve">AUC (log-down): </w:t>
      </w:r>
      <w:r>
        <w:rPr>
          <w:rFonts w:ascii="Arial" w:cs="Arial" w:eastAsia="Arial" w:hAnsi="Arial"/>
          <w:sz w:val="22"/>
          <w:szCs w:val="22"/>
        </w:rPr>
        <w:t xml:space="preserve">During the descending phase, AUC</w:t>
      </w:r>
      <w:r>
        <w:rPr>
          <w:rFonts w:ascii="Arial" w:cs="Arial" w:eastAsia="Arial" w:hAnsi="Arial"/>
          <w:i/>
          <w:iCs/>
          <w:sz w:val="22"/>
          <w:szCs w:val="22"/>
        </w:rPr>
        <w:t xml:space="preserve">i</w:t>
      </w:r>
      <w:r>
        <w:rPr>
          <w:rFonts w:ascii="Arial" w:cs="Arial" w:eastAsia="Arial" w:hAnsi="Arial"/>
          <w:sz w:val="22"/>
          <w:szCs w:val="22"/>
        </w:rPr>
        <w:t xml:space="preserve"> = (t</w:t>
      </w:r>
      <w:r>
        <w:rPr>
          <w:rFonts w:ascii="Arial" w:cs="Arial" w:eastAsia="Arial" w:hAnsi="Arial"/>
          <w:i/>
          <w:iCs/>
          <w:sz w:val="22"/>
          <w:szCs w:val="22"/>
        </w:rPr>
        <w:t xml:space="preserve">i+1</w:t>
      </w:r>
      <w:r>
        <w:rPr>
          <w:rFonts w:ascii="Arial" w:cs="Arial" w:eastAsia="Arial" w:hAnsi="Arial"/>
          <w:sz w:val="22"/>
          <w:szCs w:val="22"/>
        </w:rPr>
        <w:t xml:space="preserve"> − t</w:t>
      </w:r>
      <w:r>
        <w:rPr>
          <w:rFonts w:ascii="Arial" w:cs="Arial" w:eastAsia="Arial" w:hAnsi="Arial"/>
          <w:i/>
          <w:iCs/>
          <w:sz w:val="22"/>
          <w:szCs w:val="22"/>
        </w:rPr>
        <w:t xml:space="preserve">i</w:t>
      </w:r>
      <w:r>
        <w:rPr>
          <w:rFonts w:ascii="Arial" w:cs="Arial" w:eastAsia="Arial" w:hAnsi="Arial"/>
          <w:sz w:val="22"/>
          <w:szCs w:val="22"/>
        </w:rPr>
        <w:t xml:space="preserve">) × (C</w:t>
      </w:r>
      <w:r>
        <w:rPr>
          <w:rFonts w:ascii="Arial" w:cs="Arial" w:eastAsia="Arial" w:hAnsi="Arial"/>
          <w:i/>
          <w:iCs/>
          <w:sz w:val="22"/>
          <w:szCs w:val="22"/>
        </w:rPr>
        <w:t xml:space="preserve">i</w:t>
      </w:r>
      <w:r>
        <w:rPr>
          <w:rFonts w:ascii="Arial" w:cs="Arial" w:eastAsia="Arial" w:hAnsi="Arial"/>
          <w:sz w:val="22"/>
          <w:szCs w:val="22"/>
        </w:rPr>
        <w:t xml:space="preserve"> − C</w:t>
      </w:r>
      <w:r>
        <w:rPr>
          <w:rFonts w:ascii="Arial" w:cs="Arial" w:eastAsia="Arial" w:hAnsi="Arial"/>
          <w:i/>
          <w:iCs/>
          <w:sz w:val="22"/>
          <w:szCs w:val="22"/>
        </w:rPr>
        <w:t xml:space="preserve">i+1</w:t>
      </w:r>
      <w:r>
        <w:rPr>
          <w:rFonts w:ascii="Arial" w:cs="Arial" w:eastAsia="Arial" w:hAnsi="Arial"/>
          <w:sz w:val="22"/>
          <w:szCs w:val="22"/>
        </w:rPr>
        <w:t xml:space="preserve">) / (ln C</w:t>
      </w:r>
      <w:r>
        <w:rPr>
          <w:rFonts w:ascii="Arial" w:cs="Arial" w:eastAsia="Arial" w:hAnsi="Arial"/>
          <w:i/>
          <w:iCs/>
          <w:sz w:val="22"/>
          <w:szCs w:val="22"/>
        </w:rPr>
        <w:t xml:space="preserve">i</w:t>
      </w:r>
      <w:r>
        <w:rPr>
          <w:rFonts w:ascii="Arial" w:cs="Arial" w:eastAsia="Arial" w:hAnsi="Arial"/>
          <w:sz w:val="22"/>
          <w:szCs w:val="22"/>
        </w:rPr>
        <w:t xml:space="preserve"> − ln C</w:t>
      </w:r>
      <w:r>
        <w:rPr>
          <w:rFonts w:ascii="Arial" w:cs="Arial" w:eastAsia="Arial" w:hAnsi="Arial"/>
          <w:i/>
          <w:iCs/>
          <w:sz w:val="22"/>
          <w:szCs w:val="22"/>
        </w:rPr>
        <w:t xml:space="preserve">i+1</w:t>
      </w:r>
      <w:r>
        <w:rPr>
          <w:rFonts w:ascii="Arial" w:cs="Arial" w:eastAsia="Arial" w:hAnsi="Arial"/>
          <w:sz w:val="22"/>
          <w:szCs w:val="22"/>
        </w:rPr>
        <w:t xml:space="preserve">)</w:t>
      </w:r>
    </w:p>
    <w:p>
      <w:pPr>
        <w:spacing w:after="120"/>
      </w:pPr>
      <w:r>
        <w:rPr>
          <w:rFonts w:ascii="Arial" w:cs="Arial" w:eastAsia="Arial" w:hAnsi="Arial"/>
          <w:b/>
          <w:bCs/>
          <w:sz w:val="22"/>
          <w:szCs w:val="22"/>
        </w:rPr>
        <w:t xml:space="preserve">Terminal rate constant: </w:t>
      </w:r>
      <w:r>
        <w:rPr>
          <w:rFonts w:ascii="Arial" w:cs="Arial" w:eastAsia="Arial" w:hAnsi="Arial"/>
          <w:sz w:val="22"/>
          <w:szCs w:val="22"/>
        </w:rPr>
        <w:t xml:space="preserve">λz = −slope of the ln(C) vs. time regression in the terminal phase. The regression uses the last n points after Cmax (n ≥ 3), selecting the combination with the highest adjusted R².</w:t>
      </w:r>
    </w:p>
    <w:p>
      <w:pPr>
        <w:spacing w:after="120"/>
      </w:pPr>
      <w:r>
        <w:rPr>
          <w:rFonts w:ascii="Arial" w:cs="Arial" w:eastAsia="Arial" w:hAnsi="Arial"/>
          <w:b/>
          <w:bCs/>
          <w:sz w:val="22"/>
          <w:szCs w:val="22"/>
        </w:rPr>
        <w:t xml:space="preserve">Half-life: </w:t>
      </w:r>
      <w:r>
        <w:rPr>
          <w:rFonts w:ascii="Arial" w:cs="Arial" w:eastAsia="Arial" w:hAnsi="Arial"/>
          <w:sz w:val="22"/>
          <w:szCs w:val="22"/>
        </w:rPr>
        <w:t xml:space="preserve">t½ = ln(2) / λz</w:t>
      </w:r>
    </w:p>
    <w:p>
      <w:pPr>
        <w:spacing w:after="120"/>
      </w:pPr>
      <w:r>
        <w:rPr>
          <w:rFonts w:ascii="Arial" w:cs="Arial" w:eastAsia="Arial" w:hAnsi="Arial"/>
          <w:b/>
          <w:bCs/>
          <w:sz w:val="22"/>
          <w:szCs w:val="22"/>
        </w:rPr>
        <w:t xml:space="preserve">AUC to infinity: </w:t>
      </w:r>
      <w:r>
        <w:rPr>
          <w:rFonts w:ascii="Arial" w:cs="Arial" w:eastAsia="Arial" w:hAnsi="Arial"/>
          <w:sz w:val="22"/>
          <w:szCs w:val="22"/>
        </w:rPr>
        <w:t xml:space="preserve">AUC₀₋∞ = AUC₀₋ₜ + C_last / λz</w:t>
      </w:r>
    </w:p>
    <w:p>
      <w:pPr>
        <w:spacing w:after="120"/>
      </w:pPr>
      <w:r>
        <w:rPr>
          <w:rFonts w:ascii="Arial" w:cs="Arial" w:eastAsia="Arial" w:hAnsi="Arial"/>
          <w:b/>
          <w:bCs/>
          <w:sz w:val="22"/>
          <w:szCs w:val="22"/>
        </w:rPr>
        <w:t xml:space="preserve">Clearance: </w:t>
      </w:r>
      <w:r>
        <w:rPr>
          <w:rFonts w:ascii="Arial" w:cs="Arial" w:eastAsia="Arial" w:hAnsi="Arial"/>
          <w:sz w:val="22"/>
          <w:szCs w:val="22"/>
        </w:rPr>
        <w:t xml:space="preserve">CL/F = Dose / AUC₀₋∞ (extravascular). At steady state: CL/F = Dose / AUCτ</w:t>
      </w:r>
    </w:p>
    <w:p>
      <w:pPr>
        <w:spacing w:after="120"/>
      </w:pPr>
      <w:r>
        <w:rPr>
          <w:rFonts w:ascii="Arial" w:cs="Arial" w:eastAsia="Arial" w:hAnsi="Arial"/>
          <w:b/>
          <w:bCs/>
          <w:sz w:val="22"/>
          <w:szCs w:val="22"/>
        </w:rPr>
        <w:t xml:space="preserve">Volume: </w:t>
      </w:r>
      <w:r>
        <w:rPr>
          <w:rFonts w:ascii="Arial" w:cs="Arial" w:eastAsia="Arial" w:hAnsi="Arial"/>
          <w:sz w:val="22"/>
          <w:szCs w:val="22"/>
        </w:rPr>
        <w:t xml:space="preserve">Vz/F = Dose / (λz × AUC₀₋∞)</w:t>
      </w:r>
    </w:p>
    <w:p>
      <w:pPr>
        <w:spacing w:after="120"/>
      </w:pPr>
      <w:r>
        <w:rPr>
          <w:rFonts w:ascii="Arial" w:cs="Arial" w:eastAsia="Arial" w:hAnsi="Arial"/>
          <w:b/>
          <w:bCs/>
          <w:sz w:val="22"/>
          <w:szCs w:val="22"/>
        </w:rPr>
        <w:t xml:space="preserve">MRT: </w:t>
      </w:r>
      <w:r>
        <w:rPr>
          <w:rFonts w:ascii="Arial" w:cs="Arial" w:eastAsia="Arial" w:hAnsi="Arial"/>
          <w:sz w:val="22"/>
          <w:szCs w:val="22"/>
        </w:rPr>
        <w:t xml:space="preserve">MRT = AUMC₀₋∞ / AUC₀₋∞. For extravascular data, MRT includes the mean absorption time.</w:t>
      </w:r>
    </w:p>
    <w:p>
      <w:pPr>
        <w:spacing w:after="120"/>
      </w:pPr>
      <w:r>
        <w:rPr>
          <w:rFonts w:ascii="Arial" w:cs="Arial" w:eastAsia="Arial" w:hAnsi="Arial"/>
          <w:b/>
          <w:bCs/>
          <w:sz w:val="22"/>
          <w:szCs w:val="22"/>
        </w:rPr>
        <w:t xml:space="preserve">Descriptive statistics: </w:t>
      </w:r>
      <w:r>
        <w:rPr>
          <w:rFonts w:ascii="Arial" w:cs="Arial" w:eastAsia="Arial" w:hAnsi="Arial"/>
          <w:sz w:val="22"/>
          <w:szCs w:val="22"/>
        </w:rPr>
        <w:t xml:space="preserve">Geometric mean = exp(mean(ln(x))). Geometric CV% = sqrt(exp(var(ln(x))) − 1) × 100. Tmax reported as median (range).</w:t>
      </w:r>
    </w:p>
    <w:p>
      <w:pPr>
        <w:pStyle w:val="Heading2"/>
        <w:spacing w:before="280" w:after="160"/>
      </w:pPr>
      <w:r>
        <w:rPr>
          <w:rFonts w:ascii="Arial" w:cs="Arial" w:eastAsia="Arial" w:hAnsi="Arial"/>
          <w:b/>
          <w:bCs/>
          <w:sz w:val="26"/>
          <w:szCs w:val="26"/>
        </w:rPr>
        <w:t xml:space="preserve">Bioequivalence Analysis</w:t>
      </w:r>
    </w:p>
    <w:p>
      <w:pPr>
        <w:spacing w:after="120"/>
      </w:pPr>
      <w:r>
        <w:rPr>
          <w:rFonts w:ascii="Arial" w:cs="Arial" w:eastAsia="Arial" w:hAnsi="Arial"/>
          <w:b/>
          <w:bCs/>
          <w:sz w:val="22"/>
          <w:szCs w:val="22"/>
        </w:rPr>
        <w:t xml:space="preserve">ANOVA model (crossover): </w:t>
      </w:r>
      <w:r>
        <w:rPr>
          <w:rFonts w:ascii="Arial" w:cs="Arial" w:eastAsia="Arial" w:hAnsi="Arial"/>
          <w:sz w:val="22"/>
          <w:szCs w:val="22"/>
        </w:rPr>
        <w:t xml:space="preserve">ln(PK) = μ + Sequence + Subject(Sequence) + Period + Treatment + ε</w:t>
      </w:r>
    </w:p>
    <w:p>
      <w:pPr>
        <w:spacing w:after="120"/>
      </w:pPr>
      <w:r>
        <w:rPr>
          <w:rFonts w:ascii="Arial" w:cs="Arial" w:eastAsia="Arial" w:hAnsi="Arial"/>
          <w:sz w:val="22"/>
          <w:szCs w:val="22"/>
        </w:rPr>
        <w:t xml:space="preserve">Fixed-effects model: R function lm(). Residual degrees of freedom used for inference. Mixed-effects model: nlme::lme() with Subject(Sequence) as random effect. Containment method for denominator df.</w:t>
      </w:r>
    </w:p>
    <w:p>
      <w:pPr>
        <w:spacing w:after="120"/>
      </w:pPr>
      <w:r>
        <w:rPr>
          <w:rFonts w:ascii="Arial" w:cs="Arial" w:eastAsia="Arial" w:hAnsi="Arial"/>
          <w:b/>
          <w:bCs/>
          <w:sz w:val="22"/>
          <w:szCs w:val="22"/>
        </w:rPr>
        <w:t xml:space="preserve">Fixed-order crossover: </w:t>
      </w:r>
      <w:r>
        <w:rPr>
          <w:rFonts w:ascii="Arial" w:cs="Arial" w:eastAsia="Arial" w:hAnsi="Arial"/>
          <w:sz w:val="22"/>
          <w:szCs w:val="22"/>
        </w:rPr>
        <w:t xml:space="preserve">ln(PK) = μ + Subject + Treatment + ε. Equivalent to a paired t-test. Period and treatment are confounded.</w:t>
      </w:r>
    </w:p>
    <w:p>
      <w:pPr>
        <w:spacing w:after="120"/>
      </w:pPr>
      <w:r>
        <w:rPr>
          <w:rFonts w:ascii="Arial" w:cs="Arial" w:eastAsia="Arial" w:hAnsi="Arial"/>
          <w:b/>
          <w:bCs/>
          <w:sz w:val="22"/>
          <w:szCs w:val="22"/>
        </w:rPr>
        <w:t xml:space="preserve">Parallel design: </w:t>
      </w:r>
      <w:r>
        <w:rPr>
          <w:rFonts w:ascii="Arial" w:cs="Arial" w:eastAsia="Arial" w:hAnsi="Arial"/>
          <w:sz w:val="22"/>
          <w:szCs w:val="22"/>
        </w:rPr>
        <w:t xml:space="preserve">ln(PK) = μ + Treatment + ε. Residual df = N_T + N_R − 2.</w:t>
      </w:r>
    </w:p>
    <w:p>
      <w:pPr>
        <w:spacing w:after="120"/>
      </w:pPr>
      <w:r>
        <w:rPr>
          <w:rFonts w:ascii="Arial" w:cs="Arial" w:eastAsia="Arial" w:hAnsi="Arial"/>
          <w:b/>
          <w:bCs/>
          <w:sz w:val="22"/>
          <w:szCs w:val="22"/>
        </w:rPr>
        <w:t xml:space="preserve">90% CI: </w:t>
      </w:r>
      <w:r>
        <w:rPr>
          <w:rFonts w:ascii="Arial" w:cs="Arial" w:eastAsia="Arial" w:hAnsi="Arial"/>
          <w:sz w:val="22"/>
          <w:szCs w:val="22"/>
        </w:rPr>
        <w:t xml:space="preserve">δ ± t(0.95, df) × SE(δ), back-transformed to percentage by exponentiation. Equivalent to two one-sided tests at 5% (Schuirmann, 1987).</w:t>
      </w:r>
    </w:p>
    <w:p>
      <w:pPr>
        <w:spacing w:after="120"/>
      </w:pPr>
      <w:r>
        <w:rPr>
          <w:rFonts w:ascii="Arial" w:cs="Arial" w:eastAsia="Arial" w:hAnsi="Arial"/>
          <w:b/>
          <w:bCs/>
          <w:sz w:val="22"/>
          <w:szCs w:val="22"/>
        </w:rPr>
        <w:t xml:space="preserve">Conclusion: </w:t>
      </w:r>
      <w:r>
        <w:rPr>
          <w:rFonts w:ascii="Arial" w:cs="Arial" w:eastAsia="Arial" w:hAnsi="Arial"/>
          <w:sz w:val="22"/>
          <w:szCs w:val="22"/>
        </w:rPr>
        <w:t xml:space="preserve">Bioequivalent if 90% CI falls entirely within 80.00–125.00%.</w:t>
      </w:r>
    </w:p>
    <w:p>
      <w:pPr>
        <w:pStyle w:val="Heading2"/>
        <w:spacing w:before="280" w:after="160"/>
      </w:pPr>
      <w:r>
        <w:rPr>
          <w:rFonts w:ascii="Arial" w:cs="Arial" w:eastAsia="Arial" w:hAnsi="Arial"/>
          <w:b/>
          <w:bCs/>
          <w:sz w:val="26"/>
          <w:szCs w:val="26"/>
        </w:rPr>
        <w:t xml:space="preserve">Power and Sample Size</w:t>
      </w:r>
    </w:p>
    <w:p>
      <w:pPr>
        <w:spacing w:after="120"/>
      </w:pPr>
      <w:r>
        <w:rPr>
          <w:rFonts w:ascii="Arial" w:cs="Arial" w:eastAsia="Arial" w:hAnsi="Arial"/>
          <w:sz w:val="22"/>
          <w:szCs w:val="22"/>
        </w:rPr>
        <w:t xml:space="preserve">Computed using the PowerTOST R package. Exact power via Owen’s Q function for ABE. Simulation-based (100,000 studies) for ABEL, RSABE, and NTID.</w:t>
      </w:r>
    </w:p>
    <w:p>
      <w:pPr>
        <w:spacing w:after="120"/>
      </w:pPr>
      <w:r>
        <w:rPr>
          <w:rFonts w:ascii="Arial" w:cs="Arial" w:eastAsia="Arial" w:hAnsi="Arial"/>
          <w:b/>
          <w:bCs/>
          <w:sz w:val="22"/>
          <w:szCs w:val="22"/>
        </w:rPr>
        <w:t xml:space="preserve">ABEL (EMA): </w:t>
      </w:r>
      <w:r>
        <w:rPr>
          <w:rFonts w:ascii="Arial" w:cs="Arial" w:eastAsia="Arial" w:hAnsi="Arial"/>
          <w:sz w:val="22"/>
          <w:szCs w:val="22"/>
        </w:rPr>
        <w:t xml:space="preserve">Limits scaled as [exp(−k·s_wR), exp(+k·s_wR)] where k = 0.760, capped at 69.84–143.19%.</w:t>
      </w:r>
    </w:p>
    <w:p>
      <w:pPr>
        <w:spacing w:after="120"/>
      </w:pPr>
      <w:r>
        <w:rPr>
          <w:rFonts w:ascii="Arial" w:cs="Arial" w:eastAsia="Arial" w:hAnsi="Arial"/>
          <w:b/>
          <w:bCs/>
          <w:sz w:val="22"/>
          <w:szCs w:val="22"/>
        </w:rPr>
        <w:t xml:space="preserve">RSABE (FDA): </w:t>
      </w:r>
      <w:r>
        <w:rPr>
          <w:rFonts w:ascii="Arial" w:cs="Arial" w:eastAsia="Arial" w:hAnsi="Arial"/>
          <w:sz w:val="22"/>
          <w:szCs w:val="22"/>
        </w:rPr>
        <w:t xml:space="preserve">Criterion: (μT − μR)² − θ·σ²wR ≤ 0, where θ = (ln 1.25 / 0.25)².</w:t>
      </w:r>
    </w:p>
    <w:p>
      <w:r>
        <w:br w:type="page"/>
      </w:r>
    </w:p>
    <w:p>
      <w:pPr>
        <w:pStyle w:val="Heading1"/>
        <w:spacing w:before="360" w:after="200"/>
      </w:pPr>
      <w:r>
        <w:rPr>
          <w:rFonts w:ascii="Arial" w:cs="Arial" w:eastAsia="Arial" w:hAnsi="Arial"/>
          <w:b/>
          <w:bCs/>
          <w:sz w:val="32"/>
          <w:szCs w:val="32"/>
        </w:rPr>
        <w:t xml:space="preserve">Appendices</w:t>
      </w:r>
    </w:p>
    <w:p>
      <w:pPr>
        <w:pStyle w:val="Heading2"/>
        <w:spacing w:before="280" w:after="160"/>
      </w:pPr>
      <w:r>
        <w:rPr>
          <w:rFonts w:ascii="Arial" w:cs="Arial" w:eastAsia="Arial" w:hAnsi="Arial"/>
          <w:b/>
          <w:bCs/>
          <w:sz w:val="26"/>
          <w:szCs w:val="26"/>
        </w:rP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Abbreviation</w:t>
            </w:r>
          </w:p>
        </w:tc>
        <w:tc>
          <w:tcPr>
            <w:tcW w:type="dxa" w:w="6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Full Name and Definition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Bioequivalence. Standard BE approach with fixed 80–125% limits.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ABEL</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Bioequivalence with Expanding Limits (EMA approach for HVDs).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ANOVA</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Analysis of Variance. Statistical model used in BE to estimate treatment effects.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Area Under the Curve. Total drug exposure over time.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AUCτ</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AUC within the dosing interval. Primary AUC at steady state.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Bioequivalence. Statistical comparison of two formulations.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BLQ</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Below the Limit of Quantification. Concentration too low to measure reliably.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CL/F</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clearance. Rate of drug elimination normalized to bioavailability.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Cmax</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Maximum observed concentration.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CV%</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Coefficient of Variation. Standard deviation divided by the mean, times 100.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GMR</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Geometric Mean Ratio. The ratio of geometric means (Test/Reference).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HVD</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Highly Variable Drug. A drug with within-subject CV &gt; 30%.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LLOQ</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Lower Limit of Quantification. The lowest concentration the assay can reliably measure.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MRT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Mean Residence Time. Average time a drug molecule stays in the body.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NCA</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Non-Compartmental 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NTID</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Narrow Therapeutic Index Drug. A drug with a small margin between efficacy and toxicity.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RSABE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Reference-Scaled Average Bioequivalence (FDA approach for HVDs).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TOST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Two One-Sided Tests. The statistical framework underlying BE testing.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Tmax</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of maximum observed concentration.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t½</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elimination half-life.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Vz/F</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Apparent volume of distribution during the terminal phase.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λz</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Terminal elimination rate constant.</w:t>
            </w:r>
          </w:p>
        </w:tc>
      </w:tr>
    </w:tbl>
    <w:p>
      <w:pPr>
        <w:pStyle w:val="Heading2"/>
        <w:spacing w:before="280" w:after="160"/>
      </w:pPr>
      <w:r>
        <w:rPr>
          <w:rFonts w:ascii="Arial" w:cs="Arial" w:eastAsia="Arial" w:hAnsi="Arial"/>
          <w:b/>
          <w:bCs/>
          <w:sz w:val="26"/>
          <w:szCs w:val="26"/>
        </w:rPr>
        <w:t xml:space="preserve">Appendix B: Recognised Column Names</w:t>
      </w:r>
    </w:p>
    <w:p>
      <w:pPr>
        <w:spacing w:after="80"/>
      </w:pPr>
      <w:r>
        <w:rPr>
          <w:rFonts w:ascii="Arial" w:cs="Arial" w:eastAsia="Arial" w:hAnsi="Arial"/>
          <w:color w:val="555555"/>
          <w:sz w:val="20"/>
          <w:szCs w:val="20"/>
        </w:rPr>
        <w:t xml:space="preserve">The app auto-detects these names (case-insensitive) during data upload.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Meaning</w:t>
            </w:r>
          </w:p>
        </w:tc>
        <w:tc>
          <w:tcPr>
            <w:tcW w:type="dxa" w:w="6826"/>
            <w:tcBorders>
              <w:top w:val="single" w:color="CCCCCC" w:sz="1"/>
              <w:left w:val="single" w:color="CCCCCC" w:sz="1"/>
              <w:bottom w:val="single" w:color="CCCCCC" w:sz="1"/>
              <w:right w:val="single" w:color="CCCCCC" w:sz="1"/>
            </w:tcBorders>
            <w:shd w:fill="2C3E50" w:val="clear"/>
            <w:tcMar>
              <w:top w:type="dxa" w:w="60"/>
              <w:left w:type="dxa" w:w="100"/>
              <w:bottom w:type="dxa" w:w="60"/>
              <w:right w:type="dxa" w:w="100"/>
            </w:tcMar>
          </w:tcPr>
          <w:p>
            <w:r>
              <w:rPr>
                <w:rFonts w:ascii="Arial" w:cs="Arial" w:eastAsia="Arial" w:hAnsi="Arial"/>
                <w:b/>
                <w:bCs/>
                <w:color w:val="FFFFFF"/>
                <w:sz w:val="20"/>
                <w:szCs w:val="20"/>
              </w:rPr>
              <w:t xml:space="preserve">Recognised names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 SubjectID, USUBJID, ID, Pat, PatID, Proband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Hours, Hour, Tpt, NTIM, APTS, Zeit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Concentration</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Conc, Concentration, DV, Cp, Result, Konz, Plasma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Treatment</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Treatment, Trt, Formulation, Drug, Arm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Period, Per, Prd, Phase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Sequence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Sequence, Seq, Grp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Dose</w:t>
            </w:r>
          </w:p>
        </w:tc>
        <w:tc>
          <w:tcPr>
            <w:tcW w:type="dxa" w:w="6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Dose, Amt, Amount</w:t>
            </w:r>
          </w:p>
        </w:tc>
      </w:tr>
    </w:tbl>
    <w:p>
      <w:pPr>
        <w:pStyle w:val="Heading2"/>
        <w:spacing w:before="280" w:after="160"/>
      </w:pPr>
      <w:r>
        <w:rPr>
          <w:rFonts w:ascii="Arial" w:cs="Arial" w:eastAsia="Arial" w:hAnsi="Arial"/>
          <w:b/>
          <w:bCs/>
          <w:sz w:val="26"/>
          <w:szCs w:val="26"/>
        </w:rPr>
        <w:t xml:space="preserve">Appendix C: Troubleshooting</w:t>
      </w:r>
    </w:p>
    <w:p>
      <w:pPr>
        <w:spacing w:after="120"/>
      </w:pPr>
      <w:r>
        <w:rPr>
          <w:rFonts w:ascii="Arial" w:cs="Arial" w:eastAsia="Arial" w:hAnsi="Arial"/>
          <w:b/>
          <w:bCs/>
          <w:sz w:val="22"/>
          <w:szCs w:val="22"/>
        </w:rPr>
        <w:t xml:space="preserve">"Disconnected from the server"</w:t>
      </w:r>
      <w:r>
        <w:rPr>
          <w:rFonts w:ascii="Arial" w:cs="Arial" w:eastAsia="Arial" w:hAnsi="Arial"/>
          <w:sz w:val="22"/>
          <w:szCs w:val="22"/>
        </w:rPr>
        <w:t xml:space="preserve"> — The analysis exceeded the server’s memory or time limit. Try with fewer subjects, or run the app locally in RStudio.</w:t>
      </w:r>
    </w:p>
    <w:p>
      <w:pPr>
        <w:spacing w:after="120"/>
      </w:pPr>
      <w:r>
        <w:rPr>
          <w:rFonts w:ascii="Arial" w:cs="Arial" w:eastAsia="Arial" w:hAnsi="Arial"/>
          <w:b/>
          <w:bCs/>
          <w:sz w:val="22"/>
          <w:szCs w:val="22"/>
        </w:rPr>
        <w:t xml:space="preserve">"Error: An error has occurred"</w:t>
      </w:r>
      <w:r>
        <w:rPr>
          <w:rFonts w:ascii="Arial" w:cs="Arial" w:eastAsia="Arial" w:hAnsi="Arial"/>
          <w:sz w:val="22"/>
          <w:szCs w:val="22"/>
        </w:rPr>
        <w:t xml:space="preserve"> with no further detail — Usually caused by NA values in the concentration data reaching a log-scale plot. Check that your BLQ handling processed correctly (LLOQ &gt; 0).</w:t>
      </w:r>
    </w:p>
    <w:p>
      <w:pPr>
        <w:spacing w:after="120"/>
      </w:pPr>
      <w:r>
        <w:rPr>
          <w:rFonts w:ascii="Arial" w:cs="Arial" w:eastAsia="Arial" w:hAnsi="Arial"/>
          <w:b/>
          <w:bCs/>
          <w:sz w:val="22"/>
          <w:szCs w:val="22"/>
        </w:rPr>
        <w:t xml:space="preserve">Old warnings still visible after uploading a new file</w:t>
      </w:r>
      <w:r>
        <w:rPr>
          <w:rFonts w:ascii="Arial" w:cs="Arial" w:eastAsia="Arial" w:hAnsi="Arial"/>
          <w:sz w:val="22"/>
          <w:szCs w:val="22"/>
        </w:rPr>
        <w:t xml:space="preserve"> — Fixed in v1.0. If you see this, clear your browser cache or reload the page.</w:t>
      </w:r>
    </w:p>
    <w:p>
      <w:pPr>
        <w:spacing w:after="120"/>
      </w:pPr>
      <w:r>
        <w:rPr>
          <w:rFonts w:ascii="Arial" w:cs="Arial" w:eastAsia="Arial" w:hAnsi="Arial"/>
          <w:b/>
          <w:bCs/>
          <w:sz w:val="22"/>
          <w:szCs w:val="22"/>
        </w:rPr>
        <w:t xml:space="preserve">Half-life differs from WinNonlin</w:t>
      </w:r>
      <w:r>
        <w:rPr>
          <w:rFonts w:ascii="Arial" w:cs="Arial" w:eastAsia="Arial" w:hAnsi="Arial"/>
          <w:sz w:val="22"/>
          <w:szCs w:val="22"/>
        </w:rPr>
        <w:t xml:space="preserve"> — Check the R² threshold (the app defaults to 0.70) and the terminal phase point selection. Use the Half-Life Review tab to inspect and adjust.</w:t>
      </w:r>
    </w:p>
    <w:p>
      <w:pPr>
        <w:spacing w:after="120"/>
      </w:pPr>
      <w:r>
        <w:rPr>
          <w:rFonts w:ascii="Arial" w:cs="Arial" w:eastAsia="Arial" w:hAnsi="Arial"/>
          <w:b/>
          <w:bCs/>
          <w:sz w:val="22"/>
          <w:szCs w:val="22"/>
        </w:rPr>
        <w:t xml:space="preserve">Bioequivalence page crashes on upload</w:t>
      </w:r>
      <w:r>
        <w:rPr>
          <w:rFonts w:ascii="Arial" w:cs="Arial" w:eastAsia="Arial" w:hAnsi="Arial"/>
          <w:sz w:val="22"/>
          <w:szCs w:val="22"/>
        </w:rPr>
        <w:t xml:space="preserve"> — Ensure all six columns (Subject, Treatment, Period, Sequence, Time, Concentration) are present and correctly mapped.</w:t>
      </w:r>
    </w:p>
    <w:p>
      <w:pPr>
        <w:pStyle w:val="Heading2"/>
        <w:spacing w:before="280" w:after="160"/>
      </w:pPr>
      <w:r>
        <w:rPr>
          <w:rFonts w:ascii="Arial" w:cs="Arial" w:eastAsia="Arial" w:hAnsi="Arial"/>
          <w:b/>
          <w:bCs/>
          <w:sz w:val="26"/>
          <w:szCs w:val="26"/>
        </w:rPr>
        <w:t xml:space="preserve">Appendix D: Software References</w:t>
      </w:r>
    </w:p>
    <w:p>
      <w:pPr>
        <w:spacing w:after="120"/>
      </w:pPr>
      <w:r>
        <w:rPr>
          <w:rFonts w:ascii="Arial" w:cs="Arial" w:eastAsia="Arial" w:hAnsi="Arial"/>
          <w:sz w:val="22"/>
          <w:szCs w:val="22"/>
        </w:rPr>
        <w:t xml:space="preserve">Kim H, Yun H, Cho S, et al. NonCompart: Noncompartmental Analysis for Pharmacokinetic Data. </w:t>
      </w:r>
      <w:r>
        <w:rPr>
          <w:rFonts w:ascii="Arial" w:cs="Arial" w:eastAsia="Arial" w:hAnsi="Arial"/>
          <w:i/>
          <w:iCs/>
          <w:sz w:val="22"/>
          <w:szCs w:val="22"/>
        </w:rPr>
        <w:t xml:space="preserve">Transl Clin Pharmacol</w:t>
      </w:r>
      <w:r>
        <w:rPr>
          <w:rFonts w:ascii="Arial" w:cs="Arial" w:eastAsia="Arial" w:hAnsi="Arial"/>
          <w:sz w:val="22"/>
          <w:szCs w:val="22"/>
        </w:rPr>
        <w:t xml:space="preserve">. 2018;26(1):10–15.</w:t>
      </w:r>
    </w:p>
    <w:p>
      <w:pPr>
        <w:spacing w:after="120"/>
      </w:pPr>
      <w:r>
        <w:rPr>
          <w:rFonts w:ascii="Arial" w:cs="Arial" w:eastAsia="Arial" w:hAnsi="Arial"/>
          <w:sz w:val="22"/>
          <w:szCs w:val="22"/>
        </w:rPr>
        <w:t xml:space="preserve">Labes D, Schütz H, Lang B. PowerTOST: Power and Sample Size for (Bio)Equivalence Studies. R package.</w:t>
      </w:r>
    </w:p>
    <w:p>
      <w:pPr>
        <w:spacing w:after="120"/>
      </w:pPr>
      <w:r>
        <w:rPr>
          <w:rFonts w:ascii="Arial" w:cs="Arial" w:eastAsia="Arial" w:hAnsi="Arial"/>
          <w:sz w:val="22"/>
          <w:szCs w:val="22"/>
        </w:rPr>
        <w:t xml:space="preserve">Pinheiro JC, Bates DM. </w:t>
      </w:r>
      <w:r>
        <w:rPr>
          <w:rFonts w:ascii="Arial" w:cs="Arial" w:eastAsia="Arial" w:hAnsi="Arial"/>
          <w:i/>
          <w:iCs/>
          <w:sz w:val="22"/>
          <w:szCs w:val="22"/>
        </w:rPr>
        <w:t xml:space="preserve">Mixed-Effects Models in S and S-PLUS</w:t>
      </w:r>
      <w:r>
        <w:rPr>
          <w:rFonts w:ascii="Arial" w:cs="Arial" w:eastAsia="Arial" w:hAnsi="Arial"/>
          <w:sz w:val="22"/>
          <w:szCs w:val="22"/>
        </w:rPr>
        <w:t xml:space="preserve">. Springer, New York, 2000.</w:t>
      </w:r>
    </w:p>
    <w:p>
      <w:pPr>
        <w:spacing w:after="120"/>
      </w:pPr>
      <w:r>
        <w:rPr>
          <w:rFonts w:ascii="Arial" w:cs="Arial" w:eastAsia="Arial" w:hAnsi="Arial"/>
          <w:sz w:val="22"/>
          <w:szCs w:val="22"/>
        </w:rPr>
        <w:t xml:space="preserve">Schuirmann DJ. A comparison of the two one-sided tests procedure and the power approach for assessing the equivalence of average bioavailability. </w:t>
      </w:r>
      <w:r>
        <w:rPr>
          <w:rFonts w:ascii="Arial" w:cs="Arial" w:eastAsia="Arial" w:hAnsi="Arial"/>
          <w:i/>
          <w:iCs/>
          <w:sz w:val="22"/>
          <w:szCs w:val="22"/>
        </w:rPr>
        <w:t xml:space="preserve">J Pharmacokinet Biopharm</w:t>
      </w:r>
      <w:r>
        <w:rPr>
          <w:rFonts w:ascii="Arial" w:cs="Arial" w:eastAsia="Arial" w:hAnsi="Arial"/>
          <w:sz w:val="22"/>
          <w:szCs w:val="22"/>
        </w:rPr>
        <w:t xml:space="preserve">. 1987;15(6):657–680.</w:t>
      </w:r>
    </w:p>
    <w:p>
      <w:pPr>
        <w:spacing w:after="120"/>
      </w:pPr>
      <w:r>
        <w:rPr>
          <w:rFonts w:ascii="Arial" w:cs="Arial" w:eastAsia="Arial" w:hAnsi="Arial"/>
          <w:sz w:val="22"/>
          <w:szCs w:val="22"/>
        </w:rPr>
        <w:t xml:space="preserve">Beal SL. Ways to fit a PK model with some data below the quantification limit. </w:t>
      </w:r>
      <w:r>
        <w:rPr>
          <w:rFonts w:ascii="Arial" w:cs="Arial" w:eastAsia="Arial" w:hAnsi="Arial"/>
          <w:i/>
          <w:iCs/>
          <w:sz w:val="22"/>
          <w:szCs w:val="22"/>
        </w:rPr>
        <w:t xml:space="preserve">J Pharmacokinet Pharmacodyn</w:t>
      </w:r>
      <w:r>
        <w:rPr>
          <w:rFonts w:ascii="Arial" w:cs="Arial" w:eastAsia="Arial" w:hAnsi="Arial"/>
          <w:sz w:val="22"/>
          <w:szCs w:val="22"/>
        </w:rPr>
        <w:t xml:space="preserve">. 2001;28(5):481–504.</w:t>
      </w:r>
    </w:p>
    <w:p>
      <w:pPr>
        <w:spacing w:after="120"/>
      </w:pPr>
      <w:r>
        <w:rPr>
          <w:rFonts w:ascii="Arial" w:cs="Arial" w:eastAsia="Arial" w:hAnsi="Arial"/>
          <w:sz w:val="22"/>
          <w:szCs w:val="22"/>
        </w:rPr>
        <w:t xml:space="preserve">R Core Team. R: A Language and Environment for Statistical Computing. R Foundation for Statistical Computing, Vienna, Austria.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NCA Assistant — User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498DB"/>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2026-04-01T20:11:42.541Z</dcterms:created>
  <dcterms:modified xsi:type="dcterms:W3CDTF">2026-04-01T20:11:42.542Z</dcterms:modified>
</cp:coreProperties>
</file>

<file path=docProps/custom.xml><?xml version="1.0" encoding="utf-8"?>
<Properties xmlns="http://schemas.openxmlformats.org/officeDocument/2006/custom-properties" xmlns:vt="http://schemas.openxmlformats.org/officeDocument/2006/docPropsVTypes"/>
</file>