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536 automated and 66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01B9AAF" w14:textId="77777777" w:rsidR="00631871" w:rsidRDefault="0013387A">
      <w:pPr>
        <w:pStyle w:val="Kop2"/>
      </w:pPr>
      <w:r>
        <w:rPr/>
        <w:t>Tutorial 4b: Covariates in a Parallel-Group Study</w:t>
      </w:r>
    </w:p>
    <w:p w14:paraId="195AA84C" w14:textId="77777777" w:rsidR="00631871" w:rsidRDefault="0013387A">
      <w:pPr>
        <w:spacing w:after="120" w:line="276" w:lineRule="auto"/>
      </w:pPr>
      <w:r>
        <w:rPr/>
        <w:t>This tutorial uses example_be_parallel_covariates.csv: 40 subjects in two parallel groups of 20, one oral dose of 100 mg, samples up to 48 h, and the baseline columns Age, Weight and Sex. Suppose the protocol named body weight as a covariate before the study began. A covariate is a characteristic of each subject that may move the PK parameter. Use baseline values only, known before the first dose: a value measured after dosing can be changed by the treatment itself. Choose the covariates before you look at any result.</w:t>
      </w:r>
    </w:p>
    <w:p w14:paraId="195AA84C" w14:textId="77777777" w:rsidR="00631871" w:rsidRDefault="0013387A">
      <w:pPr>
        <w:spacing w:after="120" w:line="276" w:lineRule="auto"/>
      </w:pPr>
      <w:r>
        <w:rPr/>
        <w:t xml:space="preserve">1. On the hub, click </w:t>
      </w:r>
      <w:r>
        <w:rPr>
          <w:b/>
        </w:rPr>
        <w:t>2. Upload &amp; Check Data</w:t>
      </w:r>
      <w:r>
        <w:rPr/>
        <w:t xml:space="preserve">. Under </w:t>
      </w:r>
      <w:r>
        <w:rPr>
          <w:b/>
        </w:rPr>
        <w:t>Or use an example</w:t>
      </w:r>
      <w:r>
        <w:rPr/>
        <w:t xml:space="preserve">, choose example_be_parallel_covariates.csv and click </w:t>
      </w:r>
      <w:r>
        <w:rPr>
          <w:b/>
        </w:rPr>
        <w:t>Load example</w:t>
      </w:r>
      <w:r>
        <w:rPr/>
        <w:t xml:space="preserve">. Check that </w:t>
      </w:r>
      <w:r>
        <w:rPr>
          <w:b/>
        </w:rPr>
        <w:t>Subject ID</w:t>
      </w:r>
      <w:r>
        <w:rPr/>
        <w:t xml:space="preserve"> is Subject, </w:t>
      </w:r>
      <w:r>
        <w:rPr>
          <w:b/>
        </w:rPr>
        <w:t>Time</w:t>
      </w:r>
      <w:r>
        <w:rPr/>
        <w:t xml:space="preserve"> is Time, </w:t>
      </w:r>
      <w:r>
        <w:rPr>
          <w:b/>
        </w:rPr>
        <w:t>Concentration</w:t>
      </w:r>
      <w:r>
        <w:rPr/>
        <w:t xml:space="preserve"> is Conc, </w:t>
      </w:r>
      <w:r>
        <w:rPr>
          <w:b/>
        </w:rPr>
        <w:t>Treatment / Formulation</w:t>
      </w:r>
      <w:r>
        <w:rPr/>
        <w:t xml:space="preserve"> is Treatment and </w:t>
      </w:r>
      <w:r>
        <w:rPr>
          <w:b/>
        </w:rPr>
        <w:t>Dose</w:t>
      </w:r>
      <w:r>
        <w:rPr/>
        <w:t xml:space="preserve"> is Dose. Leave </w:t>
      </w:r>
      <w:r>
        <w:rPr>
          <w:b/>
        </w:rPr>
        <w:t>Period</w:t>
      </w:r>
      <w:r>
        <w:rPr/>
        <w:t xml:space="preserve">, </w:t>
      </w:r>
      <w:r>
        <w:rPr>
          <w:b/>
        </w:rPr>
        <w:t>Sequence</w:t>
      </w:r>
      <w:r>
        <w:rPr/>
        <w:t xml:space="preserve"> and </w:t>
      </w:r>
      <w:r>
        <w:rPr>
          <w:b/>
        </w:rPr>
        <w:t>Dose per kg: weight column</w:t>
      </w:r>
      <w:r>
        <w:rPr/>
        <w:t xml:space="preserve"> empty: a column mapped to one of these roles cannot be a covariate.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In </w:t>
      </w:r>
      <w:r>
        <w:rPr>
          <w:b/>
        </w:rPr>
        <w:t>Step 1: PK Analysis Settings</w:t>
      </w:r>
      <w:r>
        <w:rPr/>
        <w:t xml:space="preserve"> keep </w:t>
      </w:r>
      <w:r>
        <w:rPr>
          <w:b/>
        </w:rPr>
        <w:t>Dose information</w:t>
      </w:r>
      <w:r>
        <w:rPr/>
        <w:t xml:space="preserve"> at </w:t>
      </w:r>
      <w:r>
        <w:rPr>
          <w:b/>
        </w:rPr>
        <w:t>Different doses (from Dose column)</w:t>
      </w:r>
      <w:r>
        <w:rPr/>
        <w:t xml:space="preserve">, with units mg, h and ng/mL and the route </w:t>
      </w:r>
      <w:r>
        <w:rPr>
          <w:b/>
        </w:rPr>
        <w:t>Oral / IM / SC (extravascular)</w:t>
      </w:r>
      <w:r>
        <w:rPr/>
        <w:t>.</w:t>
      </w:r>
    </w:p>
    <w:p w14:paraId="195AA84C" w14:textId="77777777" w:rsidR="00631871" w:rsidRDefault="0013387A">
      <w:pPr>
        <w:spacing w:after="120" w:line="276" w:lineRule="auto"/>
      </w:pPr>
      <w:r>
        <w:rPr/>
        <w:t xml:space="preserve">3. In </w:t>
      </w:r>
      <w:r>
        <w:rPr>
          <w:b/>
        </w:rPr>
        <w:t>Step 2: Bioequivalence Settings</w:t>
      </w:r>
      <w:r>
        <w:rPr/>
        <w:t xml:space="preserve">, check that </w:t>
      </w:r>
      <w:r>
        <w:rPr>
          <w:b/>
        </w:rPr>
        <w:t>Study design</w:t>
      </w:r>
      <w:r>
        <w:rPr/>
        <w:t xml:space="preserve"> is </w:t>
      </w:r>
      <w:r>
        <w:rPr>
          <w:b/>
        </w:rPr>
        <w:t>Parallel groups</w:t>
      </w:r>
      <w:r>
        <w:rPr/>
        <w:t xml:space="preserve"> and that </w:t>
      </w:r>
      <w:r>
        <w:rPr>
          <w:b/>
        </w:rPr>
        <w:t>Reference treatment</w:t>
      </w:r>
      <w:r>
        <w:rPr/>
        <w:t xml:space="preserve"> is Reference. Open </w:t>
      </w:r>
      <w:r>
        <w:rPr>
          <w:b/>
        </w:rPr>
        <w:t>Covariates (optional)</w:t>
      </w:r>
      <w:r>
        <w:rPr/>
        <w:t xml:space="preserve">. Under </w:t>
      </w:r>
      <w:r>
        <w:rPr>
          <w:b/>
        </w:rPr>
        <w:t>Baseline characteristics to adjust for</w:t>
      </w:r>
      <w:r>
        <w:rPr/>
        <w:t>, choose Weight and nothing else. The line below the box reads "Weight : numeric", and the section title shows the badge "1 selected".</w:t>
      </w:r>
    </w:p>
    <w:p w14:paraId="195AA84C" w14:textId="77777777" w:rsidR="00631871" w:rsidRDefault="0013387A">
      <w:pPr>
        <w:spacing w:after="120" w:line="276" w:lineRule="auto"/>
      </w:pPr>
      <w:r>
        <w:rPr/>
        <w:t xml:space="preserve">4. Click </w:t>
      </w:r>
      <w:r>
        <w:rPr>
          <w:b/>
        </w:rPr>
        <w:t>Run Complete BE Analysis</w:t>
      </w:r>
      <w:r>
        <w:rPr/>
        <w:t>.</w:t>
      </w:r>
    </w:p>
    <w:p w14:paraId="195AA84C" w14:textId="77777777" w:rsidR="00631871" w:rsidRDefault="0013387A">
      <w:pPr>
        <w:spacing w:after="120" w:line="276" w:lineRule="auto"/>
      </w:pPr>
      <w:r>
        <w:rPr/>
        <w:t xml:space="preserve">5. Read the line above the table (Adjusted for: Weight), the table with its two </w:t>
      </w:r>
      <w:r>
        <w:rPr>
          <w:b/>
        </w:rPr>
        <w:t>Unadjusted 90% CI</w:t>
      </w:r>
      <w:r>
        <w:rPr/>
        <w:t xml:space="preserve"> columns, and the card </w:t>
      </w:r>
      <w:r>
        <w:rPr>
          <w:b/>
        </w:rPr>
        <w:t>Group balance on the covariates</w:t>
      </w:r>
      <w:r>
        <w:rPr/>
        <w:t>.</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1" name="Picture 11"/>
            <wp:cNvGraphicFramePr>
              <a:graphicFrameLocks noChangeAspect="1"/>
            </wp:cNvGraphicFramePr>
            <a:graphic>
              <a:graphicData uri="http://schemas.openxmlformats.org/drawingml/2006/picture">
                <pic:pic>
                  <pic:nvPicPr>
                    <pic:cNvPr id="0" name="cov_open3.jpg"/>
                    <pic:cNvPicPr/>
                  </pic:nvPicPr>
                  <pic:blipFill>
                    <a:blip r:embed="rId25"/>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4b.1. The Covariates (optional) section with Weight chosen, beside the forest plot of the adjusted analysis (Tutorial 4b).</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2" name="Picture 12"/>
            <wp:cNvGraphicFramePr>
              <a:graphicFrameLocks noChangeAspect="1"/>
            </wp:cNvGraphicFramePr>
            <a:graphic>
              <a:graphicData uri="http://schemas.openxmlformats.org/drawingml/2006/picture">
                <pic:pic>
                  <pic:nvPicPr>
                    <pic:cNvPr id="0" name="cov_results3.jpg"/>
                    <pic:cNvPicPr/>
                  </pic:nvPicPr>
                  <pic:blipFill>
                    <a:blip r:embed="rId26"/>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4b.2. The group balance card, and the adjusted table with the unadjusted interval beside it (Tutorial 4b).</w:t>
      </w:r>
    </w:p>
    <w:p w14:paraId="45F71B30" w14:textId="77777777" w:rsidR="00631871" w:rsidRDefault="0013387A">
      <w:pPr>
        <w:spacing w:after="120" w:line="276" w:lineRule="auto"/>
      </w:pPr>
      <w:r>
        <w:rPr/>
        <w:t xml:space="preserve">Questions: 1) What are the ratio and the 90% CI for Cmax adjusted for Weight, and what do the unadjusted columns show? 2) Is the product bioequivalent for Cmax with the adjustment, and without it? And for AUC to last point? 3) What is the mean weight in each group, and how large is the standardized difference? 4) By how much does Cmax change per kilogram of body weight? Click </w:t>
      </w:r>
      <w:r>
        <w:rPr>
          <w:b/>
        </w:rPr>
        <w:t>Download Complete BE Report (Excel)</w:t>
      </w:r>
      <w:r>
        <w:rPr/>
        <w:t xml:space="preserve"> and open the sheet BE_Covariates. 5) How many residual degrees of freedom does the model have, and how does the CV fall with the adjustment? Use the columns Degrees of Freedom, Residual Variance and Unadjusted residual variance in </w:t>
      </w:r>
      <w:r>
        <w:rPr>
          <w:b/>
        </w:rPr>
        <w:t>Download CI Table (CSV)</w:t>
      </w:r>
      <w:r>
        <w:rPr/>
        <w:t>, and CV = 100·√(exp(MSE) − 1). 6) Why is it wrong to pick Weight after you have seen this table?</w:t>
      </w:r>
    </w:p>
    <w:p w14:paraId="301B9AAF" w14:textId="77777777" w:rsidR="00631871" w:rsidRDefault="0013387A">
      <w:pPr>
        <w:pStyle w:val="Kop2"/>
      </w:pPr>
      <w:r>
        <w:rPr/>
        <w:t>Tutorial 4c: Reference-Scaled Bioequivalence (Highly Variable Drug)</w:t>
      </w:r>
    </w:p>
    <w:p w14:paraId="195AA84C" w14:textId="77777777" w:rsidR="00631871" w:rsidRDefault="0013387A">
      <w:pPr>
        <w:spacing w:after="120" w:line="276" w:lineRule="auto"/>
      </w:pPr>
      <w:r>
        <w:rPr/>
        <w:t>This tutorial uses example_be_replicate_hvd.csv: 32 subjects in a 2×2×4 full replicate (TRTR | RTRT), one oral dose of 100 mg, samples up to 48 h. The Reference is highly variable for Cmax. A product is called highly variable when the within-subject variability of the Reference exceeds about 30%. With fixed limits of 80–125% such a product needs many subjects, even when Test and Reference are the same product. EMA ABEL and FDA RSABE scale the limits, or the criterion, to the variability of the Reference. The approach is a declaration made in the protocol before the study: the app never switches by itself. Below you run all three approaches one after another, to compare them. In a real study you run and report only the one the protocol names.</w:t>
      </w:r>
    </w:p>
    <w:p w14:paraId="195AA84C" w14:textId="77777777" w:rsidR="00631871" w:rsidRDefault="0013387A">
      <w:pPr>
        <w:spacing w:after="120" w:line="276" w:lineRule="auto"/>
      </w:pPr>
      <w:r>
        <w:rPr/>
        <w:t xml:space="preserve">1. Load example_be_replicate_hvd.csv as in Tutorial 4b. Check that </w:t>
      </w:r>
      <w:r>
        <w:rPr>
          <w:b/>
        </w:rPr>
        <w:t>Subject ID</w:t>
      </w:r>
      <w:r>
        <w:rPr/>
        <w:t xml:space="preserve">, </w:t>
      </w:r>
      <w:r>
        <w:rPr>
          <w:b/>
        </w:rPr>
        <w:t>Time</w:t>
      </w:r>
      <w:r>
        <w:rPr/>
        <w:t xml:space="preserve">, </w:t>
      </w:r>
      <w:r>
        <w:rPr>
          <w:b/>
        </w:rPr>
        <w:t>Concentration</w:t>
      </w:r>
      <w:r>
        <w:rPr/>
        <w:t xml:space="preserve"> (Conc), </w:t>
      </w:r>
      <w:r>
        <w:rPr>
          <w:b/>
        </w:rPr>
        <w:t>Treatment / Formulation</w:t>
      </w:r>
      <w:r>
        <w:rPr/>
        <w:t xml:space="preserve">, </w:t>
      </w:r>
      <w:r>
        <w:rPr>
          <w:b/>
        </w:rPr>
        <w:t>Period</w:t>
      </w:r>
      <w:r>
        <w:rPr/>
        <w:t xml:space="preserve">, </w:t>
      </w:r>
      <w:r>
        <w:rPr>
          <w:b/>
        </w:rPr>
        <w:t>Sequence</w:t>
      </w:r>
      <w:r>
        <w:rPr/>
        <w:t xml:space="preserve"> and </w:t>
      </w:r>
      <w:r>
        <w:rPr>
          <w:b/>
        </w:rPr>
        <w:t>Dose</w:t>
      </w:r>
      <w:r>
        <w:rPr/>
        <w:t xml:space="preserve"> are mapped, and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and use the dose settings of Tutorial 4b. Check that </w:t>
      </w:r>
      <w:r>
        <w:rPr>
          <w:b/>
        </w:rPr>
        <w:t>Study design</w:t>
      </w:r>
      <w:r>
        <w:rPr/>
        <w:t xml:space="preserve"> is </w:t>
      </w:r>
      <w:r>
        <w:rPr>
          <w:b/>
        </w:rPr>
        <w:t>2×2×4 full replicate (TRTR | RTRT)</w:t>
      </w:r>
      <w:r>
        <w:rPr/>
        <w:t xml:space="preserve">, </w:t>
      </w:r>
      <w:r>
        <w:rPr>
          <w:b/>
        </w:rPr>
        <w:t>Reference treatment</w:t>
      </w:r>
      <w:r>
        <w:rPr/>
        <w:t xml:space="preserve"> is Reference, </w:t>
      </w:r>
      <w:r>
        <w:rPr>
          <w:b/>
        </w:rPr>
        <w:t>Statistical model</w:t>
      </w:r>
      <w:r>
        <w:rPr/>
        <w:t xml:space="preserve"> is </w:t>
      </w:r>
      <w:r>
        <w:rPr>
          <w:b/>
        </w:rPr>
        <w:t>Fixed effects (all terms fixed)</w:t>
      </w:r>
      <w:r>
        <w:rPr/>
        <w:t xml:space="preserve">, the parameters are Cmax and AUC to last point, the confidence interval is 90 and the limits are 80 and 125. Keep </w:t>
      </w:r>
      <w:r>
        <w:rPr>
          <w:b/>
        </w:rPr>
        <w:t>Acceptance approach</w:t>
      </w:r>
      <w:r>
        <w:rPr/>
        <w:t xml:space="preserve"> at </w:t>
      </w:r>
      <w:r>
        <w:rPr>
          <w:b/>
        </w:rPr>
        <w:t>Standard (average bioequivalence)</w:t>
      </w:r>
      <w:r>
        <w:rPr/>
        <w:t xml:space="preserve"> and click </w:t>
      </w:r>
      <w:r>
        <w:rPr>
          <w:b/>
        </w:rPr>
        <w:t>Run Complete BE Analysis</w:t>
      </w:r>
      <w:r>
        <w:rPr/>
        <w:t>. Note the ratio, the 90% CI and the verdict of both parameters.</w:t>
      </w:r>
    </w:p>
    <w:p w14:paraId="195AA84C" w14:textId="77777777" w:rsidR="00631871" w:rsidRDefault="0013387A">
      <w:pPr>
        <w:spacing w:after="120" w:line="276" w:lineRule="auto"/>
      </w:pPr>
      <w:r>
        <w:rPr/>
        <w:t xml:space="preserve">3. Set </w:t>
      </w:r>
      <w:r>
        <w:rPr>
          <w:b/>
        </w:rPr>
        <w:t>Acceptance approach</w:t>
      </w:r>
      <w:r>
        <w:rPr/>
        <w:t xml:space="preserve"> to </w:t>
      </w:r>
      <w:r>
        <w:rPr>
          <w:b/>
        </w:rPr>
        <w:t>FDA RSABE (reference-scaled)</w:t>
      </w:r>
      <w:r>
        <w:rPr/>
        <w:t xml:space="preserve">. The results are cleared. Click </w:t>
      </w:r>
      <w:r>
        <w:rPr>
          <w:b/>
        </w:rPr>
        <w:t>Run Complete BE Analysis</w:t>
      </w:r>
      <w:r>
        <w:rPr/>
        <w:t xml:space="preserve"> again. Read the table, including the columns Route, s_WR (FDA contrasts), Limits and Criterion bound, and the lines under it that say how each metric was judged.</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3" name="Picture 13"/>
            <wp:cNvGraphicFramePr>
              <a:graphicFrameLocks noChangeAspect="1"/>
            </wp:cNvGraphicFramePr>
            <a:graphic>
              <a:graphicData uri="http://schemas.openxmlformats.org/drawingml/2006/picture">
                <pic:pic>
                  <pic:nvPicPr>
                    <pic:cNvPr id="0" name="approach.jpg"/>
                    <pic:cNvPicPr/>
                  </pic:nvPicPr>
                  <pic:blipFill>
                    <a:blip r:embed="rId27"/>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4c.1. The Acceptance approach selector on a replicate design, set to FDA RSABE, with the note that the choice is a declaration before the run (Tutorial 4c).</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4" name="Picture 14"/>
            <wp:cNvGraphicFramePr>
              <a:graphicFrameLocks noChangeAspect="1"/>
            </wp:cNvGraphicFramePr>
            <a:graphic>
              <a:graphicData uri="http://schemas.openxmlformats.org/drawingml/2006/picture">
                <pic:pic>
                  <pic:nvPicPr>
                    <pic:cNvPr id="0" name="rsabe_results.jpg"/>
                    <pic:cNvPicPr/>
                  </pic:nvPicPr>
                  <pic:blipFill>
                    <a:blip r:embed="rId28"/>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4c.2. The lines that say how each metric was judged under RSABE, and the forest plot with one pair of limits per metric (Tutorial 4c).</w:t>
      </w:r>
    </w:p>
    <w:p w14:paraId="195AA84C" w14:textId="77777777" w:rsidR="00631871" w:rsidRDefault="0013387A">
      <w:pPr>
        <w:spacing w:after="120" w:line="276" w:lineRule="auto"/>
      </w:pPr>
      <w:r>
        <w:rPr/>
        <w:t xml:space="preserve">4. Set </w:t>
      </w:r>
      <w:r>
        <w:rPr>
          <w:b/>
        </w:rPr>
        <w:t>Acceptance approach</w:t>
      </w:r>
      <w:r>
        <w:rPr/>
        <w:t xml:space="preserve"> to </w:t>
      </w:r>
      <w:r>
        <w:rPr>
          <w:b/>
        </w:rPr>
        <w:t>EMA ABEL (Cmax, widened limits)</w:t>
      </w:r>
      <w:r>
        <w:rPr/>
        <w:t xml:space="preserve"> and run once more. Read the same table and lines.</w:t>
      </w:r>
    </w:p>
    <w:p w14:paraId="45F71B30" w14:textId="77777777" w:rsidR="00631871" w:rsidRDefault="0013387A">
      <w:pPr>
        <w:spacing w:after="120" w:line="276" w:lineRule="auto"/>
      </w:pPr>
      <w:r>
        <w:rPr/>
        <w:t>Questions: 1) What are the ratio, the 90% CI and the verdict for Cmax and for AUC to last point with the standard approach? 2) With RSABE: which route did Cmax take, what are s_WR, the limits and the criterion bound, and what is the verdict? 3) Which route did AUC to last point take with RSABE, and why? 4) With ABEL: what are CVwR and the limits for Cmax, and which limits apply to AUC? 5) Which two conditions must hold for RSABE to conclude bioequivalence? 6) If the protocol named RSABE, which result do you report, and why may you not report the most favourable one?</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7DF800E2" w14:textId="77777777" w:rsidR="00631871" w:rsidRDefault="0013387A">
      <w:pPr>
        <w:spacing w:after="120" w:line="276" w:lineRule="auto"/>
      </w:pPr>
      <w:r>
        <w:rPr>
          <w:b/>
        </w:rPr>
        <w:t>Tutorial 4b.</w:t>
      </w:r>
      <w:r>
        <w:rPr/>
        <w:t xml:space="preserve"> 1) 95.04% (90.12–100.22%). The unadjusted columns show 77.76–92.12%; only the limits are shown, not the unadjusted ratio. 2) With the adjustment: yes. Without it: no, the lower limit of 77.76% is below 80%. AUC to last point passes either way (adjusted 98.13%, 93.51–102.99%; unadjusted interval 85.20–96.80%). 3) 68.2 kg on Reference and 77.7 kg on Test (68.16 and 77.69), a standardized difference of 0.88. That is a large imbalance. In these simulated data weight drives the volume of distribution, so the heavier Test group had lower concentrations before the adjustment. 4) The Weight coefficient is −0.0122 on the log scale, which is about 1.2% less Cmax for each kilogram. 5) 37 residual degrees of freedom (40 − 2 − 1). The CV falls from 16.0% (unadjusted residual variance 0.0252) to 9.1% (residual variance 0.00823). 6) Choosing a covariate after you have seen the results lets you search for the interval that passes, and the type I error is no longer controlled. The declaration has to come first. The Analysis Record lists the covariates, but the app cannot know when you chose them.</w:t>
      </w:r>
    </w:p>
    <w:p w14:paraId="7DF800E2" w14:textId="77777777" w:rsidR="00631871" w:rsidRDefault="0013387A">
      <w:pPr>
        <w:spacing w:after="120" w:line="276" w:lineRule="auto"/>
      </w:pPr>
      <w:r>
        <w:rPr>
          <w:b/>
        </w:rPr>
        <w:t>Tutorial 4c.</w:t>
      </w:r>
      <w:r>
        <w:rPr/>
        <w:t xml:space="preserve"> 1) Cmax 88.35% (77.52–100.69%): not bioequivalent, because the lower limit is below 80%. AUC to last point 98.20% (90.56–106.50%): bioequivalent. 2) The scaled route. s_WR is 0.399, at or above 0.294; the limits are 70.04–142.78%; the criterion bound is −0.0446, at or below 0; the point estimate of 88.35% lies within 80–125%. RSABE is met. The interval in the table, 76.67–101.81%, comes from the FDA contrasts and differs a little from the standard 77.52–100.69%. 3) The standard route: s_WR is 0.251, below 0.294, so nothing is scaled and the ordinary test against 80–125% applies. The interval of 90.56–106.50% lies within those limits. 4) CVwR is 41.5%, above 30%, and the limits are 73.84–135.43%. The 90% CI of 77.52–100.69% lies within them and the point estimate lies within 80–125%, so Cmax is bioequivalent. AUC keeps 80–125%, because the EMA widens Cmax only. 5) The criterion bound must be at or below 0 (it is the 95% upper confidence bound of the scaled criterion), and the point estimate must lie within 80–125%. 6) The one the protocol declared before the study. Running several approaches and keeping the one that passes defeats the purpose of a pre-specified analysis; you ran all three here only to see how they differ.</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Reference-scaled bioequivalence (ABEL, RSABE), the FDA method for narrow therapeutic index drugs and the FDA model for replicate designs are available for planning only, not for analysis.</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55732501"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