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(503 automated, 62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(pre-dose) times stop the analysis, as in the ADNCA upload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a pre-dose sample at -0.5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(was a WARNING: AUClast +2.8% and a lag time of -0.5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(en_US.UTF-8);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565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89/89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