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Relazione tecnica di ingegneria di dettaglio – Impianto FV 3 MWp con BESS 2 MWh / 1 MW</w:t>
      </w:r>
    </w:p>
    <w:p>
      <w:pPr>
        <w:pStyle w:val="Heading1"/>
      </w:pPr>
      <w:r>
        <w:t xml:space="preserve">0. Cartiglio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759"/>
        <w:gridCol w:w="8879"/>
      </w:tblGrid>
      <w:tr>
        <w:trPr>
          <w:tblHeader/>
        </w:trPr>
        <w:tc>
          <w:tcPr>
            <w:tcW w:w="759" w:type="dxa"/>
            <w:shd w:val="clear" w:color="auto" w:fill="E3EAEC"/>
          </w:tcPr>
          <w:p>
            <w:pPr>
              <w:pStyle w:val="TableText"/>
            </w:pPr>
            <w:r>
              <w:rPr>
                <w:b/>
              </w:rPr>
              <w:t xml:space="preserve">Campo</w:t>
            </w:r>
          </w:p>
        </w:tc>
        <w:tc>
          <w:tcPr>
            <w:tcW w:w="8879" w:type="dxa"/>
            <w:shd w:val="clear" w:color="auto" w:fill="E3EAEC"/>
          </w:tcPr>
          <w:p>
            <w:pPr>
              <w:pStyle w:val="TableText"/>
            </w:pPr>
            <w:r>
              <w:rPr>
                <w:b/>
              </w:rPr>
              <w:t xml:space="preserve">Valore</w:t>
            </w:r>
          </w:p>
        </w:tc>
      </w:tr>
      <w:tr>
        <w:tc>
          <w:tcPr>
            <w:tcW w:w="759" w:type="dxa"/>
          </w:tcPr>
          <w:p>
            <w:pPr>
              <w:pStyle w:val="TableText"/>
            </w:pPr>
            <w:r>
              <w:t xml:space="preserve">Documento</w:t>
            </w:r>
          </w:p>
        </w:tc>
        <w:tc>
          <w:tcPr>
            <w:tcW w:w="8879" w:type="dxa"/>
          </w:tcPr>
          <w:p>
            <w:pPr>
              <w:pStyle w:val="TableText"/>
            </w:pPr>
            <w:r>
              <w:t xml:space="preserve">FVB-ENG-001</w:t>
            </w:r>
          </w:p>
        </w:tc>
      </w:tr>
      <w:tr>
        <w:tc>
          <w:tcPr>
            <w:tcW w:w="759" w:type="dxa"/>
          </w:tcPr>
          <w:p>
            <w:pPr>
              <w:pStyle w:val="TableText"/>
            </w:pPr>
            <w:r>
              <w:t xml:space="preserve">Titolo</w:t>
            </w:r>
          </w:p>
        </w:tc>
        <w:tc>
          <w:tcPr>
            <w:tcW w:w="8879" w:type="dxa"/>
          </w:tcPr>
          <w:p>
            <w:pPr>
              <w:pStyle w:val="TableText"/>
            </w:pPr>
            <w:r>
              <w:t xml:space="preserve">Relazione tecnica di ingegneria di dettaglio – impianto fotovoltaico a terra con sistema di accumulo, stabilimento industriale (caso di riferimento A)</w:t>
            </w:r>
          </w:p>
        </w:tc>
      </w:tr>
      <w:tr>
        <w:tc>
          <w:tcPr>
            <w:tcW w:w="759" w:type="dxa"/>
          </w:tcPr>
          <w:p>
            <w:pPr>
              <w:pStyle w:val="TableText"/>
            </w:pPr>
            <w:r>
              <w:t xml:space="preserve">Revisione</w:t>
            </w:r>
          </w:p>
        </w:tc>
        <w:tc>
          <w:tcPr>
            <w:tcW w:w="8879" w:type="dxa"/>
          </w:tcPr>
          <w:p>
            <w:pPr>
              <w:pStyle w:val="TableText"/>
            </w:pPr>
            <w:r>
              <w:t xml:space="preserve">A</w:t>
            </w:r>
          </w:p>
        </w:tc>
      </w:tr>
      <w:tr>
        <w:tc>
          <w:tcPr>
            <w:tcW w:w="759" w:type="dxa"/>
          </w:tcPr>
          <w:p>
            <w:pPr>
              <w:pStyle w:val="TableText"/>
            </w:pPr>
            <w:r>
              <w:t xml:space="preserve">Data</w:t>
            </w:r>
          </w:p>
        </w:tc>
        <w:tc>
          <w:tcPr>
            <w:tcW w:w="8879" w:type="dxa"/>
          </w:tcPr>
          <w:p>
            <w:pPr>
              <w:pStyle w:val="TableText"/>
            </w:pPr>
            <w:r>
              <w:t xml:space="preserve">27/10/2026</w:t>
            </w:r>
          </w:p>
        </w:tc>
      </w:tr>
      <w:tr>
        <w:tc>
          <w:tcPr>
            <w:tcW w:w="759" w:type="dxa"/>
          </w:tcPr>
          <w:p>
            <w:pPr>
              <w:pStyle w:val="TableText"/>
            </w:pPr>
            <w:r>
              <w:t xml:space="preserve">Stato</w:t>
            </w:r>
          </w:p>
        </w:tc>
        <w:tc>
          <w:tcPr>
            <w:tcW w:w="8879" w:type="dxa"/>
          </w:tcPr>
          <w:p>
            <w:pPr>
              <w:pStyle w:val="TableText"/>
            </w:pPr>
            <w:r>
              <w:t xml:space="preserve">Emesso per commenti – pre-FEED</w:t>
            </w:r>
          </w:p>
        </w:tc>
      </w:tr>
      <w:tr>
        <w:tc>
          <w:tcPr>
            <w:tcW w:w="759" w:type="dxa"/>
          </w:tcPr>
          <w:p>
            <w:pPr>
              <w:pStyle w:val="TableText"/>
            </w:pPr>
            <w:r>
              <w:t xml:space="preserve">Commessa</w:t>
            </w:r>
          </w:p>
        </w:tc>
        <w:tc>
          <w:tcPr>
            <w:tcW w:w="8879" w:type="dxa"/>
          </w:tcPr>
          <w:p>
            <w:pPr>
              <w:pStyle w:val="TableText"/>
            </w:pPr>
            <w:r>
              <w:t xml:space="preserve">da compilare</w:t>
            </w:r>
          </w:p>
        </w:tc>
      </w:tr>
      <w:tr>
        <w:tc>
          <w:tcPr>
            <w:tcW w:w="759" w:type="dxa"/>
          </w:tcPr>
          <w:p>
            <w:pPr>
              <w:pStyle w:val="TableText"/>
            </w:pPr>
            <w:r>
              <w:t xml:space="preserve">Committente</w:t>
            </w:r>
          </w:p>
        </w:tc>
        <w:tc>
          <w:tcPr>
            <w:tcW w:w="8879" w:type="dxa"/>
          </w:tcPr>
          <w:p>
            <w:pPr>
              <w:pStyle w:val="TableText"/>
            </w:pPr>
            <w:r>
              <w:t xml:space="preserve">da compilare</w:t>
            </w:r>
          </w:p>
        </w:tc>
      </w:tr>
      <w:tr>
        <w:tc>
          <w:tcPr>
            <w:tcW w:w="759" w:type="dxa"/>
          </w:tcPr>
          <w:p>
            <w:pPr>
              <w:pStyle w:val="TableText"/>
            </w:pPr>
            <w:r>
              <w:t xml:space="preserve">Redatto</w:t>
            </w:r>
          </w:p>
        </w:tc>
        <w:tc>
          <w:tcPr>
            <w:tcW w:w="8879" w:type="dxa"/>
          </w:tcPr>
          <w:p>
            <w:pPr>
              <w:pStyle w:val="TableText"/>
            </w:pPr>
            <w:r>
              <w:t xml:space="preserve">da compilare</w:t>
            </w:r>
          </w:p>
        </w:tc>
      </w:tr>
      <w:tr>
        <w:tc>
          <w:tcPr>
            <w:tcW w:w="759" w:type="dxa"/>
          </w:tcPr>
          <w:p>
            <w:pPr>
              <w:pStyle w:val="TableText"/>
            </w:pPr>
            <w:r>
              <w:t xml:space="preserve">Verificato</w:t>
            </w:r>
          </w:p>
        </w:tc>
        <w:tc>
          <w:tcPr>
            <w:tcW w:w="8879" w:type="dxa"/>
          </w:tcPr>
          <w:p>
            <w:pPr>
              <w:pStyle w:val="TableText"/>
            </w:pPr>
            <w:r>
              <w:t xml:space="preserve">da compilare</w:t>
            </w:r>
          </w:p>
        </w:tc>
      </w:tr>
      <w:tr>
        <w:tc>
          <w:tcPr>
            <w:tcW w:w="759" w:type="dxa"/>
          </w:tcPr>
          <w:p>
            <w:pPr>
              <w:pStyle w:val="TableText"/>
            </w:pPr>
            <w:r>
              <w:t xml:space="preserve">Approvato</w:t>
            </w:r>
          </w:p>
        </w:tc>
        <w:tc>
          <w:tcPr>
            <w:tcW w:w="8879" w:type="dxa"/>
          </w:tcPr>
          <w:p>
            <w:pPr>
              <w:pStyle w:val="TableText"/>
            </w:pPr>
            <w:r>
              <w:t xml:space="preserve">da compilare</w:t>
            </w:r>
          </w:p>
        </w:tc>
      </w:tr>
    </w:tbl>
    <w:p>
      <w:pPr>
        <w:pStyle w:val="Normal"/>
        <w:spacing w:after="60"/>
      </w:pP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743"/>
        <w:gridCol w:w="1393"/>
        <w:gridCol w:w="3484"/>
        <w:gridCol w:w="1126"/>
        <w:gridCol w:w="1510"/>
        <w:gridCol w:w="1382"/>
      </w:tblGrid>
      <w:tr>
        <w:trPr>
          <w:tblHeader/>
        </w:trPr>
        <w:tc>
          <w:tcPr>
            <w:tcW w:w="743" w:type="dxa"/>
            <w:shd w:val="clear" w:color="auto" w:fill="E3EAEC"/>
          </w:tcPr>
          <w:p>
            <w:pPr>
              <w:pStyle w:val="TableText"/>
            </w:pPr>
            <w:r>
              <w:rPr>
                <w:b/>
              </w:rPr>
              <w:t xml:space="preserve">Rev.</w:t>
            </w:r>
          </w:p>
        </w:tc>
        <w:tc>
          <w:tcPr>
            <w:tcW w:w="1393" w:type="dxa"/>
            <w:shd w:val="clear" w:color="auto" w:fill="E3EAEC"/>
          </w:tcPr>
          <w:p>
            <w:pPr>
              <w:pStyle w:val="TableText"/>
            </w:pPr>
            <w:r>
              <w:rPr>
                <w:b/>
              </w:rPr>
              <w:t xml:space="preserve">Data</w:t>
            </w:r>
          </w:p>
        </w:tc>
        <w:tc>
          <w:tcPr>
            <w:tcW w:w="3484" w:type="dxa"/>
            <w:shd w:val="clear" w:color="auto" w:fill="E3EAEC"/>
          </w:tcPr>
          <w:p>
            <w:pPr>
              <w:pStyle w:val="TableText"/>
            </w:pPr>
            <w:r>
              <w:rPr>
                <w:b/>
              </w:rPr>
              <w:t xml:space="preserve">Descrizione</w:t>
            </w:r>
          </w:p>
        </w:tc>
        <w:tc>
          <w:tcPr>
            <w:tcW w:w="1126" w:type="dxa"/>
            <w:shd w:val="clear" w:color="auto" w:fill="E3EAEC"/>
          </w:tcPr>
          <w:p>
            <w:pPr>
              <w:pStyle w:val="TableText"/>
            </w:pPr>
            <w:r>
              <w:rPr>
                <w:b/>
              </w:rPr>
              <w:t xml:space="preserve">Redatto</w:t>
            </w:r>
          </w:p>
        </w:tc>
        <w:tc>
          <w:tcPr>
            <w:tcW w:w="1510" w:type="dxa"/>
            <w:shd w:val="clear" w:color="auto" w:fill="E3EAEC"/>
          </w:tcPr>
          <w:p>
            <w:pPr>
              <w:pStyle w:val="TableText"/>
            </w:pPr>
            <w:r>
              <w:rPr>
                <w:b/>
              </w:rPr>
              <w:t xml:space="preserve">Verificato</w:t>
            </w:r>
          </w:p>
        </w:tc>
        <w:tc>
          <w:tcPr>
            <w:tcW w:w="1382" w:type="dxa"/>
            <w:shd w:val="clear" w:color="auto" w:fill="E3EAEC"/>
          </w:tcPr>
          <w:p>
            <w:pPr>
              <w:pStyle w:val="TableText"/>
            </w:pPr>
            <w:r>
              <w:rPr>
                <w:b/>
              </w:rPr>
              <w:t xml:space="preserve">Approvato</w:t>
            </w:r>
          </w:p>
        </w:tc>
      </w:tr>
      <w:tr>
        <w:tc>
          <w:tcPr>
            <w:tcW w:w="743" w:type="dxa"/>
          </w:tcPr>
          <w:p>
            <w:pPr>
              <w:pStyle w:val="TableText"/>
            </w:pPr>
            <w:r>
              <w:t xml:space="preserve">A</w:t>
            </w:r>
          </w:p>
        </w:tc>
        <w:tc>
          <w:tcPr>
            <w:tcW w:w="1393" w:type="dxa"/>
          </w:tcPr>
          <w:p>
            <w:pPr>
              <w:pStyle w:val="TableText"/>
            </w:pPr>
            <w:r>
              <w:t xml:space="preserve">27/10/2026</w:t>
            </w:r>
          </w:p>
        </w:tc>
        <w:tc>
          <w:tcPr>
            <w:tcW w:w="3484" w:type="dxa"/>
          </w:tcPr>
          <w:p>
            <w:pPr>
              <w:pStyle w:val="TableText"/>
            </w:pPr>
            <w:r>
              <w:t xml:space="preserve">Prima emissione per commenti</w:t>
            </w:r>
          </w:p>
        </w:tc>
        <w:tc>
          <w:tcPr>
            <w:tcW w:w="1126" w:type="dxa"/>
          </w:tcPr>
          <w:p>
            <w:pPr>
              <w:pStyle w:val="TableText"/>
            </w:pPr>
            <w:r>
              <w:t xml:space="preserve">–</w:t>
            </w:r>
          </w:p>
        </w:tc>
        <w:tc>
          <w:tcPr>
            <w:tcW w:w="1510" w:type="dxa"/>
          </w:tcPr>
          <w:p>
            <w:pPr>
              <w:pStyle w:val="TableText"/>
            </w:pPr>
            <w:r>
              <w:t xml:space="preserve">–</w:t>
            </w:r>
          </w:p>
        </w:tc>
        <w:tc>
          <w:tcPr>
            <w:tcW w:w="1382" w:type="dxa"/>
          </w:tcPr>
          <w:p>
            <w:pPr>
              <w:pStyle w:val="TableText"/>
            </w:pPr>
            <w:r>
              <w:t xml:space="preserve">–</w:t>
            </w:r>
          </w:p>
        </w:tc>
      </w:tr>
    </w:tbl>
    <w:p>
      <w:pPr>
        <w:pStyle w:val="Normal"/>
        <w:spacing w:after="60"/>
      </w:pPr>
    </w:p>
    <w:p>
      <w:pPr>
        <w:pStyle w:val="Quote"/>
      </w:pPr>
      <w:r>
        <w:rPr>
          <w:b/>
        </w:rPr>
        <w:t xml:space="preserve">Avvertenza.</w:t>
      </w:r>
      <w:r>
        <w:t xml:space="preserve"> Quantità, tensioni, correnti, sezioni e prestazioni di questa relazione vengono dal simulatore FV+BESS (</w:t>
      </w:r>
      <w:r>
        <w:rPr>
          <w:rFonts w:ascii="Consolas" w:hAnsi="Consolas" w:cs="Consolas"/>
        </w:rPr>
        <w:t xml:space="preserve">js/engine.js</w:t>
      </w:r>
      <w:r>
        <w:t xml:space="preserve">, funzione </w:t>
      </w:r>
      <w:r>
        <w:rPr>
          <w:rFonts w:ascii="Consolas" w:hAnsi="Consolas" w:cs="Consolas"/>
        </w:rPr>
        <w:t xml:space="preserve">engineering</w:t>
      </w:r>
      <w:r>
        <w:t xml:space="preserve">; risultati in </w:t>
      </w:r>
      <w:r>
        <w:rPr>
          <w:rFonts w:ascii="Consolas" w:hAnsi="Consolas" w:cs="Consolas"/>
        </w:rPr>
        <w:t xml:space="preserve">docs/allegati/A1_Risultati_casi.md</w:t>
      </w:r>
      <w:r>
        <w:t xml:space="preserve">, sezioni 6 e 10) o da calcoli preliminari riportati con formula e dati. Il meteo è sintetico, ricavato da medie mensili, e i componenti sono modelli tipo. Il documento serve alla pre-fattibilità e alla definizione dello scopo. Prima di usarlo in un progetto autorizzativo o esecutivo va validato da un ingegnere abilitato, con dati di sito (PVGIS/TMY, rilievo, indagini geotecniche), schede tecniche dei fornitori scelti e regolamento di esercizio del distributore. I punti segnati </w:t>
      </w:r>
      <w:r>
        <w:rPr>
          <w:b/>
        </w:rPr>
        <w:t xml:space="preserve">[da verificare]</w:t>
      </w:r>
      <w:r>
        <w:t xml:space="preserve"> richiedono un controllo specifico.</w:t>
      </w:r>
    </w:p>
    <w:p>
      <w:pPr>
        <w:pStyle w:val="Normal"/>
        <w:pBdr>
          <w:bottom w:val="single" w:sz="6" w:space="1" w:color="A0A8AE"/>
        </w:pBdr>
      </w:pPr>
    </w:p>
    <w:p>
      <w:pPr>
        <w:pStyle w:val="Heading1"/>
      </w:pPr>
      <w:r>
        <w:t xml:space="preserve">1. Scopo e campo di applicazione</w:t>
      </w:r>
    </w:p>
    <w:p>
      <w:pPr>
        <w:pStyle w:val="Normal"/>
      </w:pPr>
      <w:r>
        <w:t xml:space="preserve">La relazione descrive le scelte progettuali, i criteri di dimensionamento e le verifiche preliminari di un impianto fotovoltaico a terra con struttura fissa da circa </w:t>
      </w:r>
      <w:r>
        <w:rPr>
          <w:b/>
        </w:rPr>
        <w:t xml:space="preserve">3,0 MWp DC / 2,45 MWac</w:t>
      </w:r>
      <w:r>
        <w:t xml:space="preserve">, abbinato a un sistema di accumulo elettrochimico (BESS) agli ioni di litio LFP da </w:t>
      </w:r>
      <w:r>
        <w:rPr>
          <w:b/>
        </w:rPr>
        <w:t xml:space="preserve">2 MWh / 1 MW</w:t>
      </w:r>
      <w:r>
        <w:t xml:space="preserve">. L'impianto è installato in un'area di pertinenza di uno stabilimento manifatturiero in provincia di Milano e funziona in </w:t>
      </w:r>
      <w:r>
        <w:rPr>
          <w:b/>
        </w:rPr>
        <w:t xml:space="preserve">autoconsumo</w:t>
      </w:r>
      <w:r>
        <w:t xml:space="preserve">: è collegato alla cabina utente MT esistente a 15 kV, a valle del punto di consegna del distributore.</w:t>
      </w:r>
    </w:p>
    <w:p>
      <w:pPr>
        <w:pStyle w:val="Normal"/>
      </w:pPr>
      <w:r>
        <w:t xml:space="preserve">La relazione copre:</w:t>
      </w:r>
    </w:p>
    <w:p>
      <w:pPr>
        <w:pStyle w:val="ListParagraph"/>
      </w:pPr>
      <w:r>
        <w:t xml:space="preserve">•  </w:t>
      </w:r>
      <w:r>
        <w:t xml:space="preserve">il generatore fotovoltaico, la conversione DC/AC e la trasformazione BT/MT;</w:t>
      </w:r>
    </w:p>
    <w:p>
      <w:pPr>
        <w:pStyle w:val="ListParagraph"/>
      </w:pPr>
      <w:r>
        <w:t xml:space="preserve">•  </w:t>
      </w:r>
      <w:r>
        <w:t xml:space="preserve">il sistema di accumulo (architettura, sicurezza, logiche di controllo);</w:t>
      </w:r>
    </w:p>
    <w:p>
      <w:pPr>
        <w:pStyle w:val="ListParagraph"/>
      </w:pPr>
      <w:r>
        <w:t xml:space="preserve">•  </w:t>
      </w:r>
      <w:r>
        <w:t xml:space="preserve">l'interfaccia con la rete e con la cabina utente (protezioni CEI 0-16, controllore centrale d'impianto);</w:t>
      </w:r>
    </w:p>
    <w:p>
      <w:pPr>
        <w:pStyle w:val="ListParagraph"/>
      </w:pPr>
      <w:r>
        <w:t xml:space="preserve">•  </w:t>
      </w:r>
      <w:r>
        <w:t xml:space="preserve">impianto di terra, protezione dai fulmini, opere civili e strutturali, monitoraggio;</w:t>
      </w:r>
    </w:p>
    <w:p>
      <w:pPr>
        <w:pStyle w:val="ListParagraph"/>
      </w:pPr>
      <w:r>
        <w:t xml:space="preserve">•  </w:t>
      </w:r>
      <w:r>
        <w:t xml:space="preserve">prevenzione incendi, iter autorizzativo, collaudi, manutenzione, elenco elaborati, rischi.</w:t>
      </w:r>
    </w:p>
    <w:p>
      <w:pPr>
        <w:pStyle w:val="Normal"/>
      </w:pPr>
      <w:r>
        <w:t xml:space="preserve">Non copre il progetto esecutivo strutturale, la relazione geologica, il progetto della rete del distributore né l'analisi economica, per cui si rimanda a </w:t>
      </w:r>
      <w:r>
        <w:rPr>
          <w:rFonts w:ascii="Consolas" w:hAnsi="Consolas" w:cs="Consolas"/>
        </w:rPr>
        <w:t xml:space="preserve">02_Analisi_Economica.md</w:t>
      </w:r>
      <w:r>
        <w:t xml:space="preserve"> e </w:t>
      </w:r>
      <w:r>
        <w:rPr>
          <w:rFonts w:ascii="Consolas" w:hAnsi="Consolas" w:cs="Consolas"/>
        </w:rPr>
        <w:t xml:space="preserve">04_Valutazione_CAPEX.md</w:t>
      </w:r>
      <w:r>
        <w:t xml:space="preserve">.</w:t>
      </w:r>
    </w:p>
    <w:p>
      <w:pPr>
        <w:pStyle w:val="Normal"/>
        <w:pBdr>
          <w:bottom w:val="single" w:sz="6" w:space="1" w:color="A0A8AE"/>
        </w:pBdr>
      </w:pPr>
    </w:p>
    <w:p>
      <w:pPr>
        <w:pStyle w:val="Heading1"/>
      </w:pPr>
      <w:r>
        <w:t xml:space="preserve">2. Basi di progetto</w:t>
      </w:r>
    </w:p>
    <w:p>
      <w:pPr>
        <w:pStyle w:val="Heading2"/>
      </w:pPr>
      <w:r>
        <w:t xml:space="preserve">2.1 Dati di sito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178"/>
        <w:gridCol w:w="3491"/>
        <w:gridCol w:w="2970"/>
      </w:tblGrid>
      <w:tr>
        <w:trPr>
          <w:tblHeader/>
        </w:trPr>
        <w:tc>
          <w:tcPr>
            <w:tcW w:w="3178" w:type="dxa"/>
            <w:shd w:val="clear" w:color="auto" w:fill="E3EAEC"/>
          </w:tcPr>
          <w:p>
            <w:pPr>
              <w:pStyle w:val="TableText"/>
            </w:pPr>
            <w:r>
              <w:rPr>
                <w:b/>
              </w:rPr>
              <w:t xml:space="preserve">Grandezza</w:t>
            </w:r>
          </w:p>
        </w:tc>
        <w:tc>
          <w:tcPr>
            <w:tcW w:w="3491" w:type="dxa"/>
            <w:shd w:val="clear" w:color="auto" w:fill="E3EAEC"/>
          </w:tcPr>
          <w:p>
            <w:pPr>
              <w:pStyle w:val="TableText"/>
            </w:pPr>
            <w:r>
              <w:rPr>
                <w:b/>
              </w:rPr>
              <w:t xml:space="preserve">Valore</w:t>
            </w:r>
          </w:p>
        </w:tc>
        <w:tc>
          <w:tcPr>
            <w:tcW w:w="2970" w:type="dxa"/>
            <w:shd w:val="clear" w:color="auto" w:fill="E3EAEC"/>
          </w:tcPr>
          <w:p>
            <w:pPr>
              <w:pStyle w:val="TableText"/>
            </w:pPr>
            <w:r>
              <w:rPr>
                <w:b/>
              </w:rPr>
              <w:t xml:space="preserve">Fonte / nota</w:t>
            </w:r>
          </w:p>
        </w:tc>
      </w:tr>
      <w:tr>
        <w:tc>
          <w:tcPr>
            <w:tcW w:w="3178" w:type="dxa"/>
          </w:tcPr>
          <w:p>
            <w:pPr>
              <w:pStyle w:val="TableText"/>
            </w:pPr>
            <w:r>
              <w:t xml:space="preserve">Località</w:t>
            </w:r>
          </w:p>
        </w:tc>
        <w:tc>
          <w:tcPr>
            <w:tcW w:w="3491" w:type="dxa"/>
          </w:tcPr>
          <w:p>
            <w:pPr>
              <w:pStyle w:val="TableText"/>
            </w:pPr>
            <w:r>
              <w:t xml:space="preserve">Milano (Lombardia), area industriale</w:t>
            </w:r>
          </w:p>
        </w:tc>
        <w:tc>
          <w:tcPr>
            <w:tcW w:w="2970" w:type="dxa"/>
          </w:tcPr>
          <w:p>
            <w:pPr>
              <w:pStyle w:val="TableText"/>
            </w:pPr>
            <w:r>
              <w:t xml:space="preserve">caso A del simulatore</w:t>
            </w:r>
          </w:p>
        </w:tc>
      </w:tr>
      <w:tr>
        <w:tc>
          <w:tcPr>
            <w:tcW w:w="3178" w:type="dxa"/>
          </w:tcPr>
          <w:p>
            <w:pPr>
              <w:pStyle w:val="TableText"/>
            </w:pPr>
            <w:r>
              <w:t xml:space="preserve">Coordinate di calcolo</w:t>
            </w:r>
          </w:p>
        </w:tc>
        <w:tc>
          <w:tcPr>
            <w:tcW w:w="3491" w:type="dxa"/>
          </w:tcPr>
          <w:p>
            <w:pPr>
              <w:pStyle w:val="TableText"/>
            </w:pPr>
            <w:r>
              <w:t xml:space="preserve">45,46° N; 9,19° E</w:t>
            </w:r>
          </w:p>
        </w:tc>
        <w:tc>
          <w:tcPr>
            <w:tcW w:w="2970" w:type="dxa"/>
          </w:tcPr>
          <w:p>
            <w:pPr>
              <w:pStyle w:val="TableText"/>
            </w:pPr>
            <w:r>
              <w:rPr>
                <w:rFonts w:ascii="Consolas" w:hAnsi="Consolas" w:cs="Consolas"/>
              </w:rPr>
              <w:t xml:space="preserve">js/data.js</w:t>
            </w:r>
            <w:r>
              <w:t xml:space="preserve"> (SITES.milano)</w:t>
            </w:r>
          </w:p>
        </w:tc>
      </w:tr>
      <w:tr>
        <w:tc>
          <w:tcPr>
            <w:tcW w:w="3178" w:type="dxa"/>
          </w:tcPr>
          <w:p>
            <w:pPr>
              <w:pStyle w:val="TableText"/>
            </w:pPr>
            <w:r>
              <w:t xml:space="preserve">Quota</w:t>
            </w:r>
          </w:p>
        </w:tc>
        <w:tc>
          <w:tcPr>
            <w:tcW w:w="3491" w:type="dxa"/>
          </w:tcPr>
          <w:p>
            <w:pPr>
              <w:pStyle w:val="TableText"/>
            </w:pPr>
            <w:r>
              <w:t xml:space="preserve">circa 120 m s.l.m.</w:t>
            </w:r>
          </w:p>
        </w:tc>
        <w:tc>
          <w:tcPr>
            <w:tcW w:w="2970" w:type="dxa"/>
          </w:tcPr>
          <w:p>
            <w:pPr>
              <w:pStyle w:val="TableText"/>
            </w:pPr>
            <w:r>
              <w:t xml:space="preserve">[da verificare] sul rilievo</w:t>
            </w:r>
          </w:p>
        </w:tc>
      </w:tr>
      <w:tr>
        <w:tc>
          <w:tcPr>
            <w:tcW w:w="3178" w:type="dxa"/>
          </w:tcPr>
          <w:p>
            <w:pPr>
              <w:pStyle w:val="TableText"/>
            </w:pPr>
            <w:r>
              <w:t xml:space="preserve">Zona di mercato</w:t>
            </w:r>
          </w:p>
        </w:tc>
        <w:tc>
          <w:tcPr>
            <w:tcW w:w="3491" w:type="dxa"/>
          </w:tcPr>
          <w:p>
            <w:pPr>
              <w:pStyle w:val="TableText"/>
            </w:pPr>
            <w:r>
              <w:t xml:space="preserve">NORD</w:t>
            </w:r>
          </w:p>
        </w:tc>
        <w:tc>
          <w:tcPr>
            <w:tcW w:w="2970" w:type="dxa"/>
          </w:tcPr>
          <w:p>
            <w:pPr>
              <w:pStyle w:val="TableText"/>
            </w:pPr>
            <w:r>
              <w:t xml:space="preserve"/>
            </w:r>
          </w:p>
        </w:tc>
      </w:tr>
      <w:tr>
        <w:tc>
          <w:tcPr>
            <w:tcW w:w="3178" w:type="dxa"/>
          </w:tcPr>
          <w:p>
            <w:pPr>
              <w:pStyle w:val="TableText"/>
            </w:pPr>
            <w:r>
              <w:t xml:space="preserve">Irraggiamento globale orizzontale</w:t>
            </w:r>
          </w:p>
        </w:tc>
        <w:tc>
          <w:tcPr>
            <w:tcW w:w="3491" w:type="dxa"/>
          </w:tcPr>
          <w:p>
            <w:pPr>
              <w:pStyle w:val="TableText"/>
            </w:pPr>
            <w:r>
              <w:t xml:space="preserve">1.320 kWh/m²·a circa (media mensile da 1,10 a 6,45 kWh/m²·giorno)</w:t>
            </w:r>
          </w:p>
        </w:tc>
        <w:tc>
          <w:tcPr>
            <w:tcW w:w="2970" w:type="dxa"/>
          </w:tcPr>
          <w:p>
            <w:pPr>
              <w:pStyle w:val="TableText"/>
            </w:pPr>
            <w:r>
              <w:t xml:space="preserve">atlante; per l'esecutivo usare PVGIS-SARAH TMY</w:t>
            </w:r>
          </w:p>
        </w:tc>
      </w:tr>
      <w:tr>
        <w:tc>
          <w:tcPr>
            <w:tcW w:w="3178" w:type="dxa"/>
          </w:tcPr>
          <w:p>
            <w:pPr>
              <w:pStyle w:val="TableText"/>
            </w:pPr>
            <w:r>
              <w:t xml:space="preserve">Irraggiamento sul piano dei moduli (incl. retro bifacciale)</w:t>
            </w:r>
          </w:p>
        </w:tc>
        <w:tc>
          <w:tcPr>
            <w:tcW w:w="3491" w:type="dxa"/>
          </w:tcPr>
          <w:p>
            <w:pPr>
              <w:pStyle w:val="TableText"/>
            </w:pPr>
            <w:r>
              <w:t xml:space="preserve">1.519 kWh/m²·a</w:t>
            </w:r>
          </w:p>
        </w:tc>
        <w:tc>
          <w:tcPr>
            <w:tcW w:w="2970" w:type="dxa"/>
          </w:tcPr>
          <w:p>
            <w:pPr>
              <w:pStyle w:val="TableText"/>
            </w:pPr>
            <w:r>
              <w:t xml:space="preserve">simulatore</w:t>
            </w:r>
          </w:p>
        </w:tc>
      </w:tr>
      <w:tr>
        <w:tc>
          <w:tcPr>
            <w:tcW w:w="3178" w:type="dxa"/>
          </w:tcPr>
          <w:p>
            <w:pPr>
              <w:pStyle w:val="TableText"/>
            </w:pPr>
            <w:r>
              <w:t xml:space="preserve">Superficie disponibile richiesta</w:t>
            </w:r>
          </w:p>
        </w:tc>
        <w:tc>
          <w:tcPr>
            <w:tcW w:w="3491" w:type="dxa"/>
          </w:tcPr>
          <w:p>
            <w:pPr>
              <w:pStyle w:val="TableText"/>
            </w:pPr>
            <w:r>
              <w:t xml:space="preserve">3,58 ha (moduli 13.085 m², GCR 0,42, +15 % viabilità e fasce)</w:t>
            </w:r>
          </w:p>
        </w:tc>
        <w:tc>
          <w:tcPr>
            <w:tcW w:w="2970" w:type="dxa"/>
          </w:tcPr>
          <w:p>
            <w:pPr>
              <w:pStyle w:val="TableText"/>
            </w:pPr>
            <w:r>
              <w:t xml:space="preserve">A1 § 10</w:t>
            </w:r>
          </w:p>
        </w:tc>
      </w:tr>
      <w:tr>
        <w:tc>
          <w:tcPr>
            <w:tcW w:w="3178" w:type="dxa"/>
          </w:tcPr>
          <w:p>
            <w:pPr>
              <w:pStyle w:val="TableText"/>
            </w:pPr>
            <w:r>
              <w:t xml:space="preserve">Zona sismica</w:t>
            </w:r>
          </w:p>
        </w:tc>
        <w:tc>
          <w:tcPr>
            <w:tcW w:w="3491" w:type="dxa"/>
          </w:tcPr>
          <w:p>
            <w:pPr>
              <w:pStyle w:val="TableText"/>
            </w:pPr>
            <w:r>
              <w:t xml:space="preserve">4 (bassa sismicità)</w:t>
            </w:r>
          </w:p>
        </w:tc>
        <w:tc>
          <w:tcPr>
            <w:tcW w:w="2970" w:type="dxa"/>
          </w:tcPr>
          <w:p>
            <w:pPr>
              <w:pStyle w:val="TableText"/>
            </w:pPr>
            <w:r>
              <w:t xml:space="preserve">[da verificare] sulla classificazione regionale vigente</w:t>
            </w:r>
          </w:p>
        </w:tc>
      </w:tr>
      <w:tr>
        <w:tc>
          <w:tcPr>
            <w:tcW w:w="3178" w:type="dxa"/>
          </w:tcPr>
          <w:p>
            <w:pPr>
              <w:pStyle w:val="TableText"/>
            </w:pPr>
            <w:r>
              <w:t xml:space="preserve">Zona vento NTC 2018</w:t>
            </w:r>
          </w:p>
        </w:tc>
        <w:tc>
          <w:tcPr>
            <w:tcW w:w="3491" w:type="dxa"/>
          </w:tcPr>
          <w:p>
            <w:pPr>
              <w:pStyle w:val="TableText"/>
            </w:pPr>
            <w:r>
              <w:t xml:space="preserve">1 (vb,0 = 25 m/s)</w:t>
            </w:r>
          </w:p>
        </w:tc>
        <w:tc>
          <w:tcPr>
            <w:tcW w:w="2970" w:type="dxa"/>
          </w:tcPr>
          <w:p>
            <w:pPr>
              <w:pStyle w:val="TableText"/>
            </w:pPr>
            <w:r>
              <w:t xml:space="preserve">§ 10.2</w:t>
            </w:r>
          </w:p>
        </w:tc>
      </w:tr>
      <w:tr>
        <w:tc>
          <w:tcPr>
            <w:tcW w:w="3178" w:type="dxa"/>
          </w:tcPr>
          <w:p>
            <w:pPr>
              <w:pStyle w:val="TableText"/>
            </w:pPr>
            <w:r>
              <w:t xml:space="preserve">Zona neve NTC 2018</w:t>
            </w:r>
          </w:p>
        </w:tc>
        <w:tc>
          <w:tcPr>
            <w:tcW w:w="3491" w:type="dxa"/>
          </w:tcPr>
          <w:p>
            <w:pPr>
              <w:pStyle w:val="TableText"/>
            </w:pPr>
            <w:r>
              <w:t xml:space="preserve">I-Mediterranea (qsk = 1,50 kN/m² per as ≤ 200 m)</w:t>
            </w:r>
          </w:p>
        </w:tc>
        <w:tc>
          <w:tcPr>
            <w:tcW w:w="2970" w:type="dxa"/>
          </w:tcPr>
          <w:p>
            <w:pPr>
              <w:pStyle w:val="TableText"/>
            </w:pPr>
            <w:r>
              <w:t xml:space="preserve">§ 10.2</w:t>
            </w:r>
          </w:p>
        </w:tc>
      </w:tr>
    </w:tbl>
    <w:p>
      <w:pPr>
        <w:pStyle w:val="Normal"/>
        <w:spacing w:after="60"/>
      </w:pPr>
    </w:p>
    <w:p>
      <w:pPr>
        <w:pStyle w:val="Heading2"/>
      </w:pPr>
      <w:r>
        <w:t xml:space="preserve">2.2 Dati climatici di progetto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187"/>
        <w:gridCol w:w="1366"/>
        <w:gridCol w:w="5085"/>
      </w:tblGrid>
      <w:tr>
        <w:trPr>
          <w:tblHeader/>
        </w:trPr>
        <w:tc>
          <w:tcPr>
            <w:tcW w:w="3187" w:type="dxa"/>
            <w:shd w:val="clear" w:color="auto" w:fill="E3EAEC"/>
          </w:tcPr>
          <w:p>
            <w:pPr>
              <w:pStyle w:val="TableText"/>
            </w:pPr>
            <w:r>
              <w:rPr>
                <w:b/>
              </w:rPr>
              <w:t xml:space="preserve">Grandezza</w:t>
            </w:r>
          </w:p>
        </w:tc>
        <w:tc>
          <w:tcPr>
            <w:tcW w:w="1366" w:type="dxa"/>
            <w:shd w:val="clear" w:color="auto" w:fill="E3EAEC"/>
          </w:tcPr>
          <w:p>
            <w:pPr>
              <w:pStyle w:val="TableText"/>
            </w:pPr>
            <w:r>
              <w:rPr>
                <w:b/>
              </w:rPr>
              <w:t xml:space="preserve">Valore</w:t>
            </w:r>
          </w:p>
        </w:tc>
        <w:tc>
          <w:tcPr>
            <w:tcW w:w="5085" w:type="dxa"/>
            <w:shd w:val="clear" w:color="auto" w:fill="E3EAEC"/>
          </w:tcPr>
          <w:p>
            <w:pPr>
              <w:pStyle w:val="TableText"/>
            </w:pPr>
            <w:r>
              <w:rPr>
                <w:b/>
              </w:rPr>
              <w:t xml:space="preserve">Criterio</w:t>
            </w:r>
          </w:p>
        </w:tc>
      </w:tr>
      <w:tr>
        <w:tc>
          <w:tcPr>
            <w:tcW w:w="3187" w:type="dxa"/>
          </w:tcPr>
          <w:p>
            <w:pPr>
              <w:pStyle w:val="TableText"/>
            </w:pPr>
            <w:r>
              <w:t xml:space="preserve">Temperatura media mensile minima</w:t>
            </w:r>
          </w:p>
        </w:tc>
        <w:tc>
          <w:tcPr>
            <w:tcW w:w="1366" w:type="dxa"/>
          </w:tcPr>
          <w:p>
            <w:pPr>
              <w:pStyle w:val="TableText"/>
            </w:pPr>
            <w:r>
              <w:t xml:space="preserve">2,5 °C (gennaio)</w:t>
            </w:r>
          </w:p>
        </w:tc>
        <w:tc>
          <w:tcPr>
            <w:tcW w:w="5085" w:type="dxa"/>
          </w:tcPr>
          <w:p>
            <w:pPr>
              <w:pStyle w:val="TableText"/>
            </w:pPr>
            <w:r>
              <w:t xml:space="preserve">dati di sito</w:t>
            </w:r>
          </w:p>
        </w:tc>
      </w:tr>
      <w:tr>
        <w:tc>
          <w:tcPr>
            <w:tcW w:w="3187" w:type="dxa"/>
          </w:tcPr>
          <w:p>
            <w:pPr>
              <w:pStyle w:val="TableText"/>
            </w:pPr>
            <w:r>
              <w:t xml:space="preserve">Temperatura media mensile massima</w:t>
            </w:r>
          </w:p>
        </w:tc>
        <w:tc>
          <w:tcPr>
            <w:tcW w:w="1366" w:type="dxa"/>
          </w:tcPr>
          <w:p>
            <w:pPr>
              <w:pStyle w:val="TableText"/>
            </w:pPr>
            <w:r>
              <w:t xml:space="preserve">24,0 °C (luglio)</w:t>
            </w:r>
          </w:p>
        </w:tc>
        <w:tc>
          <w:tcPr>
            <w:tcW w:w="5085" w:type="dxa"/>
          </w:tcPr>
          <w:p>
            <w:pPr>
              <w:pStyle w:val="TableText"/>
            </w:pPr>
            <w:r>
              <w:t xml:space="preserve">dati di sito</w:t>
            </w:r>
          </w:p>
        </w:tc>
      </w:tr>
      <w:tr>
        <w:tc>
          <w:tcPr>
            <w:tcW w:w="3187" w:type="dxa"/>
          </w:tcPr>
          <w:p>
            <w:pPr>
              <w:pStyle w:val="TableText"/>
            </w:pPr>
            <w:r>
              <w:rPr>
                <w:b/>
              </w:rPr>
              <w:t xml:space="preserve">Temperatura minima di progetto</w:t>
            </w:r>
          </w:p>
        </w:tc>
        <w:tc>
          <w:tcPr>
            <w:tcW w:w="1366" w:type="dxa"/>
          </w:tcPr>
          <w:p>
            <w:pPr>
              <w:pStyle w:val="TableText"/>
            </w:pPr>
            <w:r>
              <w:rPr>
                <w:b/>
              </w:rPr>
              <w:t xml:space="preserve">−9,5 °C</w:t>
            </w:r>
          </w:p>
        </w:tc>
        <w:tc>
          <w:tcPr>
            <w:tcW w:w="5085" w:type="dxa"/>
          </w:tcPr>
          <w:p>
            <w:pPr>
              <w:pStyle w:val="TableText"/>
            </w:pPr>
            <w:r>
              <w:t xml:space="preserve">media mensile minima − 12 °C (criterio del simulatore per la Voc)</w:t>
            </w:r>
          </w:p>
        </w:tc>
      </w:tr>
      <w:tr>
        <w:tc>
          <w:tcPr>
            <w:tcW w:w="3187" w:type="dxa"/>
          </w:tcPr>
          <w:p>
            <w:pPr>
              <w:pStyle w:val="TableText"/>
            </w:pPr>
            <w:r>
              <w:rPr>
                <w:b/>
              </w:rPr>
              <w:t xml:space="preserve">Temperatura ambiente massima di progetto</w:t>
            </w:r>
          </w:p>
        </w:tc>
        <w:tc>
          <w:tcPr>
            <w:tcW w:w="1366" w:type="dxa"/>
          </w:tcPr>
          <w:p>
            <w:pPr>
              <w:pStyle w:val="TableText"/>
            </w:pPr>
            <w:r>
              <w:rPr>
                <w:b/>
              </w:rPr>
              <w:t xml:space="preserve">36,0 °C</w:t>
            </w:r>
          </w:p>
        </w:tc>
        <w:tc>
          <w:tcPr>
            <w:tcW w:w="5085" w:type="dxa"/>
          </w:tcPr>
          <w:p>
            <w:pPr>
              <w:pStyle w:val="TableText"/>
            </w:pPr>
            <w:r>
              <w:t xml:space="preserve">media mensile massima + 12 °C</w:t>
            </w:r>
          </w:p>
        </w:tc>
      </w:tr>
      <w:tr>
        <w:tc>
          <w:tcPr>
            <w:tcW w:w="3187" w:type="dxa"/>
          </w:tcPr>
          <w:p>
            <w:pPr>
              <w:pStyle w:val="TableText"/>
            </w:pPr>
            <w:r>
              <w:rPr>
                <w:b/>
              </w:rPr>
              <w:t xml:space="preserve">Temperatura di cella massima</w:t>
            </w:r>
          </w:p>
        </w:tc>
        <w:tc>
          <w:tcPr>
            <w:tcW w:w="1366" w:type="dxa"/>
          </w:tcPr>
          <w:p>
            <w:pPr>
              <w:pStyle w:val="TableText"/>
            </w:pPr>
            <w:r>
              <w:rPr>
                <w:b/>
              </w:rPr>
              <w:t xml:space="preserve">64,8 °C</w:t>
            </w:r>
          </w:p>
        </w:tc>
        <w:tc>
          <w:tcPr>
            <w:tcW w:w="5085" w:type="dxa"/>
          </w:tcPr>
          <w:p>
            <w:pPr>
              <w:pStyle w:val="TableText"/>
            </w:pPr>
            <w:r>
              <w:t xml:space="preserve">Tamb,max + (NOCT − 20) × 1,25 = 36 + 23 × 1,25</w:t>
            </w:r>
          </w:p>
        </w:tc>
      </w:tr>
      <w:tr>
        <w:tc>
          <w:tcPr>
            <w:tcW w:w="3187" w:type="dxa"/>
          </w:tcPr>
          <w:p>
            <w:pPr>
              <w:pStyle w:val="TableText"/>
            </w:pPr>
            <w:r>
              <w:t xml:space="preserve">Albedo del terreno</w:t>
            </w:r>
          </w:p>
        </w:tc>
        <w:tc>
          <w:tcPr>
            <w:tcW w:w="1366" w:type="dxa"/>
          </w:tcPr>
          <w:p>
            <w:pPr>
              <w:pStyle w:val="TableText"/>
            </w:pPr>
            <w:r>
              <w:t xml:space="preserve">0,20</w:t>
            </w:r>
          </w:p>
        </w:tc>
        <w:tc>
          <w:tcPr>
            <w:tcW w:w="5085" w:type="dxa"/>
          </w:tcPr>
          <w:p>
            <w:pPr>
              <w:pStyle w:val="TableText"/>
            </w:pPr>
            <w:r>
              <w:t xml:space="preserve">prato; valore da misurare per la resa bifacciale</w:t>
            </w:r>
          </w:p>
        </w:tc>
      </w:tr>
    </w:tbl>
    <w:p>
      <w:pPr>
        <w:pStyle w:val="Normal"/>
        <w:spacing w:after="60"/>
      </w:pPr>
    </w:p>
    <w:p>
      <w:pPr>
        <w:pStyle w:val="Normal"/>
      </w:pPr>
      <w:r>
        <w:t xml:space="preserve">La temperatura minima di progetto va confermata con la serie storica della stazione meteo più vicina (minima assoluta con tempo di ritorno adeguato) </w:t>
      </w:r>
      <w:r>
        <w:rPr>
          <w:b/>
        </w:rPr>
        <w:t xml:space="preserve">[da verificare]</w:t>
      </w:r>
      <w:r>
        <w:t xml:space="preserve">: a parità di modulo stabilisce il numero massimo di moduli in serie.</w:t>
      </w:r>
    </w:p>
    <w:p>
      <w:pPr>
        <w:pStyle w:val="Heading2"/>
      </w:pPr>
      <w:r>
        <w:t xml:space="preserve">2.3 Dati di carico dello stabilimento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283"/>
        <w:gridCol w:w="6355"/>
      </w:tblGrid>
      <w:tr>
        <w:trPr>
          <w:tblHeader/>
        </w:trPr>
        <w:tc>
          <w:tcPr>
            <w:tcW w:w="3283" w:type="dxa"/>
            <w:shd w:val="clear" w:color="auto" w:fill="E3EAEC"/>
          </w:tcPr>
          <w:p>
            <w:pPr>
              <w:pStyle w:val="TableText"/>
            </w:pPr>
            <w:r>
              <w:rPr>
                <w:b/>
              </w:rPr>
              <w:t xml:space="preserve">Grandezza</w:t>
            </w:r>
          </w:p>
        </w:tc>
        <w:tc>
          <w:tcPr>
            <w:tcW w:w="6355" w:type="dxa"/>
            <w:shd w:val="clear" w:color="auto" w:fill="E3EAEC"/>
          </w:tcPr>
          <w:p>
            <w:pPr>
              <w:pStyle w:val="TableText"/>
            </w:pPr>
            <w:r>
              <w:rPr>
                <w:b/>
              </w:rPr>
              <w:t xml:space="preserve">Valore</w:t>
            </w:r>
          </w:p>
        </w:tc>
      </w:tr>
      <w:tr>
        <w:tc>
          <w:tcPr>
            <w:tcW w:w="3283" w:type="dxa"/>
          </w:tcPr>
          <w:p>
            <w:pPr>
              <w:pStyle w:val="TableText"/>
            </w:pPr>
            <w:r>
              <w:t xml:space="preserve">Consumo annuo</w:t>
            </w:r>
          </w:p>
        </w:tc>
        <w:tc>
          <w:tcPr>
            <w:tcW w:w="6355" w:type="dxa"/>
          </w:tcPr>
          <w:p>
            <w:pPr>
              <w:pStyle w:val="TableText"/>
            </w:pPr>
            <w:r>
              <w:t xml:space="preserve">9.000 MWh/a</w:t>
            </w:r>
          </w:p>
        </w:tc>
      </w:tr>
      <w:tr>
        <w:tc>
          <w:tcPr>
            <w:tcW w:w="3283" w:type="dxa"/>
          </w:tcPr>
          <w:p>
            <w:pPr>
              <w:pStyle w:val="TableText"/>
            </w:pPr>
            <w:r>
              <w:t xml:space="preserve">Organizzazione</w:t>
            </w:r>
          </w:p>
        </w:tc>
        <w:tc>
          <w:tcPr>
            <w:tcW w:w="6355" w:type="dxa"/>
          </w:tcPr>
          <w:p>
            <w:pPr>
              <w:pStyle w:val="TableText"/>
            </w:pPr>
            <w:r>
              <w:t xml:space="preserve">2 turni (6–22, lunedì–venerdì), sabato ridotto, fermata estiva di 2 settimane e natalizia</w:t>
            </w:r>
          </w:p>
        </w:tc>
      </w:tr>
      <w:tr>
        <w:tc>
          <w:tcPr>
            <w:tcW w:w="3283" w:type="dxa"/>
          </w:tcPr>
          <w:p>
            <w:pPr>
              <w:pStyle w:val="TableText"/>
            </w:pPr>
            <w:r>
              <w:t xml:space="preserve">Picco di prelievo annuo senza impianto</w:t>
            </w:r>
          </w:p>
        </w:tc>
        <w:tc>
          <w:tcPr>
            <w:tcW w:w="6355" w:type="dxa"/>
          </w:tcPr>
          <w:p>
            <w:pPr>
              <w:pStyle w:val="TableText"/>
            </w:pPr>
            <w:r>
              <w:t xml:space="preserve">2.209 kW</w:t>
            </w:r>
          </w:p>
        </w:tc>
      </w:tr>
      <w:tr>
        <w:tc>
          <w:tcPr>
            <w:tcW w:w="3283" w:type="dxa"/>
          </w:tcPr>
          <w:p>
            <w:pPr>
              <w:pStyle w:val="TableText"/>
            </w:pPr>
            <w:r>
              <w:t xml:space="preserve">Picco di prelievo annuo con impianto (caso A)</w:t>
            </w:r>
          </w:p>
        </w:tc>
        <w:tc>
          <w:tcPr>
            <w:tcW w:w="6355" w:type="dxa"/>
          </w:tcPr>
          <w:p>
            <w:pPr>
              <w:pStyle w:val="TableText"/>
            </w:pPr>
            <w:r>
              <w:t xml:space="preserve">2.096 kW</w:t>
            </w:r>
          </w:p>
        </w:tc>
      </w:tr>
      <w:tr>
        <w:tc>
          <w:tcPr>
            <w:tcW w:w="3283" w:type="dxa"/>
          </w:tcPr>
          <w:p>
            <w:pPr>
              <w:pStyle w:val="TableText"/>
            </w:pPr>
            <w:r>
              <w:t xml:space="preserve">Potenza disponibile in prelievo</w:t>
            </w:r>
          </w:p>
        </w:tc>
        <w:tc>
          <w:tcPr>
            <w:tcW w:w="6355" w:type="dxa"/>
          </w:tcPr>
          <w:p>
            <w:pPr>
              <w:pStyle w:val="TableText"/>
            </w:pPr>
            <w:r>
              <w:t xml:space="preserve">4.000 kW</w:t>
            </w:r>
          </w:p>
        </w:tc>
      </w:tr>
      <w:tr>
        <w:tc>
          <w:tcPr>
            <w:tcW w:w="3283" w:type="dxa"/>
          </w:tcPr>
          <w:p>
            <w:pPr>
              <w:pStyle w:val="TableText"/>
            </w:pPr>
            <w:r>
              <w:t xml:space="preserve">Potenza in immissione richiesta</w:t>
            </w:r>
          </w:p>
        </w:tc>
        <w:tc>
          <w:tcPr>
            <w:tcW w:w="6355" w:type="dxa"/>
          </w:tcPr>
          <w:p>
            <w:pPr>
              <w:pStyle w:val="TableText"/>
            </w:pPr>
            <w:r>
              <w:t xml:space="preserve">3.000 kW</w:t>
            </w:r>
          </w:p>
        </w:tc>
      </w:tr>
    </w:tbl>
    <w:p>
      <w:pPr>
        <w:pStyle w:val="Normal"/>
        <w:spacing w:after="60"/>
      </w:pPr>
    </w:p>
    <w:p>
      <w:pPr>
        <w:pStyle w:val="Normal"/>
      </w:pPr>
      <w:r>
        <w:t xml:space="preserve">Il profilo di carico del simulatore è sintetico. Per il progetto definitivo si deve acquisire la curva quartoraria misurata (almeno 12 mesi) dal distributore o dal contatore fiscale.</w:t>
      </w:r>
    </w:p>
    <w:p>
      <w:pPr>
        <w:pStyle w:val="Heading2"/>
      </w:pPr>
      <w:r>
        <w:t xml:space="preserve">2.4 Dati di rete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512"/>
        <w:gridCol w:w="3505"/>
        <w:gridCol w:w="3622"/>
      </w:tblGrid>
      <w:tr>
        <w:trPr>
          <w:tblHeader/>
        </w:trPr>
        <w:tc>
          <w:tcPr>
            <w:tcW w:w="2512" w:type="dxa"/>
            <w:shd w:val="clear" w:color="auto" w:fill="E3EAEC"/>
          </w:tcPr>
          <w:p>
            <w:pPr>
              <w:pStyle w:val="TableText"/>
            </w:pPr>
            <w:r>
              <w:rPr>
                <w:b/>
              </w:rPr>
              <w:t xml:space="preserve">Grandezza</w:t>
            </w:r>
          </w:p>
        </w:tc>
        <w:tc>
          <w:tcPr>
            <w:tcW w:w="3505" w:type="dxa"/>
            <w:shd w:val="clear" w:color="auto" w:fill="E3EAEC"/>
          </w:tcPr>
          <w:p>
            <w:pPr>
              <w:pStyle w:val="TableText"/>
            </w:pPr>
            <w:r>
              <w:rPr>
                <w:b/>
              </w:rPr>
              <w:t xml:space="preserve">Valore</w:t>
            </w:r>
          </w:p>
        </w:tc>
        <w:tc>
          <w:tcPr>
            <w:tcW w:w="3622" w:type="dxa"/>
            <w:shd w:val="clear" w:color="auto" w:fill="E3EAEC"/>
          </w:tcPr>
          <w:p>
            <w:pPr>
              <w:pStyle w:val="TableText"/>
            </w:pPr>
            <w:r>
              <w:rPr>
                <w:b/>
              </w:rPr>
              <w:t xml:space="preserve">Nota</w:t>
            </w:r>
          </w:p>
        </w:tc>
      </w:tr>
      <w:tr>
        <w:tc>
          <w:tcPr>
            <w:tcW w:w="2512" w:type="dxa"/>
          </w:tcPr>
          <w:p>
            <w:pPr>
              <w:pStyle w:val="TableText"/>
            </w:pPr>
            <w:r>
              <w:t xml:space="preserve">Tensione nominale di consegna</w:t>
            </w:r>
          </w:p>
        </w:tc>
        <w:tc>
          <w:tcPr>
            <w:tcW w:w="3505" w:type="dxa"/>
          </w:tcPr>
          <w:p>
            <w:pPr>
              <w:pStyle w:val="TableText"/>
            </w:pPr>
            <w:r>
              <w:t xml:space="preserve">15 kV, 50 Hz</w:t>
            </w:r>
          </w:p>
        </w:tc>
        <w:tc>
          <w:tcPr>
            <w:tcW w:w="3622" w:type="dxa"/>
          </w:tcPr>
          <w:p>
            <w:pPr>
              <w:pStyle w:val="TableText"/>
            </w:pPr>
            <w:r>
              <w:t xml:space="preserve">cabina utente esistente</w:t>
            </w:r>
          </w:p>
        </w:tc>
      </w:tr>
      <w:tr>
        <w:tc>
          <w:tcPr>
            <w:tcW w:w="2512" w:type="dxa"/>
          </w:tcPr>
          <w:p>
            <w:pPr>
              <w:pStyle w:val="TableText"/>
            </w:pPr>
            <w:r>
              <w:t xml:space="preserve">Stato del neutro MT</w:t>
            </w:r>
          </w:p>
        </w:tc>
        <w:tc>
          <w:tcPr>
            <w:tcW w:w="3505" w:type="dxa"/>
          </w:tcPr>
          <w:p>
            <w:pPr>
              <w:pStyle w:val="TableText"/>
            </w:pPr>
            <w:r>
              <w:t xml:space="preserve">compensato (bobina di Petersen) o isolato</w:t>
            </w:r>
          </w:p>
        </w:tc>
        <w:tc>
          <w:tcPr>
            <w:tcW w:w="3622" w:type="dxa"/>
          </w:tcPr>
          <w:p>
            <w:pPr>
              <w:pStyle w:val="TableText"/>
            </w:pPr>
            <w:r>
              <w:t xml:space="preserve">[da verificare] col distributore</w:t>
            </w:r>
          </w:p>
        </w:tc>
      </w:tr>
      <w:tr>
        <w:tc>
          <w:tcPr>
            <w:tcW w:w="2512" w:type="dxa"/>
          </w:tcPr>
          <w:p>
            <w:pPr>
              <w:pStyle w:val="TableText"/>
            </w:pPr>
            <w:r>
              <w:t xml:space="preserve">Corrente di cortocircuito trifase di rete</w:t>
            </w:r>
          </w:p>
        </w:tc>
        <w:tc>
          <w:tcPr>
            <w:tcW w:w="3505" w:type="dxa"/>
          </w:tcPr>
          <w:p>
            <w:pPr>
              <w:pStyle w:val="TableText"/>
            </w:pPr>
            <w:r>
              <w:t xml:space="preserve">12,5 kA (valore di progetto tipico per le reti MT a 15 kV)</w:t>
            </w:r>
          </w:p>
        </w:tc>
        <w:tc>
          <w:tcPr>
            <w:tcW w:w="3622" w:type="dxa"/>
          </w:tcPr>
          <w:p>
            <w:pPr>
              <w:pStyle w:val="TableText"/>
            </w:pPr>
            <w:r>
              <w:t xml:space="preserve">[da verificare] nel regolamento di esercizio</w:t>
            </w:r>
          </w:p>
        </w:tc>
      </w:tr>
      <w:tr>
        <w:tc>
          <w:tcPr>
            <w:tcW w:w="2512" w:type="dxa"/>
          </w:tcPr>
          <w:p>
            <w:pPr>
              <w:pStyle w:val="TableText"/>
            </w:pPr>
            <w:r>
              <w:t xml:space="preserve">Corrente di guasto a terra</w:t>
            </w:r>
          </w:p>
        </w:tc>
        <w:tc>
          <w:tcPr>
            <w:tcW w:w="3505" w:type="dxa"/>
          </w:tcPr>
          <w:p>
            <w:pPr>
              <w:pStyle w:val="TableText"/>
            </w:pPr>
            <w:r>
              <w:t xml:space="preserve">secondo dati del distributore</w:t>
            </w:r>
          </w:p>
        </w:tc>
        <w:tc>
          <w:tcPr>
            <w:tcW w:w="3622" w:type="dxa"/>
          </w:tcPr>
          <w:p>
            <w:pPr>
              <w:pStyle w:val="TableText"/>
            </w:pPr>
            <w:r>
              <w:t xml:space="preserve">[da verificare]</w:t>
            </w:r>
          </w:p>
        </w:tc>
      </w:tr>
      <w:tr>
        <w:tc>
          <w:tcPr>
            <w:tcW w:w="2512" w:type="dxa"/>
          </w:tcPr>
          <w:p>
            <w:pPr>
              <w:pStyle w:val="TableText"/>
            </w:pPr>
            <w:r>
              <w:t xml:space="preserve">Tempo di eliminazione del guasto a terra</w:t>
            </w:r>
          </w:p>
        </w:tc>
        <w:tc>
          <w:tcPr>
            <w:tcW w:w="3505" w:type="dxa"/>
          </w:tcPr>
          <w:p>
            <w:pPr>
              <w:pStyle w:val="TableText"/>
            </w:pPr>
            <w:r>
              <w:t xml:space="preserve">secondo dati del distributore</w:t>
            </w:r>
          </w:p>
        </w:tc>
        <w:tc>
          <w:tcPr>
            <w:tcW w:w="3622" w:type="dxa"/>
          </w:tcPr>
          <w:p>
            <w:pPr>
              <w:pStyle w:val="TableText"/>
            </w:pPr>
            <w:r>
              <w:t xml:space="preserve">per il dimensionamento dell'impianto di terra (CEI EN 50522)</w:t>
            </w:r>
          </w:p>
        </w:tc>
      </w:tr>
    </w:tbl>
    <w:p>
      <w:pPr>
        <w:pStyle w:val="Normal"/>
        <w:spacing w:after="60"/>
      </w:pPr>
    </w:p>
    <w:p>
      <w:pPr>
        <w:pStyle w:val="Heading2"/>
      </w:pPr>
      <w:r>
        <w:t xml:space="preserve">2.5 Vita utile e criteri generali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074"/>
        <w:gridCol w:w="5564"/>
      </w:tblGrid>
      <w:tr>
        <w:trPr>
          <w:tblHeader/>
        </w:trPr>
        <w:tc>
          <w:tcPr>
            <w:tcW w:w="4074" w:type="dxa"/>
            <w:shd w:val="clear" w:color="auto" w:fill="E3EAEC"/>
          </w:tcPr>
          <w:p>
            <w:pPr>
              <w:pStyle w:val="TableText"/>
            </w:pPr>
            <w:r>
              <w:rPr>
                <w:b/>
              </w:rPr>
              <w:t xml:space="preserve">Grandezza</w:t>
            </w:r>
          </w:p>
        </w:tc>
        <w:tc>
          <w:tcPr>
            <w:tcW w:w="5564" w:type="dxa"/>
            <w:shd w:val="clear" w:color="auto" w:fill="E3EAEC"/>
          </w:tcPr>
          <w:p>
            <w:pPr>
              <w:pStyle w:val="TableText"/>
            </w:pPr>
            <w:r>
              <w:rPr>
                <w:b/>
              </w:rPr>
              <w:t xml:space="preserve">Valore</w:t>
            </w:r>
          </w:p>
        </w:tc>
      </w:tr>
      <w:tr>
        <w:tc>
          <w:tcPr>
            <w:tcW w:w="4074" w:type="dxa"/>
          </w:tcPr>
          <w:p>
            <w:pPr>
              <w:pStyle w:val="TableText"/>
            </w:pPr>
            <w:r>
              <w:t xml:space="preserve">Vita utile di progetto dell'impianto FV</w:t>
            </w:r>
          </w:p>
        </w:tc>
        <w:tc>
          <w:tcPr>
            <w:tcW w:w="5564" w:type="dxa"/>
          </w:tcPr>
          <w:p>
            <w:pPr>
              <w:pStyle w:val="TableText"/>
            </w:pPr>
            <w:r>
              <w:t xml:space="preserve">25 anni (moduli con garanzia di prestazione a 30 anni)</w:t>
            </w:r>
          </w:p>
        </w:tc>
      </w:tr>
      <w:tr>
        <w:tc>
          <w:tcPr>
            <w:tcW w:w="4074" w:type="dxa"/>
          </w:tcPr>
          <w:p>
            <w:pPr>
              <w:pStyle w:val="TableText"/>
            </w:pPr>
            <w:r>
              <w:t xml:space="preserve">Vita utile BESS</w:t>
            </w:r>
          </w:p>
        </w:tc>
        <w:tc>
          <w:tcPr>
            <w:tcW w:w="5564" w:type="dxa"/>
          </w:tcPr>
          <w:p>
            <w:pPr>
              <w:pStyle w:val="TableText"/>
            </w:pPr>
            <w:r>
              <w:t xml:space="preserve">25 anni con una augmentation (anno 15 nel caso A)</w:t>
            </w:r>
          </w:p>
        </w:tc>
      </w:tr>
      <w:tr>
        <w:tc>
          <w:tcPr>
            <w:tcW w:w="4074" w:type="dxa"/>
          </w:tcPr>
          <w:p>
            <w:pPr>
              <w:pStyle w:val="TableText"/>
            </w:pPr>
            <w:r>
              <w:t xml:space="preserve">Sostituzione inverter</w:t>
            </w:r>
          </w:p>
        </w:tc>
        <w:tc>
          <w:tcPr>
            <w:tcW w:w="5564" w:type="dxa"/>
          </w:tcPr>
          <w:p>
            <w:pPr>
              <w:pStyle w:val="TableText"/>
            </w:pPr>
            <w:r>
              <w:t xml:space="preserve">prevista all'anno 13</w:t>
            </w:r>
          </w:p>
        </w:tc>
      </w:tr>
      <w:tr>
        <w:tc>
          <w:tcPr>
            <w:tcW w:w="4074" w:type="dxa"/>
          </w:tcPr>
          <w:p>
            <w:pPr>
              <w:pStyle w:val="TableText"/>
            </w:pPr>
            <w:r>
              <w:t xml:space="preserve">Disponibilità di progetto</w:t>
            </w:r>
          </w:p>
        </w:tc>
        <w:tc>
          <w:tcPr>
            <w:tcW w:w="5564" w:type="dxa"/>
          </w:tcPr>
          <w:p>
            <w:pPr>
              <w:pStyle w:val="TableText"/>
            </w:pPr>
            <w:r>
              <w:t xml:space="preserve">99 %</w:t>
            </w:r>
          </w:p>
        </w:tc>
      </w:tr>
      <w:tr>
        <w:tc>
          <w:tcPr>
            <w:tcW w:w="4074" w:type="dxa"/>
          </w:tcPr>
          <w:p>
            <w:pPr>
              <w:pStyle w:val="TableText"/>
            </w:pPr>
            <w:r>
              <w:t xml:space="preserve">Codici e unità</w:t>
            </w:r>
          </w:p>
        </w:tc>
        <w:tc>
          <w:tcPr>
            <w:tcW w:w="5564" w:type="dxa"/>
          </w:tcPr>
          <w:p>
            <w:pPr>
              <w:pStyle w:val="TableText"/>
            </w:pPr>
            <w:r>
              <w:t xml:space="preserve">Sistema SI, norme CEI/EN/IEC (§ 3)</w:t>
            </w:r>
          </w:p>
        </w:tc>
      </w:tr>
    </w:tbl>
    <w:p>
      <w:pPr>
        <w:pStyle w:val="Normal"/>
        <w:spacing w:after="60"/>
      </w:pPr>
    </w:p>
    <w:p>
      <w:pPr>
        <w:pStyle w:val="Normal"/>
        <w:pBdr>
          <w:bottom w:val="single" w:sz="6" w:space="1" w:color="A0A8AE"/>
        </w:pBdr>
      </w:pPr>
    </w:p>
    <w:p>
      <w:pPr>
        <w:pStyle w:val="Heading1"/>
      </w:pPr>
      <w:r>
        <w:t xml:space="preserve">3. Normativa di riferimento</w:t>
      </w:r>
    </w:p>
    <w:p>
      <w:pPr>
        <w:pStyle w:val="Normal"/>
      </w:pPr>
      <w:r>
        <w:t xml:space="preserve">Le edizioni vanno verificate alla data di emissione del progetto esecutivo. Dove l'edizione o l'esistenza del documento non è certa è indicato </w:t>
      </w:r>
      <w:r>
        <w:rPr>
          <w:b/>
        </w:rPr>
        <w:t xml:space="preserve">[da verificare l'edizione vigente]</w:t>
      </w:r>
      <w:r>
        <w:t xml:space="preserve">.</w:t>
      </w:r>
    </w:p>
    <w:p>
      <w:pPr>
        <w:pStyle w:val="Heading2"/>
      </w:pPr>
      <w:r>
        <w:t xml:space="preserve">3.1 Connessione e impianti elettrici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153"/>
        <w:gridCol w:w="8485"/>
      </w:tblGrid>
      <w:tr>
        <w:trPr>
          <w:tblHeader/>
        </w:trPr>
        <w:tc>
          <w:tcPr>
            <w:tcW w:w="1153" w:type="dxa"/>
            <w:shd w:val="clear" w:color="auto" w:fill="E3EAEC"/>
          </w:tcPr>
          <w:p>
            <w:pPr>
              <w:pStyle w:val="TableText"/>
            </w:pPr>
            <w:r>
              <w:rPr>
                <w:b/>
              </w:rPr>
              <w:t xml:space="preserve">Norma</w:t>
            </w:r>
          </w:p>
        </w:tc>
        <w:tc>
          <w:tcPr>
            <w:tcW w:w="8485" w:type="dxa"/>
            <w:shd w:val="clear" w:color="auto" w:fill="E3EAEC"/>
          </w:tcPr>
          <w:p>
            <w:pPr>
              <w:pStyle w:val="TableText"/>
            </w:pPr>
            <w:r>
              <w:rPr>
                <w:b/>
              </w:rPr>
              <w:t xml:space="preserve">Oggetto</w:t>
            </w:r>
          </w:p>
        </w:tc>
      </w:tr>
      <w:tr>
        <w:tc>
          <w:tcPr>
            <w:tcW w:w="1153" w:type="dxa"/>
          </w:tcPr>
          <w:p>
            <w:pPr>
              <w:pStyle w:val="TableText"/>
            </w:pPr>
            <w:r>
              <w:t xml:space="preserve">CEI 0-16 (ed. vigente, con varianti)</w:t>
            </w:r>
          </w:p>
        </w:tc>
        <w:tc>
          <w:tcPr>
            <w:tcW w:w="8485" w:type="dxa"/>
          </w:tcPr>
          <w:p>
            <w:pPr>
              <w:pStyle w:val="TableText"/>
            </w:pPr>
            <w:r>
              <w:t xml:space="preserve">Regola tecnica di connessione degli utenti attivi e passivi alle reti AT e MT; allegati su sistemi di accumulo, sistema di protezione di interfaccia (SPI), prove dei convertitori e controllore centrale d'impianto (CCI) [da verificare l'edizione vigente e la numerazione degli allegati]</w:t>
            </w:r>
          </w:p>
        </w:tc>
      </w:tr>
      <w:tr>
        <w:tc>
          <w:tcPr>
            <w:tcW w:w="1153" w:type="dxa"/>
          </w:tcPr>
          <w:p>
            <w:pPr>
              <w:pStyle w:val="TableText"/>
            </w:pPr>
            <w:r>
              <w:t xml:space="preserve">CEI 82-25</w:t>
            </w:r>
          </w:p>
        </w:tc>
        <w:tc>
          <w:tcPr>
            <w:tcW w:w="8485" w:type="dxa"/>
          </w:tcPr>
          <w:p>
            <w:pPr>
              <w:pStyle w:val="TableText"/>
            </w:pPr>
            <w:r>
              <w:t xml:space="preserve">Guida alla realizzazione di sistemi di generazione fotovoltaica collegati alle reti MT e BT [da verificare l'edizione vigente]</w:t>
            </w:r>
          </w:p>
        </w:tc>
      </w:tr>
      <w:tr>
        <w:tc>
          <w:tcPr>
            <w:tcW w:w="1153" w:type="dxa"/>
          </w:tcPr>
          <w:p>
            <w:pPr>
              <w:pStyle w:val="TableText"/>
            </w:pPr>
            <w:r>
              <w:t xml:space="preserve">CEI 64-8 (in particolare sezione 712)</w:t>
            </w:r>
          </w:p>
        </w:tc>
        <w:tc>
          <w:tcPr>
            <w:tcW w:w="8485" w:type="dxa"/>
          </w:tcPr>
          <w:p>
            <w:pPr>
              <w:pStyle w:val="TableText"/>
            </w:pPr>
            <w:r>
              <w:t xml:space="preserve">Impianti elettrici utilizzatori a tensione nominale ≤ 1.000 V c.a. e 1.500 V c.c.</w:t>
            </w:r>
          </w:p>
        </w:tc>
      </w:tr>
      <w:tr>
        <w:tc>
          <w:tcPr>
            <w:tcW w:w="1153" w:type="dxa"/>
          </w:tcPr>
          <w:p>
            <w:pPr>
              <w:pStyle w:val="TableText"/>
            </w:pPr>
            <w:r>
              <w:t xml:space="preserve">IEC 60364-7-712</w:t>
            </w:r>
          </w:p>
        </w:tc>
        <w:tc>
          <w:tcPr>
            <w:tcW w:w="8485" w:type="dxa"/>
          </w:tcPr>
          <w:p>
            <w:pPr>
              <w:pStyle w:val="TableText"/>
            </w:pPr>
            <w:r>
              <w:t xml:space="preserve">Requisiti per gli impianti FV</w:t>
            </w:r>
          </w:p>
        </w:tc>
      </w:tr>
      <w:tr>
        <w:tc>
          <w:tcPr>
            <w:tcW w:w="1153" w:type="dxa"/>
          </w:tcPr>
          <w:p>
            <w:pPr>
              <w:pStyle w:val="TableText"/>
            </w:pPr>
            <w:r>
              <w:t xml:space="preserve">CEI EN IEC 62548-1</w:t>
            </w:r>
          </w:p>
        </w:tc>
        <w:tc>
          <w:tcPr>
            <w:tcW w:w="8485" w:type="dxa"/>
          </w:tcPr>
          <w:p>
            <w:pPr>
              <w:pStyle w:val="TableText"/>
            </w:pPr>
            <w:r>
              <w:t xml:space="preserve">Requisiti di progetto dei campi fotovoltaici [da verificare l'edizione vigente]</w:t>
            </w:r>
          </w:p>
        </w:tc>
      </w:tr>
      <w:tr>
        <w:tc>
          <w:tcPr>
            <w:tcW w:w="1153" w:type="dxa"/>
          </w:tcPr>
          <w:p>
            <w:pPr>
              <w:pStyle w:val="TableText"/>
            </w:pPr>
            <w:r>
              <w:t xml:space="preserve">CEI EN IEC 62446-1</w:t>
            </w:r>
          </w:p>
        </w:tc>
        <w:tc>
          <w:tcPr>
            <w:tcW w:w="8485" w:type="dxa"/>
          </w:tcPr>
          <w:p>
            <w:pPr>
              <w:pStyle w:val="TableText"/>
            </w:pPr>
            <w:r>
              <w:t xml:space="preserve">Prove, documentazione e manutenzione dei sistemi FV connessi alla rete</w:t>
            </w:r>
          </w:p>
        </w:tc>
      </w:tr>
      <w:tr>
        <w:tc>
          <w:tcPr>
            <w:tcW w:w="1153" w:type="dxa"/>
          </w:tcPr>
          <w:p>
            <w:pPr>
              <w:pStyle w:val="TableText"/>
            </w:pPr>
            <w:r>
              <w:t xml:space="preserve">CEI EN 61936-1 / CEI EN 50522</w:t>
            </w:r>
          </w:p>
        </w:tc>
        <w:tc>
          <w:tcPr>
            <w:tcW w:w="8485" w:type="dxa"/>
          </w:tcPr>
          <w:p>
            <w:pPr>
              <w:pStyle w:val="TableText"/>
            </w:pPr>
            <w:r>
              <w:t xml:space="preserve">Impianti con tensione &gt; 1 kV c.a.; messa a terra degli impianti &gt; 1 kV</w:t>
            </w:r>
          </w:p>
        </w:tc>
      </w:tr>
      <w:tr>
        <w:tc>
          <w:tcPr>
            <w:tcW w:w="1153" w:type="dxa"/>
          </w:tcPr>
          <w:p>
            <w:pPr>
              <w:pStyle w:val="TableText"/>
            </w:pPr>
            <w:r>
              <w:t xml:space="preserve">CEI EN 62305 (parti 1–4)</w:t>
            </w:r>
          </w:p>
        </w:tc>
        <w:tc>
          <w:tcPr>
            <w:tcW w:w="8485" w:type="dxa"/>
          </w:tcPr>
          <w:p>
            <w:pPr>
              <w:pStyle w:val="TableText"/>
            </w:pPr>
            <w:r>
              <w:t xml:space="preserve">Protezione contro i fulmini</w:t>
            </w:r>
          </w:p>
        </w:tc>
      </w:tr>
      <w:tr>
        <w:tc>
          <w:tcPr>
            <w:tcW w:w="1153" w:type="dxa"/>
          </w:tcPr>
          <w:p>
            <w:pPr>
              <w:pStyle w:val="TableText"/>
            </w:pPr>
            <w:r>
              <w:t xml:space="preserve">CEI EN 61643-31 / -32</w:t>
            </w:r>
          </w:p>
        </w:tc>
        <w:tc>
          <w:tcPr>
            <w:tcW w:w="8485" w:type="dxa"/>
          </w:tcPr>
          <w:p>
            <w:pPr>
              <w:pStyle w:val="TableText"/>
            </w:pPr>
            <w:r>
              <w:t xml:space="preserve">Limitatori di sovratensione (SPD) lato DC fotovoltaico</w:t>
            </w:r>
          </w:p>
        </w:tc>
      </w:tr>
      <w:tr>
        <w:tc>
          <w:tcPr>
            <w:tcW w:w="1153" w:type="dxa"/>
          </w:tcPr>
          <w:p>
            <w:pPr>
              <w:pStyle w:val="TableText"/>
            </w:pPr>
            <w:r>
              <w:t xml:space="preserve">CEI EN 60076 (serie)</w:t>
            </w:r>
          </w:p>
        </w:tc>
        <w:tc>
          <w:tcPr>
            <w:tcW w:w="8485" w:type="dxa"/>
          </w:tcPr>
          <w:p>
            <w:pPr>
              <w:pStyle w:val="TableText"/>
            </w:pPr>
            <w:r>
              <w:t xml:space="preserve">Trasformatori di potenza</w:t>
            </w:r>
          </w:p>
        </w:tc>
      </w:tr>
      <w:tr>
        <w:tc>
          <w:tcPr>
            <w:tcW w:w="1153" w:type="dxa"/>
          </w:tcPr>
          <w:p>
            <w:pPr>
              <w:pStyle w:val="TableText"/>
            </w:pPr>
            <w:r>
              <w:t xml:space="preserve">Reg. UE 548/2014 e Reg. UE 2019/1783</w:t>
            </w:r>
          </w:p>
        </w:tc>
        <w:tc>
          <w:tcPr>
            <w:tcW w:w="8485" w:type="dxa"/>
          </w:tcPr>
          <w:p>
            <w:pPr>
              <w:pStyle w:val="TableText"/>
            </w:pPr>
            <w:r>
              <w:t xml:space="preserve">Ecodesign dei trasformatori (livello Tier 2)</w:t>
            </w:r>
          </w:p>
        </w:tc>
      </w:tr>
      <w:tr>
        <w:tc>
          <w:tcPr>
            <w:tcW w:w="1153" w:type="dxa"/>
          </w:tcPr>
          <w:p>
            <w:pPr>
              <w:pStyle w:val="TableText"/>
            </w:pPr>
            <w:r>
              <w:t xml:space="preserve">Reg. UE 2016/631 (RfG)</w:t>
            </w:r>
          </w:p>
        </w:tc>
        <w:tc>
          <w:tcPr>
            <w:tcW w:w="8485" w:type="dxa"/>
          </w:tcPr>
          <w:p>
            <w:pPr>
              <w:pStyle w:val="TableText"/>
            </w:pPr>
            <w:r>
              <w:t xml:space="preserve">Requisiti di connessione dei generatori</w:t>
            </w:r>
          </w:p>
        </w:tc>
      </w:tr>
      <w:tr>
        <w:tc>
          <w:tcPr>
            <w:tcW w:w="1153" w:type="dxa"/>
          </w:tcPr>
          <w:p>
            <w:pPr>
              <w:pStyle w:val="TableText"/>
            </w:pPr>
            <w:r>
              <w:t xml:space="preserve">CEI EN 50618</w:t>
            </w:r>
          </w:p>
        </w:tc>
        <w:tc>
          <w:tcPr>
            <w:tcW w:w="8485" w:type="dxa"/>
          </w:tcPr>
          <w:p>
            <w:pPr>
              <w:pStyle w:val="TableText"/>
            </w:pPr>
            <w:r>
              <w:t xml:space="preserve">Cavi per impianti FV (H1Z2Z2-K)</w:t>
            </w:r>
          </w:p>
        </w:tc>
      </w:tr>
      <w:tr>
        <w:tc>
          <w:tcPr>
            <w:tcW w:w="1153" w:type="dxa"/>
          </w:tcPr>
          <w:p>
            <w:pPr>
              <w:pStyle w:val="TableText"/>
            </w:pPr>
            <w:r>
              <w:t xml:space="preserve">CEI 20-13 / CEI UNEL 35024 e 35026</w:t>
            </w:r>
          </w:p>
        </w:tc>
        <w:tc>
          <w:tcPr>
            <w:tcW w:w="8485" w:type="dxa"/>
          </w:tcPr>
          <w:p>
            <w:pPr>
              <w:pStyle w:val="TableText"/>
            </w:pPr>
            <w:r>
              <w:t xml:space="preserve">Cavi MT e BT e relative portate</w:t>
            </w:r>
          </w:p>
        </w:tc>
      </w:tr>
      <w:tr>
        <w:tc>
          <w:tcPr>
            <w:tcW w:w="1153" w:type="dxa"/>
          </w:tcPr>
          <w:p>
            <w:pPr>
              <w:pStyle w:val="TableText"/>
            </w:pPr>
            <w:r>
              <w:t xml:space="preserve">CEI 11-17</w:t>
            </w:r>
          </w:p>
        </w:tc>
        <w:tc>
          <w:tcPr>
            <w:tcW w:w="8485" w:type="dxa"/>
          </w:tcPr>
          <w:p>
            <w:pPr>
              <w:pStyle w:val="TableText"/>
            </w:pPr>
            <w:r>
              <w:t xml:space="preserve">Linee in cavo</w:t>
            </w:r>
          </w:p>
        </w:tc>
      </w:tr>
    </w:tbl>
    <w:p>
      <w:pPr>
        <w:pStyle w:val="Normal"/>
        <w:spacing w:after="60"/>
      </w:pPr>
    </w:p>
    <w:p>
      <w:pPr>
        <w:pStyle w:val="Heading2"/>
      </w:pPr>
      <w:r>
        <w:t xml:space="preserve">3.2 Sistemi di accumulo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913"/>
        <w:gridCol w:w="6725"/>
      </w:tblGrid>
      <w:tr>
        <w:trPr>
          <w:tblHeader/>
        </w:trPr>
        <w:tc>
          <w:tcPr>
            <w:tcW w:w="2913" w:type="dxa"/>
            <w:shd w:val="clear" w:color="auto" w:fill="E3EAEC"/>
          </w:tcPr>
          <w:p>
            <w:pPr>
              <w:pStyle w:val="TableText"/>
            </w:pPr>
            <w:r>
              <w:rPr>
                <w:b/>
              </w:rPr>
              <w:t xml:space="preserve">Norma</w:t>
            </w:r>
          </w:p>
        </w:tc>
        <w:tc>
          <w:tcPr>
            <w:tcW w:w="6725" w:type="dxa"/>
            <w:shd w:val="clear" w:color="auto" w:fill="E3EAEC"/>
          </w:tcPr>
          <w:p>
            <w:pPr>
              <w:pStyle w:val="TableText"/>
            </w:pPr>
            <w:r>
              <w:rPr>
                <w:b/>
              </w:rPr>
              <w:t xml:space="preserve">Oggetto</w:t>
            </w:r>
          </w:p>
        </w:tc>
      </w:tr>
      <w:tr>
        <w:tc>
          <w:tcPr>
            <w:tcW w:w="2913" w:type="dxa"/>
          </w:tcPr>
          <w:p>
            <w:pPr>
              <w:pStyle w:val="TableText"/>
            </w:pPr>
            <w:r>
              <w:t xml:space="preserve">IEC 62933 (serie, parti 1, 2-1, 4-1, 5-1, 5-2)</w:t>
            </w:r>
          </w:p>
        </w:tc>
        <w:tc>
          <w:tcPr>
            <w:tcW w:w="6725" w:type="dxa"/>
          </w:tcPr>
          <w:p>
            <w:pPr>
              <w:pStyle w:val="TableText"/>
            </w:pPr>
            <w:r>
              <w:t xml:space="preserve">Sistemi di accumulo di energia elettrica: terminologia, prestazioni, ambiente, sicurezza</w:t>
            </w:r>
          </w:p>
        </w:tc>
      </w:tr>
      <w:tr>
        <w:tc>
          <w:tcPr>
            <w:tcW w:w="2913" w:type="dxa"/>
          </w:tcPr>
          <w:p>
            <w:pPr>
              <w:pStyle w:val="TableText"/>
            </w:pPr>
            <w:r>
              <w:t xml:space="preserve">CEI EN IEC 62619</w:t>
            </w:r>
          </w:p>
        </w:tc>
        <w:tc>
          <w:tcPr>
            <w:tcW w:w="6725" w:type="dxa"/>
          </w:tcPr>
          <w:p>
            <w:pPr>
              <w:pStyle w:val="TableText"/>
            </w:pPr>
            <w:r>
              <w:t xml:space="preserve">Requisiti di sicurezza per accumulatori al litio per applicazioni industriali</w:t>
            </w:r>
          </w:p>
        </w:tc>
      </w:tr>
      <w:tr>
        <w:tc>
          <w:tcPr>
            <w:tcW w:w="2913" w:type="dxa"/>
          </w:tcPr>
          <w:p>
            <w:pPr>
              <w:pStyle w:val="TableText"/>
            </w:pPr>
            <w:r>
              <w:t xml:space="preserve">CEI EN IEC 62477-1</w:t>
            </w:r>
          </w:p>
        </w:tc>
        <w:tc>
          <w:tcPr>
            <w:tcW w:w="6725" w:type="dxa"/>
          </w:tcPr>
          <w:p>
            <w:pPr>
              <w:pStyle w:val="TableText"/>
            </w:pPr>
            <w:r>
              <w:t xml:space="preserve">Sicurezza dei convertitori elettronici di potenza</w:t>
            </w:r>
          </w:p>
        </w:tc>
      </w:tr>
      <w:tr>
        <w:tc>
          <w:tcPr>
            <w:tcW w:w="2913" w:type="dxa"/>
          </w:tcPr>
          <w:p>
            <w:pPr>
              <w:pStyle w:val="TableText"/>
            </w:pPr>
            <w:r>
              <w:t xml:space="preserve">CEI EN IEC 62485-5 [da verificare l'edizione vigente]</w:t>
            </w:r>
          </w:p>
        </w:tc>
        <w:tc>
          <w:tcPr>
            <w:tcW w:w="6725" w:type="dxa"/>
          </w:tcPr>
          <w:p>
            <w:pPr>
              <w:pStyle w:val="TableText"/>
            </w:pPr>
            <w:r>
              <w:t xml:space="preserve">Installazione sicura di batterie stazionarie al litio</w:t>
            </w:r>
          </w:p>
        </w:tc>
      </w:tr>
      <w:tr>
        <w:tc>
          <w:tcPr>
            <w:tcW w:w="2913" w:type="dxa"/>
          </w:tcPr>
          <w:p>
            <w:pPr>
              <w:pStyle w:val="TableText"/>
            </w:pPr>
            <w:r>
              <w:t xml:space="preserve">UL 9540 / UL 9540A</w:t>
            </w:r>
          </w:p>
        </w:tc>
        <w:tc>
          <w:tcPr>
            <w:tcW w:w="6725" w:type="dxa"/>
          </w:tcPr>
          <w:p>
            <w:pPr>
              <w:pStyle w:val="TableText"/>
            </w:pPr>
            <w:r>
              <w:t xml:space="preserve">Sistemi ESS; metodo di prova per la propagazione termica (riferimento internazionale)</w:t>
            </w:r>
          </w:p>
        </w:tc>
      </w:tr>
      <w:tr>
        <w:tc>
          <w:tcPr>
            <w:tcW w:w="2913" w:type="dxa"/>
          </w:tcPr>
          <w:p>
            <w:pPr>
              <w:pStyle w:val="TableText"/>
            </w:pPr>
            <w:r>
              <w:t xml:space="preserve">NFPA 855</w:t>
            </w:r>
          </w:p>
        </w:tc>
        <w:tc>
          <w:tcPr>
            <w:tcW w:w="6725" w:type="dxa"/>
          </w:tcPr>
          <w:p>
            <w:pPr>
              <w:pStyle w:val="TableText"/>
            </w:pPr>
            <w:r>
              <w:t xml:space="preserve">Installazione di sistemi di accumulo stazionari (riferimento internazionale, non cogente in Italia)</w:t>
            </w:r>
          </w:p>
        </w:tc>
      </w:tr>
      <w:tr>
        <w:tc>
          <w:tcPr>
            <w:tcW w:w="2913" w:type="dxa"/>
          </w:tcPr>
          <w:p>
            <w:pPr>
              <w:pStyle w:val="TableText"/>
            </w:pPr>
            <w:r>
              <w:t xml:space="preserve">Reg. UE 2023/1542</w:t>
            </w:r>
          </w:p>
        </w:tc>
        <w:tc>
          <w:tcPr>
            <w:tcW w:w="6725" w:type="dxa"/>
          </w:tcPr>
          <w:p>
            <w:pPr>
              <w:pStyle w:val="TableText"/>
            </w:pPr>
            <w:r>
              <w:t xml:space="preserve">Batterie e rifiuti di batterie (dichiarazione dell'impronta di carbonio, passaporto della batteria, due diligence, fine vita)</w:t>
            </w:r>
          </w:p>
        </w:tc>
      </w:tr>
    </w:tbl>
    <w:p>
      <w:pPr>
        <w:pStyle w:val="Normal"/>
        <w:spacing w:after="60"/>
      </w:pPr>
    </w:p>
    <w:p>
      <w:pPr>
        <w:pStyle w:val="Heading2"/>
      </w:pPr>
      <w:r>
        <w:t xml:space="preserve">3.3 Strutture, sicurezza, prevenzione incendi, autorizzazioni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952"/>
        <w:gridCol w:w="5686"/>
      </w:tblGrid>
      <w:tr>
        <w:trPr>
          <w:tblHeader/>
        </w:trPr>
        <w:tc>
          <w:tcPr>
            <w:tcW w:w="3952" w:type="dxa"/>
            <w:shd w:val="clear" w:color="auto" w:fill="E3EAEC"/>
          </w:tcPr>
          <w:p>
            <w:pPr>
              <w:pStyle w:val="TableText"/>
            </w:pPr>
            <w:r>
              <w:rPr>
                <w:b/>
              </w:rPr>
              <w:t xml:space="preserve">Norma</w:t>
            </w:r>
          </w:p>
        </w:tc>
        <w:tc>
          <w:tcPr>
            <w:tcW w:w="5686" w:type="dxa"/>
            <w:shd w:val="clear" w:color="auto" w:fill="E3EAEC"/>
          </w:tcPr>
          <w:p>
            <w:pPr>
              <w:pStyle w:val="TableText"/>
            </w:pPr>
            <w:r>
              <w:rPr>
                <w:b/>
              </w:rPr>
              <w:t xml:space="preserve">Oggetto</w:t>
            </w:r>
          </w:p>
        </w:tc>
      </w:tr>
      <w:tr>
        <w:tc>
          <w:tcPr>
            <w:tcW w:w="3952" w:type="dxa"/>
          </w:tcPr>
          <w:p>
            <w:pPr>
              <w:pStyle w:val="TableText"/>
            </w:pPr>
            <w:r>
              <w:t xml:space="preserve">DM 17/01/2018 (NTC 2018) e Circolare 21/01/2019 n. 7</w:t>
            </w:r>
          </w:p>
        </w:tc>
        <w:tc>
          <w:tcPr>
            <w:tcW w:w="5686" w:type="dxa"/>
          </w:tcPr>
          <w:p>
            <w:pPr>
              <w:pStyle w:val="TableText"/>
            </w:pPr>
            <w:r>
              <w:t xml:space="preserve">Norme tecniche per le costruzioni e istruzioni applicative</w:t>
            </w:r>
          </w:p>
        </w:tc>
      </w:tr>
      <w:tr>
        <w:tc>
          <w:tcPr>
            <w:tcW w:w="3952" w:type="dxa"/>
          </w:tcPr>
          <w:p>
            <w:pPr>
              <w:pStyle w:val="TableText"/>
            </w:pPr>
            <w:r>
              <w:t xml:space="preserve">DM 37/2008</w:t>
            </w:r>
          </w:p>
        </w:tc>
        <w:tc>
          <w:tcPr>
            <w:tcW w:w="5686" w:type="dxa"/>
          </w:tcPr>
          <w:p>
            <w:pPr>
              <w:pStyle w:val="TableText"/>
            </w:pPr>
            <w:r>
              <w:t xml:space="preserve">Installazione degli impianti all'interno degli edifici (per le parti applicabili)</w:t>
            </w:r>
          </w:p>
        </w:tc>
      </w:tr>
      <w:tr>
        <w:tc>
          <w:tcPr>
            <w:tcW w:w="3952" w:type="dxa"/>
          </w:tcPr>
          <w:p>
            <w:pPr>
              <w:pStyle w:val="TableText"/>
            </w:pPr>
            <w:r>
              <w:t xml:space="preserve">DLgs 81/2008</w:t>
            </w:r>
          </w:p>
        </w:tc>
        <w:tc>
          <w:tcPr>
            <w:tcW w:w="5686" w:type="dxa"/>
          </w:tcPr>
          <w:p>
            <w:pPr>
              <w:pStyle w:val="TableText"/>
            </w:pPr>
            <w:r>
              <w:t xml:space="preserve">Sicurezza nei luoghi di lavoro e nei cantieri (Titolo IV)</w:t>
            </w:r>
          </w:p>
        </w:tc>
      </w:tr>
      <w:tr>
        <w:tc>
          <w:tcPr>
            <w:tcW w:w="3952" w:type="dxa"/>
          </w:tcPr>
          <w:p>
            <w:pPr>
              <w:pStyle w:val="TableText"/>
            </w:pPr>
            <w:r>
              <w:t xml:space="preserve">DPR 151/2011</w:t>
            </w:r>
          </w:p>
        </w:tc>
        <w:tc>
          <w:tcPr>
            <w:tcW w:w="5686" w:type="dxa"/>
          </w:tcPr>
          <w:p>
            <w:pPr>
              <w:pStyle w:val="TableText"/>
            </w:pPr>
            <w:r>
              <w:t xml:space="preserve">Attività soggette ai controlli di prevenzione incendi</w:t>
            </w:r>
          </w:p>
        </w:tc>
      </w:tr>
      <w:tr>
        <w:tc>
          <w:tcPr>
            <w:tcW w:w="3952" w:type="dxa"/>
          </w:tcPr>
          <w:p>
            <w:pPr>
              <w:pStyle w:val="TableText"/>
            </w:pPr>
            <w:r>
              <w:t xml:space="preserve">DM 03/08/2015 e s.m.i. (Codice di prevenzione incendi)</w:t>
            </w:r>
          </w:p>
        </w:tc>
        <w:tc>
          <w:tcPr>
            <w:tcW w:w="5686" w:type="dxa"/>
          </w:tcPr>
          <w:p>
            <w:pPr>
              <w:pStyle w:val="TableText"/>
            </w:pPr>
            <w:r>
              <w:t xml:space="preserve">Metodologia di valutazione del rischio incendio</w:t>
            </w:r>
          </w:p>
        </w:tc>
      </w:tr>
      <w:tr>
        <w:tc>
          <w:tcPr>
            <w:tcW w:w="3952" w:type="dxa"/>
          </w:tcPr>
          <w:p>
            <w:pPr>
              <w:pStyle w:val="TableText"/>
            </w:pPr>
            <w:r>
              <w:t xml:space="preserve">Guida VVF per l'installazione degli impianti FV (nota DCPREV prot. 1324 del 07/02/2012) e chiarimenti successivi</w:t>
            </w:r>
          </w:p>
        </w:tc>
        <w:tc>
          <w:tcPr>
            <w:tcW w:w="5686" w:type="dxa"/>
          </w:tcPr>
          <w:p>
            <w:pPr>
              <w:pStyle w:val="TableText"/>
            </w:pPr>
            <w:r>
              <w:t xml:space="preserve">Prevenzione incendi per impianti FV [da verificare eventuali aggiornamenti]</w:t>
            </w:r>
          </w:p>
        </w:tc>
      </w:tr>
      <w:tr>
        <w:tc>
          <w:tcPr>
            <w:tcW w:w="3952" w:type="dxa"/>
          </w:tcPr>
          <w:p>
            <w:pPr>
              <w:pStyle w:val="TableText"/>
            </w:pPr>
            <w:r>
              <w:t xml:space="preserve">Indicazioni/linee guida del CNVVF per i sistemi BESS</w:t>
            </w:r>
          </w:p>
        </w:tc>
        <w:tc>
          <w:tcPr>
            <w:tcW w:w="5686" w:type="dxa"/>
          </w:tcPr>
          <w:p>
            <w:pPr>
              <w:pStyle w:val="TableText"/>
            </w:pPr>
            <w:r>
              <w:t xml:space="preserve">[da verificare se è stato emanato un documento ufficiale e la sua data; in assenza si applica la valutazione del rischio secondo il Codice di prevenzione incendi]</w:t>
            </w:r>
          </w:p>
        </w:tc>
      </w:tr>
      <w:tr>
        <w:tc>
          <w:tcPr>
            <w:tcW w:w="3952" w:type="dxa"/>
          </w:tcPr>
          <w:p>
            <w:pPr>
              <w:pStyle w:val="TableText"/>
            </w:pPr>
            <w:r>
              <w:t xml:space="preserve">DLgs 190/2024 (Testo unico FER) e s.m.i.</w:t>
            </w:r>
          </w:p>
        </w:tc>
        <w:tc>
          <w:tcPr>
            <w:tcW w:w="5686" w:type="dxa"/>
          </w:tcPr>
          <w:p>
            <w:pPr>
              <w:pStyle w:val="TableText"/>
            </w:pPr>
            <w:r>
              <w:t xml:space="preserve">Regimi amministrativi per gli impianti a fonti rinnovabili; aree idonee</w:t>
            </w:r>
          </w:p>
        </w:tc>
      </w:tr>
      <w:tr>
        <w:tc>
          <w:tcPr>
            <w:tcW w:w="3952" w:type="dxa"/>
          </w:tcPr>
          <w:p>
            <w:pPr>
              <w:pStyle w:val="TableText"/>
            </w:pPr>
            <w:r>
              <w:t xml:space="preserve">Delibere ARERA (TICA, TIDE, TIS)</w:t>
            </w:r>
          </w:p>
        </w:tc>
        <w:tc>
          <w:tcPr>
            <w:tcW w:w="5686" w:type="dxa"/>
          </w:tcPr>
          <w:p>
            <w:pPr>
              <w:pStyle w:val="TableText"/>
            </w:pPr>
            <w:r>
              <w:t xml:space="preserve">Connessione, dispacciamento, settlement</w:t>
            </w:r>
          </w:p>
        </w:tc>
      </w:tr>
    </w:tbl>
    <w:p>
      <w:pPr>
        <w:pStyle w:val="Normal"/>
        <w:spacing w:after="60"/>
      </w:pPr>
    </w:p>
    <w:p>
      <w:pPr>
        <w:pStyle w:val="Normal"/>
        <w:pBdr>
          <w:bottom w:val="single" w:sz="6" w:space="1" w:color="A0A8AE"/>
        </w:pBdr>
      </w:pPr>
    </w:p>
    <w:p>
      <w:pPr>
        <w:pStyle w:val="Heading1"/>
      </w:pPr>
      <w:r>
        <w:t xml:space="preserve">4. Descrizione generale dell'impianto</w:t>
      </w:r>
    </w:p>
    <w:p>
      <w:pPr>
        <w:pStyle w:val="Normal"/>
      </w:pPr>
      <w:r>
        <w:t xml:space="preserve">L'impianto ha tre sottosistemi:</w:t>
      </w:r>
    </w:p>
    <w:p>
      <w:pPr>
        <w:pStyle w:val="ListParagraph"/>
      </w:pPr>
      <w:r>
        <w:t xml:space="preserve">1. </w:t>
      </w:r>
      <w:r>
        <w:rPr>
          <w:b/>
        </w:rPr>
        <w:t xml:space="preserve">Generatore FV</w:t>
      </w:r>
      <w:r>
        <w:t xml:space="preserve">: 4.844 moduli TOPCon bifacciali da 620 Wp in 173 stringhe da 28 moduli, montati su strutture fisse a 25° con orientamento sud. Potenza DC effettiva 3.003,3 kWp.</w:t>
      </w:r>
    </w:p>
    <w:p>
      <w:pPr>
        <w:pStyle w:val="ListParagraph"/>
      </w:pPr>
      <w:r>
        <w:t xml:space="preserve">2. </w:t>
      </w:r>
      <w:r>
        <w:rPr>
          <w:b/>
        </w:rPr>
        <w:t xml:space="preserve">Conversione e trasformazione FV</w:t>
      </w:r>
      <w:r>
        <w:t xml:space="preserve">: 7 inverter di stringa da 350 kW / 1.500 V DC / 800 V AC (2.450 kWac, rapporto DC/AC 1,23) collegati a un quadro BT 800 V nella cabina di trasformazione, con un trasformatore da 3.150 kVA 15/0,8 kV Dyn11.</w:t>
      </w:r>
    </w:p>
    <w:p>
      <w:pPr>
        <w:pStyle w:val="ListParagraph"/>
      </w:pPr>
      <w:r>
        <w:t xml:space="preserve">3. </w:t>
      </w:r>
      <w:r>
        <w:rPr>
          <w:b/>
        </w:rPr>
        <w:t xml:space="preserve">Sistema di accumulo (AC-coupled)</w:t>
      </w:r>
      <w:r>
        <w:t xml:space="preserve">: 8 cabinet LFP da 261 kWh / 125 kW con PCS integrato (2.088 kWh installati, 1.000 kW), quadro BT di parallelo e trasformatore dedicato da 1.250 kVA, collegati al quadro MT d'impianto.</w:t>
      </w:r>
    </w:p>
    <w:p>
      <w:pPr>
        <w:pStyle w:val="Normal"/>
      </w:pPr>
      <w:r>
        <w:t xml:space="preserve">Il quadro MT d'impianto è collegato con una linea in cavo da 400 m (ARE4H5E 12/20 kV, 3 × 1 × 120 mm² Al) a uno scomparto partenza da realizzare nella cabina utente esistente, a valle del dispositivo generale (DG) e della misura fiscale del distributore. Il sistema di protezione di interfaccia (SPI) agisce sul dispositivo di interfaccia (DDI) a monte di FV e BESS. Il controllore centrale d'impianto (CCI) gestisce la limitazione dell'immissione e la regolazione di potenza attiva e reattiva.</w:t>
      </w:r>
    </w:p>
    <w:p>
      <w:pPr>
        <w:pStyle w:val="Heading2"/>
      </w:pPr>
      <w:r>
        <w:t xml:space="preserve">4.1 Schema unifilare semplificato</w:t>
      </w:r>
    </w:p>
    <w:p>
      <w:pPr>
        <w:pStyle w:val="Normal"/>
      </w:pPr>
      <w:r>
        <w:rPr>
          <w:b/>
        </w:rPr>
        <w:t xml:space="preserve">Schema a blocchi</w:t>
      </w:r>
      <w:r>
        <w:t xml:space="preserve"> (lo schema grafico è nella tavola CAD corrispondente):</w:t>
      </w:r>
    </w:p>
    <w:p>
      <w:pPr>
        <w:pStyle w:val="ListParagraph"/>
      </w:pPr>
      <w:r>
        <w:t xml:space="preserve">•  </w:t>
      </w:r>
      <w:r>
        <w:t xml:space="preserve">Rete MT distributore 15 kV → Cabina di consegna, misura M1 (scambio)</w:t>
      </w:r>
    </w:p>
    <w:p>
      <w:pPr>
        <w:pStyle w:val="ListParagraph"/>
      </w:pPr>
      <w:r>
        <w:t xml:space="preserve">•  </w:t>
      </w:r>
      <w:r>
        <w:t xml:space="preserve">Cabina di consegna, misura M1 (scambio) → Cabina utente esistente, DG + SPG (50/51, 51N/67N)</w:t>
      </w:r>
    </w:p>
    <w:p>
      <w:pPr>
        <w:pStyle w:val="ListParagraph"/>
      </w:pPr>
      <w:r>
        <w:t xml:space="preserve">•  </w:t>
      </w:r>
      <w:r>
        <w:t xml:space="preserve">Cabina utente esistente, DG + SPG (50/51, 51N/67N) → Quadri MT stabilimento, carichi 9 GWh/a</w:t>
      </w:r>
    </w:p>
    <w:p>
      <w:pPr>
        <w:pStyle w:val="ListParagraph"/>
      </w:pPr>
      <w:r>
        <w:t xml:space="preserve">•  </w:t>
      </w:r>
      <w:r>
        <w:t xml:space="preserve">Cabina utente esistente, DG + SPG (50/51, 51N/67N) → Nuovo scomparto partenza impianto, DDI + SPI (27, 59, 81, 59N)</w:t>
      </w:r>
    </w:p>
    <w:p>
      <w:pPr>
        <w:pStyle w:val="ListParagraph"/>
      </w:pPr>
      <w:r>
        <w:t xml:space="preserve">•  </w:t>
      </w:r>
      <w:r>
        <w:t xml:space="preserve">Nuovo scomparto partenza impianto, DDI + SPI (27, 59, 81, 59N) → Quadro MT d'impianto 15 kV [ARE4H5E 3x1x120 mm² Al, 400 m]</w:t>
      </w:r>
    </w:p>
    <w:p>
      <w:pPr>
        <w:pStyle w:val="ListParagraph"/>
      </w:pPr>
      <w:r>
        <w:t xml:space="preserve">•  </w:t>
      </w:r>
      <w:r>
        <w:t xml:space="preserve">Quadro MT d'impianto 15 kV → TR-FV 3150 kVA, 15/0,8 kV Dyn11</w:t>
      </w:r>
    </w:p>
    <w:p>
      <w:pPr>
        <w:pStyle w:val="ListParagraph"/>
      </w:pPr>
      <w:r>
        <w:t xml:space="preserve">•  </w:t>
      </w:r>
      <w:r>
        <w:t xml:space="preserve">Quadro MT d'impianto 15 kV → TR-BESS 1250 kVA, 15/0,4 kV Dyn11</w:t>
      </w:r>
    </w:p>
    <w:p>
      <w:pPr>
        <w:pStyle w:val="ListParagraph"/>
      </w:pPr>
      <w:r>
        <w:t xml:space="preserve">•  </w:t>
      </w:r>
      <w:r>
        <w:t xml:space="preserve">TR-FV 3150 kVA, 15/0,8 kV Dyn11 → Quadro BT 800 V FV, 7 interruttori 400 A</w:t>
      </w:r>
    </w:p>
    <w:p>
      <w:pPr>
        <w:pStyle w:val="ListParagraph"/>
      </w:pPr>
      <w:r>
        <w:t xml:space="preserve">•  </w:t>
      </w:r>
      <w:r>
        <w:t xml:space="preserve">Quadro BT 800 V FV, 7 interruttori 400 A → 7 inverter di stringa, 350 kW, 1500 V DC</w:t>
      </w:r>
    </w:p>
    <w:p>
      <w:pPr>
        <w:pStyle w:val="ListParagraph"/>
      </w:pPr>
      <w:r>
        <w:t xml:space="preserve">•  </w:t>
      </w:r>
      <w:r>
        <w:t xml:space="preserve">7 inverter di stringa, 350 kW, 1500 V DC → 173 stringhe x 28 moduli, 620 Wp = 3003 kWp</w:t>
      </w:r>
    </w:p>
    <w:p>
      <w:pPr>
        <w:pStyle w:val="ListParagraph"/>
      </w:pPr>
      <w:r>
        <w:t xml:space="preserve">•  </w:t>
      </w:r>
      <w:r>
        <w:t xml:space="preserve">TR-BESS 1250 kVA, 15/0,4 kV Dyn11 → Quadro BT 400 V BESS, 8 partenze</w:t>
      </w:r>
    </w:p>
    <w:p>
      <w:pPr>
        <w:pStyle w:val="ListParagraph"/>
      </w:pPr>
      <w:r>
        <w:t xml:space="preserve">•  </w:t>
      </w:r>
      <w:r>
        <w:t xml:space="preserve">Quadro BT 400 V BESS, 8 partenze → 8 cabinet LFP 261 kWh / 125 kW, PCS integrato</w:t>
      </w:r>
    </w:p>
    <w:p>
      <w:pPr>
        <w:pStyle w:val="ListParagraph"/>
      </w:pPr>
      <w:r>
        <w:t xml:space="preserve">•  </w:t>
      </w:r>
      <w:r>
        <w:t xml:space="preserve">Quadro MT d'impianto 15 kV ⇢ (segnali) Misura M2 produzione FV, (GSE/UTF)</w:t>
      </w:r>
    </w:p>
    <w:p>
      <w:pPr>
        <w:pStyle w:val="ListParagraph"/>
      </w:pPr>
      <w:r>
        <w:t xml:space="preserve">•  </w:t>
      </w:r>
      <w:r>
        <w:t xml:space="preserve">CCI / EMS / SCADA ⇢ (segnali) 7 inverter di stringa, 350 kW, 1500 V DC</w:t>
      </w:r>
    </w:p>
    <w:p>
      <w:pPr>
        <w:pStyle w:val="ListParagraph"/>
      </w:pPr>
      <w:r>
        <w:t xml:space="preserve">•  </w:t>
      </w:r>
      <w:r>
        <w:t xml:space="preserve">CCI / EMS / SCADA ⇢ (segnali) 8 cabinet LFP 261 kWh / 125 kW, PCS integrato</w:t>
      </w:r>
    </w:p>
    <w:p>
      <w:pPr>
        <w:pStyle w:val="ListParagraph"/>
      </w:pPr>
      <w:r>
        <w:t xml:space="preserve">•  </w:t>
      </w:r>
      <w:r>
        <w:t xml:space="preserve">CCI / EMS / SCADA ⇢ (segnali) Nuovo scomparto partenza impianto, DDI + SPI (27, 59, 81, 59N)</w:t>
      </w:r>
    </w:p>
    <w:p>
      <w:pPr>
        <w:pStyle w:val="Heading2"/>
      </w:pPr>
      <w:r>
        <w:t xml:space="preserve">4.2 Dati principali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131"/>
        <w:gridCol w:w="5507"/>
      </w:tblGrid>
      <w:tr>
        <w:trPr>
          <w:tblHeader/>
        </w:trPr>
        <w:tc>
          <w:tcPr>
            <w:tcW w:w="4131" w:type="dxa"/>
            <w:shd w:val="clear" w:color="auto" w:fill="E3EAEC"/>
          </w:tcPr>
          <w:p>
            <w:pPr>
              <w:pStyle w:val="TableText"/>
            </w:pPr>
            <w:r>
              <w:rPr>
                <w:b/>
              </w:rPr>
              <w:t xml:space="preserve">Grandezza</w:t>
            </w:r>
          </w:p>
        </w:tc>
        <w:tc>
          <w:tcPr>
            <w:tcW w:w="5507" w:type="dxa"/>
            <w:shd w:val="clear" w:color="auto" w:fill="E3EAEC"/>
          </w:tcPr>
          <w:p>
            <w:pPr>
              <w:pStyle w:val="TableText"/>
            </w:pPr>
            <w:r>
              <w:rPr>
                <w:b/>
              </w:rPr>
              <w:t xml:space="preserve">Valore</w:t>
            </w:r>
          </w:p>
        </w:tc>
      </w:tr>
      <w:tr>
        <w:tc>
          <w:tcPr>
            <w:tcW w:w="4131" w:type="dxa"/>
          </w:tcPr>
          <w:p>
            <w:pPr>
              <w:pStyle w:val="TableText"/>
            </w:pPr>
            <w:r>
              <w:t xml:space="preserve">Potenza DC installata</w:t>
            </w:r>
          </w:p>
        </w:tc>
        <w:tc>
          <w:tcPr>
            <w:tcW w:w="5507" w:type="dxa"/>
          </w:tcPr>
          <w:p>
            <w:pPr>
              <w:pStyle w:val="TableText"/>
            </w:pPr>
            <w:r>
              <w:t xml:space="preserve">3.003,3 kWp</w:t>
            </w:r>
          </w:p>
        </w:tc>
      </w:tr>
      <w:tr>
        <w:tc>
          <w:tcPr>
            <w:tcW w:w="4131" w:type="dxa"/>
          </w:tcPr>
          <w:p>
            <w:pPr>
              <w:pStyle w:val="TableText"/>
            </w:pPr>
            <w:r>
              <w:t xml:space="preserve">Potenza AC nominale inverter</w:t>
            </w:r>
          </w:p>
        </w:tc>
        <w:tc>
          <w:tcPr>
            <w:tcW w:w="5507" w:type="dxa"/>
          </w:tcPr>
          <w:p>
            <w:pPr>
              <w:pStyle w:val="TableText"/>
            </w:pPr>
            <w:r>
              <w:t xml:space="preserve">2.450 kW</w:t>
            </w:r>
          </w:p>
        </w:tc>
      </w:tr>
      <w:tr>
        <w:tc>
          <w:tcPr>
            <w:tcW w:w="4131" w:type="dxa"/>
          </w:tcPr>
          <w:p>
            <w:pPr>
              <w:pStyle w:val="TableText"/>
            </w:pPr>
            <w:r>
              <w:t xml:space="preserve">Rapporto DC/AC</w:t>
            </w:r>
          </w:p>
        </w:tc>
        <w:tc>
          <w:tcPr>
            <w:tcW w:w="5507" w:type="dxa"/>
          </w:tcPr>
          <w:p>
            <w:pPr>
              <w:pStyle w:val="TableText"/>
            </w:pPr>
            <w:r>
              <w:t xml:space="preserve">1,23</w:t>
            </w:r>
          </w:p>
        </w:tc>
      </w:tr>
      <w:tr>
        <w:tc>
          <w:tcPr>
            <w:tcW w:w="4131" w:type="dxa"/>
          </w:tcPr>
          <w:p>
            <w:pPr>
              <w:pStyle w:val="TableText"/>
            </w:pPr>
            <w:r>
              <w:t xml:space="preserve">Producibilità specifica anno 1</w:t>
            </w:r>
          </w:p>
        </w:tc>
        <w:tc>
          <w:tcPr>
            <w:tcW w:w="5507" w:type="dxa"/>
          </w:tcPr>
          <w:p>
            <w:pPr>
              <w:pStyle w:val="TableText"/>
            </w:pPr>
            <w:r>
              <w:t xml:space="preserve">1.310 kWh/kWp</w:t>
            </w:r>
          </w:p>
        </w:tc>
      </w:tr>
      <w:tr>
        <w:tc>
          <w:tcPr>
            <w:tcW w:w="4131" w:type="dxa"/>
          </w:tcPr>
          <w:p>
            <w:pPr>
              <w:pStyle w:val="TableText"/>
            </w:pPr>
            <w:r>
              <w:t xml:space="preserve">Produzione anno 1 (al punto di consegna)</w:t>
            </w:r>
          </w:p>
        </w:tc>
        <w:tc>
          <w:tcPr>
            <w:tcW w:w="5507" w:type="dxa"/>
          </w:tcPr>
          <w:p>
            <w:pPr>
              <w:pStyle w:val="TableText"/>
            </w:pPr>
            <w:r>
              <w:t xml:space="preserve">3.931 MWh</w:t>
            </w:r>
          </w:p>
        </w:tc>
      </w:tr>
      <w:tr>
        <w:tc>
          <w:tcPr>
            <w:tcW w:w="4131" w:type="dxa"/>
          </w:tcPr>
          <w:p>
            <w:pPr>
              <w:pStyle w:val="TableText"/>
            </w:pPr>
            <w:r>
              <w:t xml:space="preserve">Performance ratio (anno 1)</w:t>
            </w:r>
          </w:p>
        </w:tc>
        <w:tc>
          <w:tcPr>
            <w:tcW w:w="5507" w:type="dxa"/>
          </w:tcPr>
          <w:p>
            <w:pPr>
              <w:pStyle w:val="TableText"/>
            </w:pPr>
            <w:r>
              <w:t xml:space="preserve">86,3 %</w:t>
            </w:r>
          </w:p>
        </w:tc>
      </w:tr>
      <w:tr>
        <w:tc>
          <w:tcPr>
            <w:tcW w:w="4131" w:type="dxa"/>
          </w:tcPr>
          <w:p>
            <w:pPr>
              <w:pStyle w:val="TableText"/>
            </w:pPr>
            <w:r>
              <w:t xml:space="preserve">Energia BESS installata / utile</w:t>
            </w:r>
          </w:p>
        </w:tc>
        <w:tc>
          <w:tcPr>
            <w:tcW w:w="5507" w:type="dxa"/>
          </w:tcPr>
          <w:p>
            <w:pPr>
              <w:pStyle w:val="TableText"/>
            </w:pPr>
            <w:r>
              <w:t xml:space="preserve">2.088 kWh / 1.800 kWh (DoD 90 % su 2.000 kWh nominali)</w:t>
            </w:r>
          </w:p>
        </w:tc>
      </w:tr>
      <w:tr>
        <w:tc>
          <w:tcPr>
            <w:tcW w:w="4131" w:type="dxa"/>
          </w:tcPr>
          <w:p>
            <w:pPr>
              <w:pStyle w:val="TableText"/>
            </w:pPr>
            <w:r>
              <w:t xml:space="preserve">Potenza BESS</w:t>
            </w:r>
          </w:p>
        </w:tc>
        <w:tc>
          <w:tcPr>
            <w:tcW w:w="5507" w:type="dxa"/>
          </w:tcPr>
          <w:p>
            <w:pPr>
              <w:pStyle w:val="TableText"/>
            </w:pPr>
            <w:r>
              <w:t xml:space="preserve">1.000 kW (C-rate 0,5, durata 2 h)</w:t>
            </w:r>
          </w:p>
        </w:tc>
      </w:tr>
      <w:tr>
        <w:tc>
          <w:tcPr>
            <w:tcW w:w="4131" w:type="dxa"/>
          </w:tcPr>
          <w:p>
            <w:pPr>
              <w:pStyle w:val="TableText"/>
            </w:pPr>
            <w:r>
              <w:t xml:space="preserve">Autoconsumo della produzione FV</w:t>
            </w:r>
          </w:p>
        </w:tc>
        <w:tc>
          <w:tcPr>
            <w:tcW w:w="5507" w:type="dxa"/>
          </w:tcPr>
          <w:p>
            <w:pPr>
              <w:pStyle w:val="TableText"/>
            </w:pPr>
            <w:r>
              <w:t xml:space="preserve">86 %</w:t>
            </w:r>
          </w:p>
        </w:tc>
      </w:tr>
      <w:tr>
        <w:tc>
          <w:tcPr>
            <w:tcW w:w="4131" w:type="dxa"/>
          </w:tcPr>
          <w:p>
            <w:pPr>
              <w:pStyle w:val="TableText"/>
            </w:pPr>
            <w:r>
              <w:t xml:space="preserve">Copertura dei consumi (autosufficienza)</w:t>
            </w:r>
          </w:p>
        </w:tc>
        <w:tc>
          <w:tcPr>
            <w:tcW w:w="5507" w:type="dxa"/>
          </w:tcPr>
          <w:p>
            <w:pPr>
              <w:pStyle w:val="TableText"/>
            </w:pPr>
            <w:r>
              <w:t xml:space="preserve">40 %</w:t>
            </w:r>
          </w:p>
        </w:tc>
      </w:tr>
      <w:tr>
        <w:tc>
          <w:tcPr>
            <w:tcW w:w="4131" w:type="dxa"/>
          </w:tcPr>
          <w:p>
            <w:pPr>
              <w:pStyle w:val="TableText"/>
            </w:pPr>
            <w:r>
              <w:t xml:space="preserve">CO₂ evitata</w:t>
            </w:r>
          </w:p>
        </w:tc>
        <w:tc>
          <w:tcPr>
            <w:tcW w:w="5507" w:type="dxa"/>
          </w:tcPr>
          <w:p>
            <w:pPr>
              <w:pStyle w:val="TableText"/>
            </w:pPr>
            <w:r>
              <w:t xml:space="preserve">circa 832 t/a (fattore 0,25 t/MWh)</w:t>
            </w:r>
          </w:p>
        </w:tc>
      </w:tr>
    </w:tbl>
    <w:p>
      <w:pPr>
        <w:pStyle w:val="Normal"/>
        <w:spacing w:after="60"/>
      </w:pPr>
    </w:p>
    <w:p>
      <w:pPr>
        <w:pStyle w:val="Normal"/>
        <w:pBdr>
          <w:bottom w:val="single" w:sz="6" w:space="1" w:color="A0A8AE"/>
        </w:pBdr>
      </w:pPr>
    </w:p>
    <w:p>
      <w:pPr>
        <w:pStyle w:val="Heading1"/>
      </w:pPr>
      <w:r>
        <w:t xml:space="preserve">5. Generatore fotovoltaico</w:t>
      </w:r>
    </w:p>
    <w:p>
      <w:pPr>
        <w:pStyle w:val="Heading2"/>
      </w:pPr>
      <w:r>
        <w:t xml:space="preserve">5.1 Moduli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427"/>
        <w:gridCol w:w="407"/>
        <w:gridCol w:w="7804"/>
      </w:tblGrid>
      <w:tr>
        <w:trPr>
          <w:tblHeader/>
        </w:trPr>
        <w:tc>
          <w:tcPr>
            <w:tcW w:w="1427" w:type="dxa"/>
            <w:shd w:val="clear" w:color="auto" w:fill="E3EAEC"/>
          </w:tcPr>
          <w:p>
            <w:pPr>
              <w:pStyle w:val="TableText"/>
            </w:pPr>
            <w:r>
              <w:rPr>
                <w:b/>
              </w:rPr>
              <w:t xml:space="preserve">Parametro</w:t>
            </w:r>
          </w:p>
        </w:tc>
        <w:tc>
          <w:tcPr>
            <w:tcW w:w="407" w:type="dxa"/>
            <w:shd w:val="clear" w:color="auto" w:fill="E3EAEC"/>
          </w:tcPr>
          <w:p>
            <w:pPr>
              <w:pStyle w:val="TableText"/>
            </w:pPr>
            <w:r>
              <w:rPr>
                <w:b/>
              </w:rPr>
              <w:t xml:space="preserve">Simbolo</w:t>
            </w:r>
          </w:p>
        </w:tc>
        <w:tc>
          <w:tcPr>
            <w:tcW w:w="7804" w:type="dxa"/>
            <w:shd w:val="clear" w:color="auto" w:fill="E3EAEC"/>
          </w:tcPr>
          <w:p>
            <w:pPr>
              <w:pStyle w:val="TableText"/>
            </w:pPr>
            <w:r>
              <w:rPr>
                <w:b/>
              </w:rPr>
              <w:t xml:space="preserve">Valore</w:t>
            </w:r>
          </w:p>
        </w:tc>
      </w:tr>
      <w:tr>
        <w:tc>
          <w:tcPr>
            <w:tcW w:w="1427" w:type="dxa"/>
          </w:tcPr>
          <w:p>
            <w:pPr>
              <w:pStyle w:val="TableText"/>
            </w:pPr>
            <w:r>
              <w:t xml:space="preserve">Tecnologia</w:t>
            </w:r>
          </w:p>
        </w:tc>
        <w:tc>
          <w:tcPr>
            <w:tcW w:w="407" w:type="dxa"/>
          </w:tcPr>
          <w:p>
            <w:pPr>
              <w:pStyle w:val="TableText"/>
            </w:pPr>
            <w:r>
              <w:t xml:space="preserve">–</w:t>
            </w:r>
          </w:p>
        </w:tc>
        <w:tc>
          <w:tcPr>
            <w:tcW w:w="7804" w:type="dxa"/>
          </w:tcPr>
          <w:p>
            <w:pPr>
              <w:pStyle w:val="TableText"/>
            </w:pPr>
            <w:r>
              <w:t xml:space="preserve">TOPCon n-type, bifacciale vetro-vetro</w:t>
            </w:r>
          </w:p>
        </w:tc>
      </w:tr>
      <w:tr>
        <w:tc>
          <w:tcPr>
            <w:tcW w:w="1427" w:type="dxa"/>
          </w:tcPr>
          <w:p>
            <w:pPr>
              <w:pStyle w:val="TableText"/>
            </w:pPr>
            <w:r>
              <w:t xml:space="preserve">Potenza nominale STC</w:t>
            </w:r>
          </w:p>
        </w:tc>
        <w:tc>
          <w:tcPr>
            <w:tcW w:w="407" w:type="dxa"/>
          </w:tcPr>
          <w:p>
            <w:pPr>
              <w:pStyle w:val="TableText"/>
            </w:pPr>
            <w:r>
              <w:t xml:space="preserve">Pmax</w:t>
            </w:r>
          </w:p>
        </w:tc>
        <w:tc>
          <w:tcPr>
            <w:tcW w:w="7804" w:type="dxa"/>
          </w:tcPr>
          <w:p>
            <w:pPr>
              <w:pStyle w:val="TableText"/>
            </w:pPr>
            <w:r>
              <w:t xml:space="preserve">620 Wp</w:t>
            </w:r>
          </w:p>
        </w:tc>
      </w:tr>
      <w:tr>
        <w:tc>
          <w:tcPr>
            <w:tcW w:w="1427" w:type="dxa"/>
          </w:tcPr>
          <w:p>
            <w:pPr>
              <w:pStyle w:val="TableText"/>
            </w:pPr>
            <w:r>
              <w:t xml:space="preserve">Tensione a vuoto</w:t>
            </w:r>
          </w:p>
        </w:tc>
        <w:tc>
          <w:tcPr>
            <w:tcW w:w="407" w:type="dxa"/>
          </w:tcPr>
          <w:p>
            <w:pPr>
              <w:pStyle w:val="TableText"/>
            </w:pPr>
            <w:r>
              <w:t xml:space="preserve">Voc</w:t>
            </w:r>
          </w:p>
        </w:tc>
        <w:tc>
          <w:tcPr>
            <w:tcW w:w="7804" w:type="dxa"/>
          </w:tcPr>
          <w:p>
            <w:pPr>
              <w:pStyle w:val="TableText"/>
            </w:pPr>
            <w:r>
              <w:t xml:space="preserve">48,9 V</w:t>
            </w:r>
          </w:p>
        </w:tc>
      </w:tr>
      <w:tr>
        <w:tc>
          <w:tcPr>
            <w:tcW w:w="1427" w:type="dxa"/>
          </w:tcPr>
          <w:p>
            <w:pPr>
              <w:pStyle w:val="TableText"/>
            </w:pPr>
            <w:r>
              <w:t xml:space="preserve">Tensione MPP</w:t>
            </w:r>
          </w:p>
        </w:tc>
        <w:tc>
          <w:tcPr>
            <w:tcW w:w="407" w:type="dxa"/>
          </w:tcPr>
          <w:p>
            <w:pPr>
              <w:pStyle w:val="TableText"/>
            </w:pPr>
            <w:r>
              <w:t xml:space="preserve">Vmp</w:t>
            </w:r>
          </w:p>
        </w:tc>
        <w:tc>
          <w:tcPr>
            <w:tcW w:w="7804" w:type="dxa"/>
          </w:tcPr>
          <w:p>
            <w:pPr>
              <w:pStyle w:val="TableText"/>
            </w:pPr>
            <w:r>
              <w:t xml:space="preserve">41,0 V</w:t>
            </w:r>
          </w:p>
        </w:tc>
      </w:tr>
      <w:tr>
        <w:tc>
          <w:tcPr>
            <w:tcW w:w="1427" w:type="dxa"/>
          </w:tcPr>
          <w:p>
            <w:pPr>
              <w:pStyle w:val="TableText"/>
            </w:pPr>
            <w:r>
              <w:t xml:space="preserve">Corrente di cortocircuito</w:t>
            </w:r>
          </w:p>
        </w:tc>
        <w:tc>
          <w:tcPr>
            <w:tcW w:w="407" w:type="dxa"/>
          </w:tcPr>
          <w:p>
            <w:pPr>
              <w:pStyle w:val="TableText"/>
            </w:pPr>
            <w:r>
              <w:t xml:space="preserve">Isc</w:t>
            </w:r>
          </w:p>
        </w:tc>
        <w:tc>
          <w:tcPr>
            <w:tcW w:w="7804" w:type="dxa"/>
          </w:tcPr>
          <w:p>
            <w:pPr>
              <w:pStyle w:val="TableText"/>
            </w:pPr>
            <w:r>
              <w:t xml:space="preserve">16,0 A</w:t>
            </w:r>
          </w:p>
        </w:tc>
      </w:tr>
      <w:tr>
        <w:tc>
          <w:tcPr>
            <w:tcW w:w="1427" w:type="dxa"/>
          </w:tcPr>
          <w:p>
            <w:pPr>
              <w:pStyle w:val="TableText"/>
            </w:pPr>
            <w:r>
              <w:t xml:space="preserve">Corrente MPP</w:t>
            </w:r>
          </w:p>
        </w:tc>
        <w:tc>
          <w:tcPr>
            <w:tcW w:w="407" w:type="dxa"/>
          </w:tcPr>
          <w:p>
            <w:pPr>
              <w:pStyle w:val="TableText"/>
            </w:pPr>
            <w:r>
              <w:t xml:space="preserve">Imp</w:t>
            </w:r>
          </w:p>
        </w:tc>
        <w:tc>
          <w:tcPr>
            <w:tcW w:w="7804" w:type="dxa"/>
          </w:tcPr>
          <w:p>
            <w:pPr>
              <w:pStyle w:val="TableText"/>
            </w:pPr>
            <w:r>
              <w:t xml:space="preserve">15,12 A</w:t>
            </w:r>
          </w:p>
        </w:tc>
      </w:tr>
      <w:tr>
        <w:tc>
          <w:tcPr>
            <w:tcW w:w="1427" w:type="dxa"/>
          </w:tcPr>
          <w:p>
            <w:pPr>
              <w:pStyle w:val="TableText"/>
            </w:pPr>
            <w:r>
              <w:t xml:space="preserve">Coefficiente di temperatura Voc</w:t>
            </w:r>
          </w:p>
        </w:tc>
        <w:tc>
          <w:tcPr>
            <w:tcW w:w="407" w:type="dxa"/>
          </w:tcPr>
          <w:p>
            <w:pPr>
              <w:pStyle w:val="TableText"/>
            </w:pPr>
            <w:r>
              <w:t xml:space="preserve">βVoc</w:t>
            </w:r>
          </w:p>
        </w:tc>
        <w:tc>
          <w:tcPr>
            <w:tcW w:w="7804" w:type="dxa"/>
          </w:tcPr>
          <w:p>
            <w:pPr>
              <w:pStyle w:val="TableText"/>
            </w:pPr>
            <w:r>
              <w:t xml:space="preserve">−0,25 %/°C</w:t>
            </w:r>
          </w:p>
        </w:tc>
      </w:tr>
      <w:tr>
        <w:tc>
          <w:tcPr>
            <w:tcW w:w="1427" w:type="dxa"/>
          </w:tcPr>
          <w:p>
            <w:pPr>
              <w:pStyle w:val="TableText"/>
            </w:pPr>
            <w:r>
              <w:t xml:space="preserve">Coefficiente di temperatura Vmp</w:t>
            </w:r>
          </w:p>
        </w:tc>
        <w:tc>
          <w:tcPr>
            <w:tcW w:w="407" w:type="dxa"/>
          </w:tcPr>
          <w:p>
            <w:pPr>
              <w:pStyle w:val="TableText"/>
            </w:pPr>
            <w:r>
              <w:t xml:space="preserve">βVmp</w:t>
            </w:r>
          </w:p>
        </w:tc>
        <w:tc>
          <w:tcPr>
            <w:tcW w:w="7804" w:type="dxa"/>
          </w:tcPr>
          <w:p>
            <w:pPr>
              <w:pStyle w:val="TableText"/>
            </w:pPr>
            <w:r>
              <w:t xml:space="preserve">−0,29 %/°C</w:t>
            </w:r>
          </w:p>
        </w:tc>
      </w:tr>
      <w:tr>
        <w:tc>
          <w:tcPr>
            <w:tcW w:w="1427" w:type="dxa"/>
          </w:tcPr>
          <w:p>
            <w:pPr>
              <w:pStyle w:val="TableText"/>
            </w:pPr>
            <w:r>
              <w:t xml:space="preserve">Coefficiente di temperatura Pmax</w:t>
            </w:r>
          </w:p>
        </w:tc>
        <w:tc>
          <w:tcPr>
            <w:tcW w:w="407" w:type="dxa"/>
          </w:tcPr>
          <w:p>
            <w:pPr>
              <w:pStyle w:val="TableText"/>
            </w:pPr>
            <w:r>
              <w:t xml:space="preserve">γ</w:t>
            </w:r>
          </w:p>
        </w:tc>
        <w:tc>
          <w:tcPr>
            <w:tcW w:w="7804" w:type="dxa"/>
          </w:tcPr>
          <w:p>
            <w:pPr>
              <w:pStyle w:val="TableText"/>
            </w:pPr>
            <w:r>
              <w:t xml:space="preserve">−0,29 %/°C</w:t>
            </w:r>
          </w:p>
        </w:tc>
      </w:tr>
      <w:tr>
        <w:tc>
          <w:tcPr>
            <w:tcW w:w="1427" w:type="dxa"/>
          </w:tcPr>
          <w:p>
            <w:pPr>
              <w:pStyle w:val="TableText"/>
            </w:pPr>
            <w:r>
              <w:t xml:space="preserve">Coefficiente di temperatura Isc</w:t>
            </w:r>
          </w:p>
        </w:tc>
        <w:tc>
          <w:tcPr>
            <w:tcW w:w="407" w:type="dxa"/>
          </w:tcPr>
          <w:p>
            <w:pPr>
              <w:pStyle w:val="TableText"/>
            </w:pPr>
            <w:r>
              <w:t xml:space="preserve">α</w:t>
            </w:r>
          </w:p>
        </w:tc>
        <w:tc>
          <w:tcPr>
            <w:tcW w:w="7804" w:type="dxa"/>
          </w:tcPr>
          <w:p>
            <w:pPr>
              <w:pStyle w:val="TableText"/>
            </w:pPr>
            <w:r>
              <w:t xml:space="preserve">+0,045 %/°C</w:t>
            </w:r>
          </w:p>
        </w:tc>
      </w:tr>
      <w:tr>
        <w:tc>
          <w:tcPr>
            <w:tcW w:w="1427" w:type="dxa"/>
          </w:tcPr>
          <w:p>
            <w:pPr>
              <w:pStyle w:val="TableText"/>
            </w:pPr>
            <w:r>
              <w:t xml:space="preserve">NOCT</w:t>
            </w:r>
          </w:p>
        </w:tc>
        <w:tc>
          <w:tcPr>
            <w:tcW w:w="407" w:type="dxa"/>
          </w:tcPr>
          <w:p>
            <w:pPr>
              <w:pStyle w:val="TableText"/>
            </w:pPr>
            <w:r>
              <w:t xml:space="preserve">–</w:t>
            </w:r>
          </w:p>
        </w:tc>
        <w:tc>
          <w:tcPr>
            <w:tcW w:w="7804" w:type="dxa"/>
          </w:tcPr>
          <w:p>
            <w:pPr>
              <w:pStyle w:val="TableText"/>
            </w:pPr>
            <w:r>
              <w:t xml:space="preserve">43 °C</w:t>
            </w:r>
          </w:p>
        </w:tc>
      </w:tr>
      <w:tr>
        <w:tc>
          <w:tcPr>
            <w:tcW w:w="1427" w:type="dxa"/>
          </w:tcPr>
          <w:p>
            <w:pPr>
              <w:pStyle w:val="TableText"/>
            </w:pPr>
            <w:r>
              <w:t xml:space="preserve">Bifaccialità</w:t>
            </w:r>
          </w:p>
        </w:tc>
        <w:tc>
          <w:tcPr>
            <w:tcW w:w="407" w:type="dxa"/>
          </w:tcPr>
          <w:p>
            <w:pPr>
              <w:pStyle w:val="TableText"/>
            </w:pPr>
            <w:r>
              <w:t xml:space="preserve">–</w:t>
            </w:r>
          </w:p>
        </w:tc>
        <w:tc>
          <w:tcPr>
            <w:tcW w:w="7804" w:type="dxa"/>
          </w:tcPr>
          <w:p>
            <w:pPr>
              <w:pStyle w:val="TableText"/>
            </w:pPr>
            <w:r>
              <w:t xml:space="preserve">80 %</w:t>
            </w:r>
          </w:p>
        </w:tc>
      </w:tr>
      <w:tr>
        <w:tc>
          <w:tcPr>
            <w:tcW w:w="1427" w:type="dxa"/>
          </w:tcPr>
          <w:p>
            <w:pPr>
              <w:pStyle w:val="TableText"/>
            </w:pPr>
            <w:r>
              <w:t xml:space="preserve">Dimensioni</w:t>
            </w:r>
          </w:p>
        </w:tc>
        <w:tc>
          <w:tcPr>
            <w:tcW w:w="407" w:type="dxa"/>
          </w:tcPr>
          <w:p>
            <w:pPr>
              <w:pStyle w:val="TableText"/>
            </w:pPr>
            <w:r>
              <w:t xml:space="preserve">–</w:t>
            </w:r>
          </w:p>
        </w:tc>
        <w:tc>
          <w:tcPr>
            <w:tcW w:w="7804" w:type="dxa"/>
          </w:tcPr>
          <w:p>
            <w:pPr>
              <w:pStyle w:val="TableText"/>
            </w:pPr>
            <w:r>
              <w:t xml:space="preserve">2.382 × 1.134 mm (2,70 m²)</w:t>
            </w:r>
          </w:p>
        </w:tc>
      </w:tr>
      <w:tr>
        <w:tc>
          <w:tcPr>
            <w:tcW w:w="1427" w:type="dxa"/>
          </w:tcPr>
          <w:p>
            <w:pPr>
              <w:pStyle w:val="TableText"/>
            </w:pPr>
            <w:r>
              <w:t xml:space="preserve">Massa</w:t>
            </w:r>
          </w:p>
        </w:tc>
        <w:tc>
          <w:tcPr>
            <w:tcW w:w="407" w:type="dxa"/>
          </w:tcPr>
          <w:p>
            <w:pPr>
              <w:pStyle w:val="TableText"/>
            </w:pPr>
            <w:r>
              <w:t xml:space="preserve">–</w:t>
            </w:r>
          </w:p>
        </w:tc>
        <w:tc>
          <w:tcPr>
            <w:tcW w:w="7804" w:type="dxa"/>
          </w:tcPr>
          <w:p>
            <w:pPr>
              <w:pStyle w:val="TableText"/>
            </w:pPr>
            <w:r>
              <w:t xml:space="preserve">33,0 kg (12,2 kg/m²)</w:t>
            </w:r>
          </w:p>
        </w:tc>
      </w:tr>
      <w:tr>
        <w:tc>
          <w:tcPr>
            <w:tcW w:w="1427" w:type="dxa"/>
          </w:tcPr>
          <w:p>
            <w:pPr>
              <w:pStyle w:val="TableText"/>
            </w:pPr>
            <w:r>
              <w:t xml:space="preserve">Tensione massima di sistema</w:t>
            </w:r>
          </w:p>
        </w:tc>
        <w:tc>
          <w:tcPr>
            <w:tcW w:w="407" w:type="dxa"/>
          </w:tcPr>
          <w:p>
            <w:pPr>
              <w:pStyle w:val="TableText"/>
            </w:pPr>
            <w:r>
              <w:t xml:space="preserve">–</w:t>
            </w:r>
          </w:p>
        </w:tc>
        <w:tc>
          <w:tcPr>
            <w:tcW w:w="7804" w:type="dxa"/>
          </w:tcPr>
          <w:p>
            <w:pPr>
              <w:pStyle w:val="TableText"/>
            </w:pPr>
            <w:r>
              <w:t xml:space="preserve">1.500 V DC</w:t>
            </w:r>
          </w:p>
        </w:tc>
      </w:tr>
      <w:tr>
        <w:tc>
          <w:tcPr>
            <w:tcW w:w="1427" w:type="dxa"/>
          </w:tcPr>
          <w:p>
            <w:pPr>
              <w:pStyle w:val="TableText"/>
            </w:pPr>
            <w:r>
              <w:t xml:space="preserve">Certificazioni richieste</w:t>
            </w:r>
          </w:p>
        </w:tc>
        <w:tc>
          <w:tcPr>
            <w:tcW w:w="407" w:type="dxa"/>
          </w:tcPr>
          <w:p>
            <w:pPr>
              <w:pStyle w:val="TableText"/>
            </w:pPr>
            <w:r>
              <w:t xml:space="preserve">–</w:t>
            </w:r>
          </w:p>
        </w:tc>
        <w:tc>
          <w:tcPr>
            <w:tcW w:w="7804" w:type="dxa"/>
          </w:tcPr>
          <w:p>
            <w:pPr>
              <w:pStyle w:val="TableText"/>
            </w:pPr>
            <w:r>
              <w:t xml:space="preserve">IEC 61215, IEC 61730, classe di reazione al fuoco secondo la guida VVF; iscrizione al registro ENEA (categorie B/C se si usa l'iper-ammortamento, vedi </w:t>
            </w:r>
            <w:r>
              <w:rPr>
                <w:rFonts w:ascii="Consolas" w:hAnsi="Consolas" w:cs="Consolas"/>
              </w:rPr>
              <w:t xml:space="preserve">03_Contributi_Incentivi_UE_IT.md</w:t>
            </w:r>
            <w:r>
              <w:t xml:space="preserve">)</w:t>
            </w:r>
          </w:p>
        </w:tc>
      </w:tr>
    </w:tbl>
    <w:p>
      <w:pPr>
        <w:pStyle w:val="Normal"/>
        <w:spacing w:after="60"/>
      </w:pPr>
    </w:p>
    <w:p>
      <w:pPr>
        <w:pStyle w:val="Normal"/>
      </w:pPr>
      <w:r>
        <w:t xml:space="preserve">I valori sono quelli del modulo tipo del simulatore. Vanno sostituiti con la scheda tecnica del fornitore scelto, e il dimensionamento delle stringhe va ripetuto.</w:t>
      </w:r>
    </w:p>
    <w:p>
      <w:pPr>
        <w:pStyle w:val="Heading2"/>
      </w:pPr>
      <w:r>
        <w:t xml:space="preserve">5.2 Strutture e layout</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195"/>
        <w:gridCol w:w="3817"/>
        <w:gridCol w:w="3626"/>
      </w:tblGrid>
      <w:tr>
        <w:trPr>
          <w:tblHeader/>
        </w:trPr>
        <w:tc>
          <w:tcPr>
            <w:tcW w:w="2195" w:type="dxa"/>
            <w:shd w:val="clear" w:color="auto" w:fill="E3EAEC"/>
          </w:tcPr>
          <w:p>
            <w:pPr>
              <w:pStyle w:val="TableText"/>
            </w:pPr>
            <w:r>
              <w:rPr>
                <w:b/>
              </w:rPr>
              <w:t xml:space="preserve">Grandezza</w:t>
            </w:r>
          </w:p>
        </w:tc>
        <w:tc>
          <w:tcPr>
            <w:tcW w:w="3817" w:type="dxa"/>
            <w:shd w:val="clear" w:color="auto" w:fill="E3EAEC"/>
          </w:tcPr>
          <w:p>
            <w:pPr>
              <w:pStyle w:val="TableText"/>
            </w:pPr>
            <w:r>
              <w:rPr>
                <w:b/>
              </w:rPr>
              <w:t xml:space="preserve">Valore</w:t>
            </w:r>
          </w:p>
        </w:tc>
        <w:tc>
          <w:tcPr>
            <w:tcW w:w="3626" w:type="dxa"/>
            <w:shd w:val="clear" w:color="auto" w:fill="E3EAEC"/>
          </w:tcPr>
          <w:p>
            <w:pPr>
              <w:pStyle w:val="TableText"/>
            </w:pPr>
            <w:r>
              <w:rPr>
                <w:b/>
              </w:rPr>
              <w:t xml:space="preserve">Note</w:t>
            </w:r>
          </w:p>
        </w:tc>
      </w:tr>
      <w:tr>
        <w:tc>
          <w:tcPr>
            <w:tcW w:w="2195" w:type="dxa"/>
          </w:tcPr>
          <w:p>
            <w:pPr>
              <w:pStyle w:val="TableText"/>
            </w:pPr>
            <w:r>
              <w:t xml:space="preserve">Tipo</w:t>
            </w:r>
          </w:p>
        </w:tc>
        <w:tc>
          <w:tcPr>
            <w:tcW w:w="3817" w:type="dxa"/>
          </w:tcPr>
          <w:p>
            <w:pPr>
              <w:pStyle w:val="TableText"/>
            </w:pPr>
            <w:r>
              <w:t xml:space="preserve">Struttura fissa monopalo/bipalo in acciaio zincato, 2 moduli in verticale (2P)</w:t>
            </w:r>
          </w:p>
        </w:tc>
        <w:tc>
          <w:tcPr>
            <w:tcW w:w="3626" w:type="dxa"/>
          </w:tcPr>
          <w:p>
            <w:pPr>
              <w:pStyle w:val="TableText"/>
            </w:pPr>
            <w:r>
              <w:t xml:space="preserve"/>
            </w:r>
          </w:p>
        </w:tc>
      </w:tr>
      <w:tr>
        <w:tc>
          <w:tcPr>
            <w:tcW w:w="2195" w:type="dxa"/>
          </w:tcPr>
          <w:p>
            <w:pPr>
              <w:pStyle w:val="TableText"/>
            </w:pPr>
            <w:r>
              <w:t xml:space="preserve">Inclinazione / azimut</w:t>
            </w:r>
          </w:p>
        </w:tc>
        <w:tc>
          <w:tcPr>
            <w:tcW w:w="3817" w:type="dxa"/>
          </w:tcPr>
          <w:p>
            <w:pPr>
              <w:pStyle w:val="TableText"/>
            </w:pPr>
            <w:r>
              <w:t xml:space="preserve">25° / 0° (sud)</w:t>
            </w:r>
          </w:p>
        </w:tc>
        <w:tc>
          <w:tcPr>
            <w:tcW w:w="3626" w:type="dxa"/>
          </w:tcPr>
          <w:p>
            <w:pPr>
              <w:pStyle w:val="TableText"/>
            </w:pPr>
            <w:r>
              <w:t xml:space="preserve">ottimo economico con GCR 0,42</w:t>
            </w:r>
          </w:p>
        </w:tc>
      </w:tr>
      <w:tr>
        <w:tc>
          <w:tcPr>
            <w:tcW w:w="2195" w:type="dxa"/>
          </w:tcPr>
          <w:p>
            <w:pPr>
              <w:pStyle w:val="TableText"/>
            </w:pPr>
            <w:r>
              <w:t xml:space="preserve">Profondità del tavolo (2P)</w:t>
            </w:r>
          </w:p>
        </w:tc>
        <w:tc>
          <w:tcPr>
            <w:tcW w:w="3817" w:type="dxa"/>
          </w:tcPr>
          <w:p>
            <w:pPr>
              <w:pStyle w:val="TableText"/>
            </w:pPr>
            <w:r>
              <w:t xml:space="preserve">2 × 2,382 + 0,02 = 4,78 m</w:t>
            </w:r>
          </w:p>
        </w:tc>
        <w:tc>
          <w:tcPr>
            <w:tcW w:w="3626" w:type="dxa"/>
          </w:tcPr>
          <w:p>
            <w:pPr>
              <w:pStyle w:val="TableText"/>
            </w:pPr>
            <w:r>
              <w:t xml:space="preserve"/>
            </w:r>
          </w:p>
        </w:tc>
      </w:tr>
      <w:tr>
        <w:tc>
          <w:tcPr>
            <w:tcW w:w="2195" w:type="dxa"/>
          </w:tcPr>
          <w:p>
            <w:pPr>
              <w:pStyle w:val="TableText"/>
            </w:pPr>
            <w:r>
              <w:t xml:space="preserve">GCR</w:t>
            </w:r>
          </w:p>
        </w:tc>
        <w:tc>
          <w:tcPr>
            <w:tcW w:w="3817" w:type="dxa"/>
          </w:tcPr>
          <w:p>
            <w:pPr>
              <w:pStyle w:val="TableText"/>
            </w:pPr>
            <w:r>
              <w:t xml:space="preserve">0,42</w:t>
            </w:r>
          </w:p>
        </w:tc>
        <w:tc>
          <w:tcPr>
            <w:tcW w:w="3626" w:type="dxa"/>
          </w:tcPr>
          <w:p>
            <w:pPr>
              <w:pStyle w:val="TableText"/>
            </w:pPr>
            <w:r>
              <w:t xml:space="preserve"/>
            </w:r>
          </w:p>
        </w:tc>
      </w:tr>
      <w:tr>
        <w:tc>
          <w:tcPr>
            <w:tcW w:w="2195" w:type="dxa"/>
          </w:tcPr>
          <w:p>
            <w:pPr>
              <w:pStyle w:val="TableText"/>
            </w:pPr>
            <w:r>
              <w:t xml:space="preserve">Interasse tra le file (pitch)</w:t>
            </w:r>
          </w:p>
        </w:tc>
        <w:tc>
          <w:tcPr>
            <w:tcW w:w="3817" w:type="dxa"/>
          </w:tcPr>
          <w:p>
            <w:pPr>
              <w:pStyle w:val="TableText"/>
            </w:pPr>
            <w:r>
              <w:t xml:space="preserve">4,78 / 0,42 = 11,4 m</w:t>
            </w:r>
          </w:p>
        </w:tc>
        <w:tc>
          <w:tcPr>
            <w:tcW w:w="3626" w:type="dxa"/>
          </w:tcPr>
          <w:p>
            <w:pPr>
              <w:pStyle w:val="TableText"/>
            </w:pPr>
            <w:r>
              <w:t xml:space="preserve"/>
            </w:r>
          </w:p>
        </w:tc>
      </w:tr>
      <w:tr>
        <w:tc>
          <w:tcPr>
            <w:tcW w:w="2195" w:type="dxa"/>
          </w:tcPr>
          <w:p>
            <w:pPr>
              <w:pStyle w:val="TableText"/>
            </w:pPr>
            <w:r>
              <w:t xml:space="preserve">Proiezione orizzontale del tavolo</w:t>
            </w:r>
          </w:p>
        </w:tc>
        <w:tc>
          <w:tcPr>
            <w:tcW w:w="3817" w:type="dxa"/>
          </w:tcPr>
          <w:p>
            <w:pPr>
              <w:pStyle w:val="TableText"/>
            </w:pPr>
            <w:r>
              <w:t xml:space="preserve">4,78 × cos 25° = 4,34 m</w:t>
            </w:r>
          </w:p>
        </w:tc>
        <w:tc>
          <w:tcPr>
            <w:tcW w:w="3626" w:type="dxa"/>
          </w:tcPr>
          <w:p>
            <w:pPr>
              <w:pStyle w:val="TableText"/>
            </w:pPr>
            <w:r>
              <w:t xml:space="preserve"/>
            </w:r>
          </w:p>
        </w:tc>
      </w:tr>
      <w:tr>
        <w:tc>
          <w:tcPr>
            <w:tcW w:w="2195" w:type="dxa"/>
          </w:tcPr>
          <w:p>
            <w:pPr>
              <w:pStyle w:val="TableText"/>
            </w:pPr>
            <w:r>
              <w:t xml:space="preserve">Dislivello tra bordo inferiore e superiore</w:t>
            </w:r>
          </w:p>
        </w:tc>
        <w:tc>
          <w:tcPr>
            <w:tcW w:w="3817" w:type="dxa"/>
          </w:tcPr>
          <w:p>
            <w:pPr>
              <w:pStyle w:val="TableText"/>
            </w:pPr>
            <w:r>
              <w:t xml:space="preserve">4,78 × sin 25° = 2,02 m</w:t>
            </w:r>
          </w:p>
        </w:tc>
        <w:tc>
          <w:tcPr>
            <w:tcW w:w="3626" w:type="dxa"/>
          </w:tcPr>
          <w:p>
            <w:pPr>
              <w:pStyle w:val="TableText"/>
            </w:pPr>
            <w:r>
              <w:t xml:space="preserve"/>
            </w:r>
          </w:p>
        </w:tc>
      </w:tr>
      <w:tr>
        <w:tc>
          <w:tcPr>
            <w:tcW w:w="2195" w:type="dxa"/>
          </w:tcPr>
          <w:p>
            <w:pPr>
              <w:pStyle w:val="TableText"/>
            </w:pPr>
            <w:r>
              <w:t xml:space="preserve">Tavolo tipo</w:t>
            </w:r>
          </w:p>
        </w:tc>
        <w:tc>
          <w:tcPr>
            <w:tcW w:w="3817" w:type="dxa"/>
          </w:tcPr>
          <w:p>
            <w:pPr>
              <w:pStyle w:val="TableText"/>
            </w:pPr>
            <w:r>
              <w:t xml:space="preserve">2P × 28 = 56 moduli = 2 stringhe</w:t>
            </w:r>
          </w:p>
        </w:tc>
        <w:tc>
          <w:tcPr>
            <w:tcW w:w="3626" w:type="dxa"/>
          </w:tcPr>
          <w:p>
            <w:pPr>
              <w:pStyle w:val="TableText"/>
            </w:pPr>
            <w:r>
              <w:t xml:space="preserve">86 tavoli da 56 moduli + 1 tavolo da 28 moduli</w:t>
            </w:r>
          </w:p>
        </w:tc>
      </w:tr>
      <w:tr>
        <w:tc>
          <w:tcPr>
            <w:tcW w:w="2195" w:type="dxa"/>
          </w:tcPr>
          <w:p>
            <w:pPr>
              <w:pStyle w:val="TableText"/>
            </w:pPr>
            <w:r>
              <w:t xml:space="preserve">Altezza minima del bordo inferiore dal suolo</w:t>
            </w:r>
          </w:p>
        </w:tc>
        <w:tc>
          <w:tcPr>
            <w:tcW w:w="3817" w:type="dxa"/>
          </w:tcPr>
          <w:p>
            <w:pPr>
              <w:pStyle w:val="TableText"/>
            </w:pPr>
            <w:r>
              <w:t xml:space="preserve">≥ 0,8 m</w:t>
            </w:r>
          </w:p>
        </w:tc>
        <w:tc>
          <w:tcPr>
            <w:tcW w:w="3626" w:type="dxa"/>
          </w:tcPr>
          <w:p>
            <w:pPr>
              <w:pStyle w:val="TableText"/>
            </w:pPr>
            <w:r>
              <w:t xml:space="preserve">per la resa bifacciale, la manutenzione del verde e il deflusso della neve</w:t>
            </w:r>
          </w:p>
        </w:tc>
      </w:tr>
    </w:tbl>
    <w:p>
      <w:pPr>
        <w:pStyle w:val="Normal"/>
        <w:spacing w:after="60"/>
      </w:pPr>
    </w:p>
    <w:p>
      <w:pPr>
        <w:pStyle w:val="Normal"/>
      </w:pPr>
      <w:r>
        <w:rPr>
          <w:b/>
        </w:rPr>
        <w:t xml:space="preserve">Verifica di ombreggiamento tra le file (solstizio d'inverno, mezzogiorno solare).</w:t>
      </w:r>
      <w:r>
        <w:t xml:space="preserve"> Elevazione solare: h = 90° − 45,46° − 23,45° = 21,1°. Lunghezza dell'ombra del bordo superiore: 2,02 / tan 21,1° = 5,24 m. Distanza libera tra le file: 11,4 − 4,34 = 7,06 m &gt; 5,24 m. A mezzogiorno del 21 dicembre non c'è ombreggiamento reciproco. Nelle prime e ultime ore delle giornate invernali resta una perdita, compresa nell'1,5 % di ombreggiamento della tabella perdite. Verifica preliminare da ripetere con il layout reale (PVsyst o equivalente).</w:t>
      </w:r>
    </w:p>
    <w:p>
      <w:pPr>
        <w:pStyle w:val="Heading2"/>
      </w:pPr>
      <w:r>
        <w:t xml:space="preserve">5.3 Dimensionamento delle stringhe</w:t>
      </w:r>
    </w:p>
    <w:p>
      <w:pPr>
        <w:pStyle w:val="Normal"/>
      </w:pPr>
      <w:r>
        <w:t xml:space="preserve">Formule (convenzioni del simulatore, </w:t>
      </w:r>
      <w:r>
        <w:rPr>
          <w:rFonts w:ascii="Consolas" w:hAnsi="Consolas" w:cs="Consolas"/>
        </w:rPr>
        <w:t xml:space="preserve">engineering()</w:t>
      </w:r>
      <w:r>
        <w:t xml:space="preserve">):</w:t>
      </w:r>
    </w:p>
    <w:p>
      <w:pPr>
        <w:pStyle w:val="ListParagraph"/>
      </w:pPr>
      <w:r>
        <w:t xml:space="preserve">•  </w:t>
      </w:r>
      <w:r>
        <w:t xml:space="preserve">Voc alla temperatura minima: Voc(Tmin) = Voc × [1 + βVoc/100 × (Tmin − 25)]</w:t>
      </w:r>
    </w:p>
    <w:p>
      <w:pPr>
        <w:pStyle w:val="ListParagraph"/>
      </w:pPr>
      <w:r>
        <w:t xml:space="preserve">•  </w:t>
      </w:r>
      <w:r>
        <w:t xml:space="preserve">Vmp alla temperatura minima: Vmp(Tmin) = Vmp × [1 + βVmp/100 × (Tmin − 25)]</w:t>
      </w:r>
    </w:p>
    <w:p>
      <w:pPr>
        <w:pStyle w:val="ListParagraph"/>
      </w:pPr>
      <w:r>
        <w:t xml:space="preserve">•  </w:t>
      </w:r>
      <w:r>
        <w:t xml:space="preserve">Vmp alla temperatura di cella massima: Vmp(Tc,max) = Vmp × [1 + βVmp/100 × (Tc,max − 25)]</w:t>
      </w:r>
    </w:p>
    <w:p>
      <w:pPr>
        <w:pStyle w:val="ListParagraph"/>
      </w:pPr>
      <w:r>
        <w:t xml:space="preserve">•  </w:t>
      </w:r>
      <w:r>
        <w:t xml:space="preserve">Moduli in serie massimi: Nmax = min[ floor(Vdc,max / Voc(Tmin)) ; floor(VMPPT,max / Vmp(Tmin)) ]</w:t>
      </w:r>
    </w:p>
    <w:p>
      <w:pPr>
        <w:pStyle w:val="ListParagraph"/>
      </w:pPr>
      <w:r>
        <w:t xml:space="preserve">•  </w:t>
      </w:r>
      <w:r>
        <w:t xml:space="preserve">Moduli in serie minimi: Nmin = ceil(VMPPT,min / Vmp(Tc,max)); a piena potenza Nmin,full = ceil(VMPPT,full,min / Vmp(Tc,max))</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760"/>
        <w:gridCol w:w="4878"/>
      </w:tblGrid>
      <w:tr>
        <w:trPr>
          <w:tblHeader/>
        </w:trPr>
        <w:tc>
          <w:tcPr>
            <w:tcW w:w="4760" w:type="dxa"/>
            <w:shd w:val="clear" w:color="auto" w:fill="E3EAEC"/>
          </w:tcPr>
          <w:p>
            <w:pPr>
              <w:pStyle w:val="TableText"/>
            </w:pPr>
            <w:r>
              <w:rPr>
                <w:b/>
              </w:rPr>
              <w:t xml:space="preserve">Grandezza</w:t>
            </w:r>
          </w:p>
        </w:tc>
        <w:tc>
          <w:tcPr>
            <w:tcW w:w="4878" w:type="dxa"/>
            <w:shd w:val="clear" w:color="auto" w:fill="E3EAEC"/>
          </w:tcPr>
          <w:p>
            <w:pPr>
              <w:pStyle w:val="TableText"/>
            </w:pPr>
            <w:r>
              <w:rPr>
                <w:b/>
              </w:rPr>
              <w:t xml:space="preserve">Valore</w:t>
            </w:r>
          </w:p>
        </w:tc>
      </w:tr>
      <w:tr>
        <w:tc>
          <w:tcPr>
            <w:tcW w:w="4760" w:type="dxa"/>
          </w:tcPr>
          <w:p>
            <w:pPr>
              <w:pStyle w:val="TableText"/>
            </w:pPr>
            <w:r>
              <w:t xml:space="preserve">Voc(−9,5 °C)</w:t>
            </w:r>
          </w:p>
        </w:tc>
        <w:tc>
          <w:tcPr>
            <w:tcW w:w="4878" w:type="dxa"/>
          </w:tcPr>
          <w:p>
            <w:pPr>
              <w:pStyle w:val="TableText"/>
            </w:pPr>
            <w:r>
              <w:t xml:space="preserve">48,9 × [1 − 0,0025 × (−34,5)] = </w:t>
            </w:r>
            <w:r>
              <w:rPr>
                <w:b/>
              </w:rPr>
              <w:t xml:space="preserve">53,12 V</w:t>
            </w:r>
          </w:p>
        </w:tc>
      </w:tr>
      <w:tr>
        <w:tc>
          <w:tcPr>
            <w:tcW w:w="4760" w:type="dxa"/>
          </w:tcPr>
          <w:p>
            <w:pPr>
              <w:pStyle w:val="TableText"/>
            </w:pPr>
            <w:r>
              <w:t xml:space="preserve">Vmp(−9,5 °C)</w:t>
            </w:r>
          </w:p>
        </w:tc>
        <w:tc>
          <w:tcPr>
            <w:tcW w:w="4878" w:type="dxa"/>
          </w:tcPr>
          <w:p>
            <w:pPr>
              <w:pStyle w:val="TableText"/>
            </w:pPr>
            <w:r>
              <w:t xml:space="preserve">41,0 × [1 − 0,0029 × (−34,5)] = </w:t>
            </w:r>
            <w:r>
              <w:rPr>
                <w:b/>
              </w:rPr>
              <w:t xml:space="preserve">45,10 V</w:t>
            </w:r>
          </w:p>
        </w:tc>
      </w:tr>
      <w:tr>
        <w:tc>
          <w:tcPr>
            <w:tcW w:w="4760" w:type="dxa"/>
          </w:tcPr>
          <w:p>
            <w:pPr>
              <w:pStyle w:val="TableText"/>
            </w:pPr>
            <w:r>
              <w:t xml:space="preserve">Vmp(64,8 °C)</w:t>
            </w:r>
          </w:p>
        </w:tc>
        <w:tc>
          <w:tcPr>
            <w:tcW w:w="4878" w:type="dxa"/>
          </w:tcPr>
          <w:p>
            <w:pPr>
              <w:pStyle w:val="TableText"/>
            </w:pPr>
            <w:r>
              <w:t xml:space="preserve">41,0 × [1 − 0,0029 × 39,75] = </w:t>
            </w:r>
            <w:r>
              <w:rPr>
                <w:b/>
              </w:rPr>
              <w:t xml:space="preserve">36,27 V</w:t>
            </w:r>
          </w:p>
        </w:tc>
      </w:tr>
      <w:tr>
        <w:tc>
          <w:tcPr>
            <w:tcW w:w="4760" w:type="dxa"/>
          </w:tcPr>
          <w:p>
            <w:pPr>
              <w:pStyle w:val="TableText"/>
            </w:pPr>
            <w:r>
              <w:t xml:space="preserve">Nmax per tensione DC (1.500 / 53,12)</w:t>
            </w:r>
          </w:p>
        </w:tc>
        <w:tc>
          <w:tcPr>
            <w:tcW w:w="4878" w:type="dxa"/>
          </w:tcPr>
          <w:p>
            <w:pPr>
              <w:pStyle w:val="TableText"/>
            </w:pPr>
            <w:r>
              <w:t xml:space="preserve">28</w:t>
            </w:r>
          </w:p>
        </w:tc>
      </w:tr>
      <w:tr>
        <w:tc>
          <w:tcPr>
            <w:tcW w:w="4760" w:type="dxa"/>
          </w:tcPr>
          <w:p>
            <w:pPr>
              <w:pStyle w:val="TableText"/>
            </w:pPr>
            <w:r>
              <w:t xml:space="preserve">Nmax per finestra MPPT (1.500 / 45,10)</w:t>
            </w:r>
          </w:p>
        </w:tc>
        <w:tc>
          <w:tcPr>
            <w:tcW w:w="4878" w:type="dxa"/>
          </w:tcPr>
          <w:p>
            <w:pPr>
              <w:pStyle w:val="TableText"/>
            </w:pPr>
            <w:r>
              <w:t xml:space="preserve">33</w:t>
            </w:r>
          </w:p>
        </w:tc>
      </w:tr>
      <w:tr>
        <w:tc>
          <w:tcPr>
            <w:tcW w:w="4760" w:type="dxa"/>
          </w:tcPr>
          <w:p>
            <w:pPr>
              <w:pStyle w:val="TableText"/>
            </w:pPr>
            <w:r>
              <w:t xml:space="preserve">Nmin per MPPT (500 / 36,27)</w:t>
            </w:r>
          </w:p>
        </w:tc>
        <w:tc>
          <w:tcPr>
            <w:tcW w:w="4878" w:type="dxa"/>
          </w:tcPr>
          <w:p>
            <w:pPr>
              <w:pStyle w:val="TableText"/>
            </w:pPr>
            <w:r>
              <w:t xml:space="preserve">14</w:t>
            </w:r>
          </w:p>
        </w:tc>
      </w:tr>
      <w:tr>
        <w:tc>
          <w:tcPr>
            <w:tcW w:w="4760" w:type="dxa"/>
          </w:tcPr>
          <w:p>
            <w:pPr>
              <w:pStyle w:val="TableText"/>
            </w:pPr>
            <w:r>
              <w:t xml:space="preserve">Nmin a piena potenza (880 / 36,27)</w:t>
            </w:r>
          </w:p>
        </w:tc>
        <w:tc>
          <w:tcPr>
            <w:tcW w:w="4878" w:type="dxa"/>
          </w:tcPr>
          <w:p>
            <w:pPr>
              <w:pStyle w:val="TableText"/>
            </w:pPr>
            <w:r>
              <w:t xml:space="preserve">25</w:t>
            </w:r>
          </w:p>
        </w:tc>
      </w:tr>
      <w:tr>
        <w:tc>
          <w:tcPr>
            <w:tcW w:w="4760" w:type="dxa"/>
          </w:tcPr>
          <w:p>
            <w:pPr>
              <w:pStyle w:val="TableText"/>
            </w:pPr>
            <w:r>
              <w:rPr>
                <w:b/>
              </w:rPr>
              <w:t xml:space="preserve">Moduli in serie scelti</w:t>
            </w:r>
          </w:p>
        </w:tc>
        <w:tc>
          <w:tcPr>
            <w:tcW w:w="4878" w:type="dxa"/>
          </w:tcPr>
          <w:p>
            <w:pPr>
              <w:pStyle w:val="TableText"/>
            </w:pPr>
            <w:r>
              <w:rPr>
                <w:b/>
              </w:rPr>
              <w:t xml:space="preserve">28</w:t>
            </w:r>
          </w:p>
        </w:tc>
      </w:tr>
      <w:tr>
        <w:tc>
          <w:tcPr>
            <w:tcW w:w="4760" w:type="dxa"/>
          </w:tcPr>
          <w:p>
            <w:pPr>
              <w:pStyle w:val="TableText"/>
            </w:pPr>
            <w:r>
              <w:t xml:space="preserve">Potenza di stringa</w:t>
            </w:r>
          </w:p>
        </w:tc>
        <w:tc>
          <w:tcPr>
            <w:tcW w:w="4878" w:type="dxa"/>
          </w:tcPr>
          <w:p>
            <w:pPr>
              <w:pStyle w:val="TableText"/>
            </w:pPr>
            <w:r>
              <w:t xml:space="preserve">28 × 620 = 17,36 kWp</w:t>
            </w:r>
          </w:p>
        </w:tc>
      </w:tr>
      <w:tr>
        <w:tc>
          <w:tcPr>
            <w:tcW w:w="4760" w:type="dxa"/>
          </w:tcPr>
          <w:p>
            <w:pPr>
              <w:pStyle w:val="TableText"/>
            </w:pPr>
            <w:r>
              <w:t xml:space="preserve">Numero di stringhe</w:t>
            </w:r>
          </w:p>
        </w:tc>
        <w:tc>
          <w:tcPr>
            <w:tcW w:w="4878" w:type="dxa"/>
          </w:tcPr>
          <w:p>
            <w:pPr>
              <w:pStyle w:val="TableText"/>
            </w:pPr>
            <w:r>
              <w:t xml:space="preserve">173</w:t>
            </w:r>
          </w:p>
        </w:tc>
      </w:tr>
      <w:tr>
        <w:tc>
          <w:tcPr>
            <w:tcW w:w="4760" w:type="dxa"/>
          </w:tcPr>
          <w:p>
            <w:pPr>
              <w:pStyle w:val="TableText"/>
            </w:pPr>
            <w:r>
              <w:t xml:space="preserve">Stringhe per inverter / per MPPT</w:t>
            </w:r>
          </w:p>
        </w:tc>
        <w:tc>
          <w:tcPr>
            <w:tcW w:w="4878" w:type="dxa"/>
          </w:tcPr>
          <w:p>
            <w:pPr>
              <w:pStyle w:val="TableText"/>
            </w:pPr>
            <w:r>
              <w:t xml:space="preserve">25 / 3 (inverter con 12 MPPT)</w:t>
            </w:r>
          </w:p>
        </w:tc>
      </w:tr>
    </w:tbl>
    <w:p>
      <w:pPr>
        <w:pStyle w:val="Normal"/>
        <w:spacing w:after="60"/>
      </w:pPr>
    </w:p>
    <w:p>
      <w:pPr>
        <w:pStyle w:val="Normal"/>
      </w:pPr>
      <w:r>
        <w:t xml:space="preserve">Distribuzione: 173 stringhe su 7 inverter, cioè 5 inverter da 25 stringhe e 2 da 24. La distribuzione definitiva va bilanciata sugli MPPT in funzione del layout.</w:t>
      </w:r>
    </w:p>
    <w:p>
      <w:pPr>
        <w:pStyle w:val="Heading2"/>
      </w:pPr>
      <w:r>
        <w:t xml:space="preserve">5.4 Verifiche elettriche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488"/>
        <w:gridCol w:w="4651"/>
        <w:gridCol w:w="2593"/>
        <w:gridCol w:w="991"/>
        <w:gridCol w:w="915"/>
      </w:tblGrid>
      <w:tr>
        <w:trPr>
          <w:tblHeader/>
        </w:trPr>
        <w:tc>
          <w:tcPr>
            <w:tcW w:w="488" w:type="dxa"/>
            <w:shd w:val="clear" w:color="auto" w:fill="E3EAEC"/>
          </w:tcPr>
          <w:p>
            <w:pPr>
              <w:pStyle w:val="TableText"/>
            </w:pPr>
            <w:r>
              <w:rPr>
                <w:b/>
              </w:rPr>
              <w:t xml:space="preserve">Rif.</w:t>
            </w:r>
          </w:p>
        </w:tc>
        <w:tc>
          <w:tcPr>
            <w:tcW w:w="4651" w:type="dxa"/>
            <w:shd w:val="clear" w:color="auto" w:fill="E3EAEC"/>
          </w:tcPr>
          <w:p>
            <w:pPr>
              <w:pStyle w:val="TableText"/>
            </w:pPr>
            <w:r>
              <w:rPr>
                <w:b/>
              </w:rPr>
              <w:t xml:space="preserve">Verifica</w:t>
            </w:r>
          </w:p>
        </w:tc>
        <w:tc>
          <w:tcPr>
            <w:tcW w:w="2593" w:type="dxa"/>
            <w:shd w:val="clear" w:color="auto" w:fill="E3EAEC"/>
          </w:tcPr>
          <w:p>
            <w:pPr>
              <w:pStyle w:val="TableText"/>
            </w:pPr>
            <w:r>
              <w:rPr>
                <w:b/>
              </w:rPr>
              <w:t xml:space="preserve">Valore</w:t>
            </w:r>
          </w:p>
        </w:tc>
        <w:tc>
          <w:tcPr>
            <w:tcW w:w="991" w:type="dxa"/>
            <w:shd w:val="clear" w:color="auto" w:fill="E3EAEC"/>
          </w:tcPr>
          <w:p>
            <w:pPr>
              <w:pStyle w:val="TableText"/>
            </w:pPr>
            <w:r>
              <w:rPr>
                <w:b/>
              </w:rPr>
              <w:t xml:space="preserve">Limite</w:t>
            </w:r>
          </w:p>
        </w:tc>
        <w:tc>
          <w:tcPr>
            <w:tcW w:w="915" w:type="dxa"/>
            <w:shd w:val="clear" w:color="auto" w:fill="E3EAEC"/>
          </w:tcPr>
          <w:p>
            <w:pPr>
              <w:pStyle w:val="TableText"/>
            </w:pPr>
            <w:r>
              <w:rPr>
                <w:b/>
              </w:rPr>
              <w:t xml:space="preserve">Esito</w:t>
            </w:r>
          </w:p>
        </w:tc>
      </w:tr>
      <w:tr>
        <w:tc>
          <w:tcPr>
            <w:tcW w:w="488" w:type="dxa"/>
          </w:tcPr>
          <w:p>
            <w:pPr>
              <w:pStyle w:val="TableText"/>
            </w:pPr>
            <w:r>
              <w:t xml:space="preserve">S1</w:t>
            </w:r>
          </w:p>
        </w:tc>
        <w:tc>
          <w:tcPr>
            <w:tcW w:w="4651" w:type="dxa"/>
          </w:tcPr>
          <w:p>
            <w:pPr>
              <w:pStyle w:val="TableText"/>
            </w:pPr>
            <w:r>
              <w:t xml:space="preserve">Tensione a vuoto alla Tmin ≤ Vdc max inverter</w:t>
            </w:r>
          </w:p>
        </w:tc>
        <w:tc>
          <w:tcPr>
            <w:tcW w:w="2593" w:type="dxa"/>
          </w:tcPr>
          <w:p>
            <w:pPr>
              <w:pStyle w:val="TableText"/>
            </w:pPr>
            <w:r>
              <w:t xml:space="preserve">28 × 53,12 = 1.487 V</w:t>
            </w:r>
          </w:p>
        </w:tc>
        <w:tc>
          <w:tcPr>
            <w:tcW w:w="991" w:type="dxa"/>
          </w:tcPr>
          <w:p>
            <w:pPr>
              <w:pStyle w:val="TableText"/>
            </w:pPr>
            <w:r>
              <w:t xml:space="preserve">≤ 1.500 V</w:t>
            </w:r>
          </w:p>
        </w:tc>
        <w:tc>
          <w:tcPr>
            <w:tcW w:w="915" w:type="dxa"/>
          </w:tcPr>
          <w:p>
            <w:pPr>
              <w:pStyle w:val="TableText"/>
            </w:pPr>
            <w:r>
              <w:t xml:space="preserve">verificato</w:t>
            </w:r>
          </w:p>
        </w:tc>
      </w:tr>
      <w:tr>
        <w:tc>
          <w:tcPr>
            <w:tcW w:w="488" w:type="dxa"/>
          </w:tcPr>
          <w:p>
            <w:pPr>
              <w:pStyle w:val="TableText"/>
            </w:pPr>
            <w:r>
              <w:t xml:space="preserve">S2</w:t>
            </w:r>
          </w:p>
        </w:tc>
        <w:tc>
          <w:tcPr>
            <w:tcW w:w="4651" w:type="dxa"/>
          </w:tcPr>
          <w:p>
            <w:pPr>
              <w:pStyle w:val="TableText"/>
            </w:pPr>
            <w:r>
              <w:t xml:space="preserve">Vmp alla Tmin ≤ limite superiore MPPT</w:t>
            </w:r>
          </w:p>
        </w:tc>
        <w:tc>
          <w:tcPr>
            <w:tcW w:w="2593" w:type="dxa"/>
          </w:tcPr>
          <w:p>
            <w:pPr>
              <w:pStyle w:val="TableText"/>
            </w:pPr>
            <w:r>
              <w:t xml:space="preserve">28 × 45,10 = 1.263 V</w:t>
            </w:r>
          </w:p>
        </w:tc>
        <w:tc>
          <w:tcPr>
            <w:tcW w:w="991" w:type="dxa"/>
          </w:tcPr>
          <w:p>
            <w:pPr>
              <w:pStyle w:val="TableText"/>
            </w:pPr>
            <w:r>
              <w:t xml:space="preserve">≤ 1.500 V</w:t>
            </w:r>
          </w:p>
        </w:tc>
        <w:tc>
          <w:tcPr>
            <w:tcW w:w="915" w:type="dxa"/>
          </w:tcPr>
          <w:p>
            <w:pPr>
              <w:pStyle w:val="TableText"/>
            </w:pPr>
            <w:r>
              <w:t xml:space="preserve">verificato</w:t>
            </w:r>
          </w:p>
        </w:tc>
      </w:tr>
      <w:tr>
        <w:tc>
          <w:tcPr>
            <w:tcW w:w="488" w:type="dxa"/>
          </w:tcPr>
          <w:p>
            <w:pPr>
              <w:pStyle w:val="TableText"/>
            </w:pPr>
            <w:r>
              <w:t xml:space="preserve">S3</w:t>
            </w:r>
          </w:p>
        </w:tc>
        <w:tc>
          <w:tcPr>
            <w:tcW w:w="4651" w:type="dxa"/>
          </w:tcPr>
          <w:p>
            <w:pPr>
              <w:pStyle w:val="TableText"/>
            </w:pPr>
            <w:r>
              <w:t xml:space="preserve">Vmp alla Tcella max ≥ limite inferiore MPPT a piena potenza</w:t>
            </w:r>
          </w:p>
        </w:tc>
        <w:tc>
          <w:tcPr>
            <w:tcW w:w="2593" w:type="dxa"/>
          </w:tcPr>
          <w:p>
            <w:pPr>
              <w:pStyle w:val="TableText"/>
            </w:pPr>
            <w:r>
              <w:t xml:space="preserve">28 × 36,27 = 1.016 V</w:t>
            </w:r>
          </w:p>
        </w:tc>
        <w:tc>
          <w:tcPr>
            <w:tcW w:w="991" w:type="dxa"/>
          </w:tcPr>
          <w:p>
            <w:pPr>
              <w:pStyle w:val="TableText"/>
            </w:pPr>
            <w:r>
              <w:t xml:space="preserve">≥ 880 V</w:t>
            </w:r>
          </w:p>
        </w:tc>
        <w:tc>
          <w:tcPr>
            <w:tcW w:w="915" w:type="dxa"/>
          </w:tcPr>
          <w:p>
            <w:pPr>
              <w:pStyle w:val="TableText"/>
            </w:pPr>
            <w:r>
              <w:t xml:space="preserve">verificato</w:t>
            </w:r>
          </w:p>
        </w:tc>
      </w:tr>
      <w:tr>
        <w:tc>
          <w:tcPr>
            <w:tcW w:w="488" w:type="dxa"/>
          </w:tcPr>
          <w:p>
            <w:pPr>
              <w:pStyle w:val="TableText"/>
            </w:pPr>
            <w:r>
              <w:t xml:space="preserve">S4</w:t>
            </w:r>
          </w:p>
        </w:tc>
        <w:tc>
          <w:tcPr>
            <w:tcW w:w="4651" w:type="dxa"/>
          </w:tcPr>
          <w:p>
            <w:pPr>
              <w:pStyle w:val="TableText"/>
            </w:pPr>
            <w:r>
              <w:t xml:space="preserve">Corrente di lavoro per MPPT</w:t>
            </w:r>
          </w:p>
        </w:tc>
        <w:tc>
          <w:tcPr>
            <w:tcW w:w="2593" w:type="dxa"/>
          </w:tcPr>
          <w:p>
            <w:pPr>
              <w:pStyle w:val="TableText"/>
            </w:pPr>
            <w:r>
              <w:t xml:space="preserve">3 × 15,12 = 45,4 A</w:t>
            </w:r>
          </w:p>
        </w:tc>
        <w:tc>
          <w:tcPr>
            <w:tcW w:w="991" w:type="dxa"/>
          </w:tcPr>
          <w:p>
            <w:pPr>
              <w:pStyle w:val="TableText"/>
            </w:pPr>
            <w:r>
              <w:t xml:space="preserve">≤ 65 A</w:t>
            </w:r>
          </w:p>
        </w:tc>
        <w:tc>
          <w:tcPr>
            <w:tcW w:w="915" w:type="dxa"/>
          </w:tcPr>
          <w:p>
            <w:pPr>
              <w:pStyle w:val="TableText"/>
            </w:pPr>
            <w:r>
              <w:t xml:space="preserve">verificato</w:t>
            </w:r>
          </w:p>
        </w:tc>
      </w:tr>
      <w:tr>
        <w:tc>
          <w:tcPr>
            <w:tcW w:w="488" w:type="dxa"/>
          </w:tcPr>
          <w:p>
            <w:pPr>
              <w:pStyle w:val="TableText"/>
            </w:pPr>
            <w:r>
              <w:t xml:space="preserve">S5</w:t>
            </w:r>
          </w:p>
        </w:tc>
        <w:tc>
          <w:tcPr>
            <w:tcW w:w="4651" w:type="dxa"/>
          </w:tcPr>
          <w:p>
            <w:pPr>
              <w:pStyle w:val="TableText"/>
            </w:pPr>
            <w:r>
              <w:t xml:space="preserve">Corrente di cortocircuito per MPPT (× 1,25, a Tmax)</w:t>
            </w:r>
          </w:p>
        </w:tc>
        <w:tc>
          <w:tcPr>
            <w:tcW w:w="2593" w:type="dxa"/>
          </w:tcPr>
          <w:p>
            <w:pPr>
              <w:pStyle w:val="TableText"/>
            </w:pPr>
            <w:r>
              <w:t xml:space="preserve">3 × 16,0 × 1,25 × 1,018 = 61,1 A</w:t>
            </w:r>
          </w:p>
        </w:tc>
        <w:tc>
          <w:tcPr>
            <w:tcW w:w="991" w:type="dxa"/>
          </w:tcPr>
          <w:p>
            <w:pPr>
              <w:pStyle w:val="TableText"/>
            </w:pPr>
            <w:r>
              <w:t xml:space="preserve">≤ 115 A</w:t>
            </w:r>
          </w:p>
        </w:tc>
        <w:tc>
          <w:tcPr>
            <w:tcW w:w="915" w:type="dxa"/>
          </w:tcPr>
          <w:p>
            <w:pPr>
              <w:pStyle w:val="TableText"/>
            </w:pPr>
            <w:r>
              <w:t xml:space="preserve">verificato</w:t>
            </w:r>
          </w:p>
        </w:tc>
      </w:tr>
      <w:tr>
        <w:tc>
          <w:tcPr>
            <w:tcW w:w="488" w:type="dxa"/>
          </w:tcPr>
          <w:p>
            <w:pPr>
              <w:pStyle w:val="TableText"/>
            </w:pPr>
            <w:r>
              <w:t xml:space="preserve">S6</w:t>
            </w:r>
          </w:p>
        </w:tc>
        <w:tc>
          <w:tcPr>
            <w:tcW w:w="4651" w:type="dxa"/>
          </w:tcPr>
          <w:p>
            <w:pPr>
              <w:pStyle w:val="TableText"/>
            </w:pPr>
            <w:r>
              <w:t xml:space="preserve">Stringhe per inverter entro gli ingressi disponibili</w:t>
            </w:r>
          </w:p>
        </w:tc>
        <w:tc>
          <w:tcPr>
            <w:tcW w:w="2593" w:type="dxa"/>
          </w:tcPr>
          <w:p>
            <w:pPr>
              <w:pStyle w:val="TableText"/>
            </w:pPr>
            <w:r>
              <w:t xml:space="preserve">25</w:t>
            </w:r>
          </w:p>
        </w:tc>
        <w:tc>
          <w:tcPr>
            <w:tcW w:w="991" w:type="dxa"/>
          </w:tcPr>
          <w:p>
            <w:pPr>
              <w:pStyle w:val="TableText"/>
            </w:pPr>
            <w:r>
              <w:t xml:space="preserve">≤ 36</w:t>
            </w:r>
          </w:p>
        </w:tc>
        <w:tc>
          <w:tcPr>
            <w:tcW w:w="915" w:type="dxa"/>
          </w:tcPr>
          <w:p>
            <w:pPr>
              <w:pStyle w:val="TableText"/>
            </w:pPr>
            <w:r>
              <w:t xml:space="preserve">verificato</w:t>
            </w:r>
          </w:p>
        </w:tc>
      </w:tr>
      <w:tr>
        <w:tc>
          <w:tcPr>
            <w:tcW w:w="488" w:type="dxa"/>
          </w:tcPr>
          <w:p>
            <w:pPr>
              <w:pStyle w:val="TableText"/>
            </w:pPr>
            <w:r>
              <w:t xml:space="preserve">S7</w:t>
            </w:r>
          </w:p>
        </w:tc>
        <w:tc>
          <w:tcPr>
            <w:tcW w:w="4651" w:type="dxa"/>
          </w:tcPr>
          <w:p>
            <w:pPr>
              <w:pStyle w:val="TableText"/>
            </w:pPr>
            <w:r>
              <w:t xml:space="preserve">Rapporto DC/AC effettivo</w:t>
            </w:r>
          </w:p>
        </w:tc>
        <w:tc>
          <w:tcPr>
            <w:tcW w:w="2593" w:type="dxa"/>
          </w:tcPr>
          <w:p>
            <w:pPr>
              <w:pStyle w:val="TableText"/>
            </w:pPr>
            <w:r>
              <w:t xml:space="preserve">3.003 / 2.450 = 1,23</w:t>
            </w:r>
          </w:p>
        </w:tc>
        <w:tc>
          <w:tcPr>
            <w:tcW w:w="991" w:type="dxa"/>
          </w:tcPr>
          <w:p>
            <w:pPr>
              <w:pStyle w:val="TableText"/>
            </w:pPr>
            <w:r>
              <w:t xml:space="preserve">1,00 – 1,40</w:t>
            </w:r>
          </w:p>
        </w:tc>
        <w:tc>
          <w:tcPr>
            <w:tcW w:w="915" w:type="dxa"/>
          </w:tcPr>
          <w:p>
            <w:pPr>
              <w:pStyle w:val="TableText"/>
            </w:pPr>
            <w:r>
              <w:t xml:space="preserve">verificato</w:t>
            </w:r>
          </w:p>
        </w:tc>
      </w:tr>
    </w:tbl>
    <w:p>
      <w:pPr>
        <w:pStyle w:val="Normal"/>
        <w:spacing w:after="60"/>
      </w:pPr>
    </w:p>
    <w:p>
      <w:pPr>
        <w:pStyle w:val="Normal"/>
      </w:pPr>
      <w:r>
        <w:t xml:space="preserve">La verifica S1 ha un margine di soli 13 V (0,9 %), quindi la temperatura minima di progetto è il parametro critico. Se la minima assoluta di sito risultasse inferiore a −10 °C, o se il modulo scelto avesse una Voc più alta, si passa a 27 moduli in serie (Voc = 1.434 V; Vmp a caldo = 979 V ≥ 880 V, ancora verificato). In questo caso il numero di stringhe sale a circa 179.</w:t>
      </w:r>
    </w:p>
    <w:p>
      <w:pPr>
        <w:pStyle w:val="Heading2"/>
      </w:pPr>
      <w:r>
        <w:t xml:space="preserve">5.5 Producibilità e perdite</w:t>
      </w:r>
    </w:p>
    <w:p>
      <w:pPr>
        <w:pStyle w:val="Normal"/>
      </w:pPr>
      <w:r>
        <w:t xml:space="preserve">Modello del simulatore: meteo orario sintetico (giornate generate con indice di serenità AR(1) e conservazione della media mensile), scomposizione diretta/diffusa di Erbs, trasposizione di Hay-Davies, guadagno bifacciale semplificato, temperatura di cella da NOCT, efficienza dell'inverter a carico parziale e clipping al limite AC.</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744"/>
        <w:gridCol w:w="2603"/>
        <w:gridCol w:w="4291"/>
      </w:tblGrid>
      <w:tr>
        <w:trPr>
          <w:tblHeader/>
        </w:trPr>
        <w:tc>
          <w:tcPr>
            <w:tcW w:w="2744" w:type="dxa"/>
            <w:shd w:val="clear" w:color="auto" w:fill="E3EAEC"/>
          </w:tcPr>
          <w:p>
            <w:pPr>
              <w:pStyle w:val="TableText"/>
            </w:pPr>
            <w:r>
              <w:rPr>
                <w:b/>
              </w:rPr>
              <w:t xml:space="preserve">Perdita / fattore</w:t>
            </w:r>
          </w:p>
        </w:tc>
        <w:tc>
          <w:tcPr>
            <w:tcW w:w="2603" w:type="dxa"/>
            <w:shd w:val="clear" w:color="auto" w:fill="E3EAEC"/>
          </w:tcPr>
          <w:p>
            <w:pPr>
              <w:pStyle w:val="TableText"/>
            </w:pPr>
            <w:r>
              <w:rPr>
                <w:b/>
              </w:rPr>
              <w:t xml:space="preserve">Valore</w:t>
            </w:r>
          </w:p>
        </w:tc>
        <w:tc>
          <w:tcPr>
            <w:tcW w:w="4291" w:type="dxa"/>
            <w:shd w:val="clear" w:color="auto" w:fill="E3EAEC"/>
          </w:tcPr>
          <w:p>
            <w:pPr>
              <w:pStyle w:val="TableText"/>
            </w:pPr>
            <w:r>
              <w:rPr>
                <w:b/>
              </w:rPr>
              <w:t xml:space="preserve">Note</w:t>
            </w:r>
          </w:p>
        </w:tc>
      </w:tr>
      <w:tr>
        <w:tc>
          <w:tcPr>
            <w:tcW w:w="2744" w:type="dxa"/>
          </w:tcPr>
          <w:p>
            <w:pPr>
              <w:pStyle w:val="TableText"/>
            </w:pPr>
            <w:r>
              <w:t xml:space="preserve">Sporcamento</w:t>
            </w:r>
          </w:p>
        </w:tc>
        <w:tc>
          <w:tcPr>
            <w:tcW w:w="2603" w:type="dxa"/>
          </w:tcPr>
          <w:p>
            <w:pPr>
              <w:pStyle w:val="TableText"/>
            </w:pPr>
            <w:r>
              <w:t xml:space="preserve">2,0 %</w:t>
            </w:r>
          </w:p>
        </w:tc>
        <w:tc>
          <w:tcPr>
            <w:tcW w:w="4291" w:type="dxa"/>
          </w:tcPr>
          <w:p>
            <w:pPr>
              <w:pStyle w:val="TableText"/>
            </w:pPr>
            <w:r>
              <w:t xml:space="preserve">pulizia 2 volte/anno</w:t>
            </w:r>
          </w:p>
        </w:tc>
      </w:tr>
      <w:tr>
        <w:tc>
          <w:tcPr>
            <w:tcW w:w="2744" w:type="dxa"/>
          </w:tcPr>
          <w:p>
            <w:pPr>
              <w:pStyle w:val="TableText"/>
            </w:pPr>
            <w:r>
              <w:t xml:space="preserve">Ombreggiamento (reciproco e ostacoli)</w:t>
            </w:r>
          </w:p>
        </w:tc>
        <w:tc>
          <w:tcPr>
            <w:tcW w:w="2603" w:type="dxa"/>
          </w:tcPr>
          <w:p>
            <w:pPr>
              <w:pStyle w:val="TableText"/>
            </w:pPr>
            <w:r>
              <w:t xml:space="preserve">1,5 %</w:t>
            </w:r>
          </w:p>
        </w:tc>
        <w:tc>
          <w:tcPr>
            <w:tcW w:w="4291" w:type="dxa"/>
          </w:tcPr>
          <w:p>
            <w:pPr>
              <w:pStyle w:val="TableText"/>
            </w:pPr>
            <w:r>
              <w:t xml:space="preserve">da verificare col layout</w:t>
            </w:r>
          </w:p>
        </w:tc>
      </w:tr>
      <w:tr>
        <w:tc>
          <w:tcPr>
            <w:tcW w:w="2744" w:type="dxa"/>
          </w:tcPr>
          <w:p>
            <w:pPr>
              <w:pStyle w:val="TableText"/>
            </w:pPr>
            <w:r>
              <w:t xml:space="preserve">Mismatch</w:t>
            </w:r>
          </w:p>
        </w:tc>
        <w:tc>
          <w:tcPr>
            <w:tcW w:w="2603" w:type="dxa"/>
          </w:tcPr>
          <w:p>
            <w:pPr>
              <w:pStyle w:val="TableText"/>
            </w:pPr>
            <w:r>
              <w:t xml:space="preserve">1,0 %</w:t>
            </w:r>
          </w:p>
        </w:tc>
        <w:tc>
          <w:tcPr>
            <w:tcW w:w="4291" w:type="dxa"/>
          </w:tcPr>
          <w:p>
            <w:pPr>
              <w:pStyle w:val="TableText"/>
            </w:pPr>
            <w:r>
              <w:t xml:space="preserve"/>
            </w:r>
          </w:p>
        </w:tc>
      </w:tr>
      <w:tr>
        <w:tc>
          <w:tcPr>
            <w:tcW w:w="2744" w:type="dxa"/>
          </w:tcPr>
          <w:p>
            <w:pPr>
              <w:pStyle w:val="TableText"/>
            </w:pPr>
            <w:r>
              <w:t xml:space="preserve">Cavi DC</w:t>
            </w:r>
          </w:p>
        </w:tc>
        <w:tc>
          <w:tcPr>
            <w:tcW w:w="2603" w:type="dxa"/>
          </w:tcPr>
          <w:p>
            <w:pPr>
              <w:pStyle w:val="TableText"/>
            </w:pPr>
            <w:r>
              <w:t xml:space="preserve">1,2 %</w:t>
            </w:r>
          </w:p>
        </w:tc>
        <w:tc>
          <w:tcPr>
            <w:tcW w:w="4291" w:type="dxa"/>
          </w:tcPr>
          <w:p>
            <w:pPr>
              <w:pStyle w:val="TableText"/>
            </w:pPr>
            <w:r>
              <w:t xml:space="preserve">a potenza nominale ΔV 0,66 %; valore energetico cautelativo</w:t>
            </w:r>
          </w:p>
        </w:tc>
      </w:tr>
      <w:tr>
        <w:tc>
          <w:tcPr>
            <w:tcW w:w="2744" w:type="dxa"/>
          </w:tcPr>
          <w:p>
            <w:pPr>
              <w:pStyle w:val="TableText"/>
            </w:pPr>
            <w:r>
              <w:t xml:space="preserve">Bassa irradianza</w:t>
            </w:r>
          </w:p>
        </w:tc>
        <w:tc>
          <w:tcPr>
            <w:tcW w:w="2603" w:type="dxa"/>
          </w:tcPr>
          <w:p>
            <w:pPr>
              <w:pStyle w:val="TableText"/>
            </w:pPr>
            <w:r>
              <w:t xml:space="preserve">1,0 % (parametro)</w:t>
            </w:r>
          </w:p>
        </w:tc>
        <w:tc>
          <w:tcPr>
            <w:tcW w:w="4291" w:type="dxa"/>
          </w:tcPr>
          <w:p>
            <w:pPr>
              <w:pStyle w:val="TableText"/>
            </w:pPr>
            <w:r>
              <w:t xml:space="preserve"/>
            </w:r>
          </w:p>
        </w:tc>
      </w:tr>
      <w:tr>
        <w:tc>
          <w:tcPr>
            <w:tcW w:w="2744" w:type="dxa"/>
          </w:tcPr>
          <w:p>
            <w:pPr>
              <w:pStyle w:val="TableText"/>
            </w:pPr>
            <w:r>
              <w:t xml:space="preserve">Temperatura</w:t>
            </w:r>
          </w:p>
        </w:tc>
        <w:tc>
          <w:tcPr>
            <w:tcW w:w="2603" w:type="dxa"/>
          </w:tcPr>
          <w:p>
            <w:pPr>
              <w:pStyle w:val="TableText"/>
            </w:pPr>
            <w:r>
              <w:t xml:space="preserve">calcolata ora per ora</w:t>
            </w:r>
          </w:p>
        </w:tc>
        <w:tc>
          <w:tcPr>
            <w:tcW w:w="4291" w:type="dxa"/>
          </w:tcPr>
          <w:p>
            <w:pPr>
              <w:pStyle w:val="TableText"/>
            </w:pPr>
            <w:r>
              <w:t xml:space="preserve">γ = −0,29 %/°C</w:t>
            </w:r>
          </w:p>
        </w:tc>
      </w:tr>
      <w:tr>
        <w:tc>
          <w:tcPr>
            <w:tcW w:w="2744" w:type="dxa"/>
          </w:tcPr>
          <w:p>
            <w:pPr>
              <w:pStyle w:val="TableText"/>
            </w:pPr>
            <w:r>
              <w:t xml:space="preserve">Efficienza inverter</w:t>
            </w:r>
          </w:p>
        </w:tc>
        <w:tc>
          <w:tcPr>
            <w:tcW w:w="2603" w:type="dxa"/>
          </w:tcPr>
          <w:p>
            <w:pPr>
              <w:pStyle w:val="TableText"/>
            </w:pPr>
            <w:r>
              <w:t xml:space="preserve">max 98,8 %, curva a carico parziale</w:t>
            </w:r>
          </w:p>
        </w:tc>
        <w:tc>
          <w:tcPr>
            <w:tcW w:w="4291" w:type="dxa"/>
          </w:tcPr>
          <w:p>
            <w:pPr>
              <w:pStyle w:val="TableText"/>
            </w:pPr>
            <w:r>
              <w:t xml:space="preserve"/>
            </w:r>
          </w:p>
        </w:tc>
      </w:tr>
      <w:tr>
        <w:tc>
          <w:tcPr>
            <w:tcW w:w="2744" w:type="dxa"/>
          </w:tcPr>
          <w:p>
            <w:pPr>
              <w:pStyle w:val="TableText"/>
            </w:pPr>
            <w:r>
              <w:t xml:space="preserve">Clipping (DC/AC 1,23)</w:t>
            </w:r>
          </w:p>
        </w:tc>
        <w:tc>
          <w:tcPr>
            <w:tcW w:w="2603" w:type="dxa"/>
          </w:tcPr>
          <w:p>
            <w:pPr>
              <w:pStyle w:val="TableText"/>
            </w:pPr>
            <w:r>
              <w:t xml:space="preserve">calcolato ora per ora</w:t>
            </w:r>
          </w:p>
        </w:tc>
        <w:tc>
          <w:tcPr>
            <w:tcW w:w="4291" w:type="dxa"/>
          </w:tcPr>
          <w:p>
            <w:pPr>
              <w:pStyle w:val="TableText"/>
            </w:pPr>
            <w:r>
              <w:t xml:space="preserve"/>
            </w:r>
          </w:p>
        </w:tc>
      </w:tr>
      <w:tr>
        <w:tc>
          <w:tcPr>
            <w:tcW w:w="2744" w:type="dxa"/>
          </w:tcPr>
          <w:p>
            <w:pPr>
              <w:pStyle w:val="TableText"/>
            </w:pPr>
            <w:r>
              <w:t xml:space="preserve">Cavi AC</w:t>
            </w:r>
          </w:p>
        </w:tc>
        <w:tc>
          <w:tcPr>
            <w:tcW w:w="2603" w:type="dxa"/>
          </w:tcPr>
          <w:p>
            <w:pPr>
              <w:pStyle w:val="TableText"/>
            </w:pPr>
            <w:r>
              <w:t xml:space="preserve">0,8 %</w:t>
            </w:r>
          </w:p>
        </w:tc>
        <w:tc>
          <w:tcPr>
            <w:tcW w:w="4291" w:type="dxa"/>
          </w:tcPr>
          <w:p>
            <w:pPr>
              <w:pStyle w:val="TableText"/>
            </w:pPr>
            <w:r>
              <w:t xml:space="preserve"/>
            </w:r>
          </w:p>
        </w:tc>
      </w:tr>
      <w:tr>
        <w:tc>
          <w:tcPr>
            <w:tcW w:w="2744" w:type="dxa"/>
          </w:tcPr>
          <w:p>
            <w:pPr>
              <w:pStyle w:val="TableText"/>
            </w:pPr>
            <w:r>
              <w:t xml:space="preserve">Trasformatore</w:t>
            </w:r>
          </w:p>
        </w:tc>
        <w:tc>
          <w:tcPr>
            <w:tcW w:w="2603" w:type="dxa"/>
          </w:tcPr>
          <w:p>
            <w:pPr>
              <w:pStyle w:val="TableText"/>
            </w:pPr>
            <w:r>
              <w:t xml:space="preserve">1,0 %</w:t>
            </w:r>
          </w:p>
        </w:tc>
        <w:tc>
          <w:tcPr>
            <w:tcW w:w="4291" w:type="dxa"/>
          </w:tcPr>
          <w:p>
            <w:pPr>
              <w:pStyle w:val="TableText"/>
            </w:pPr>
            <w:r>
              <w:t xml:space="preserve"/>
            </w:r>
          </w:p>
        </w:tc>
      </w:tr>
      <w:tr>
        <w:tc>
          <w:tcPr>
            <w:tcW w:w="2744" w:type="dxa"/>
          </w:tcPr>
          <w:p>
            <w:pPr>
              <w:pStyle w:val="TableText"/>
            </w:pPr>
            <w:r>
              <w:t xml:space="preserve">Disponibilità</w:t>
            </w:r>
          </w:p>
        </w:tc>
        <w:tc>
          <w:tcPr>
            <w:tcW w:w="2603" w:type="dxa"/>
          </w:tcPr>
          <w:p>
            <w:pPr>
              <w:pStyle w:val="TableText"/>
            </w:pPr>
            <w:r>
              <w:t xml:space="preserve">99,0 %</w:t>
            </w:r>
          </w:p>
        </w:tc>
        <w:tc>
          <w:tcPr>
            <w:tcW w:w="4291" w:type="dxa"/>
          </w:tcPr>
          <w:p>
            <w:pPr>
              <w:pStyle w:val="TableText"/>
            </w:pPr>
            <w:r>
              <w:t xml:space="preserve"/>
            </w:r>
          </w:p>
        </w:tc>
      </w:tr>
      <w:tr>
        <w:tc>
          <w:tcPr>
            <w:tcW w:w="2744" w:type="dxa"/>
          </w:tcPr>
          <w:p>
            <w:pPr>
              <w:pStyle w:val="TableText"/>
            </w:pPr>
            <w:r>
              <w:t xml:space="preserve">Degrado primo anno (incl. LID/LeTID)</w:t>
            </w:r>
          </w:p>
        </w:tc>
        <w:tc>
          <w:tcPr>
            <w:tcW w:w="2603" w:type="dxa"/>
          </w:tcPr>
          <w:p>
            <w:pPr>
              <w:pStyle w:val="TableText"/>
            </w:pPr>
            <w:r>
              <w:t xml:space="preserve">1,0 %</w:t>
            </w:r>
          </w:p>
        </w:tc>
        <w:tc>
          <w:tcPr>
            <w:tcW w:w="4291" w:type="dxa"/>
          </w:tcPr>
          <w:p>
            <w:pPr>
              <w:pStyle w:val="TableText"/>
            </w:pPr>
            <w:r>
              <w:t xml:space="preserve"/>
            </w:r>
          </w:p>
        </w:tc>
      </w:tr>
      <w:tr>
        <w:tc>
          <w:tcPr>
            <w:tcW w:w="2744" w:type="dxa"/>
          </w:tcPr>
          <w:p>
            <w:pPr>
              <w:pStyle w:val="TableText"/>
            </w:pPr>
            <w:r>
              <w:t xml:space="preserve">Degrado annuo successivo</w:t>
            </w:r>
          </w:p>
        </w:tc>
        <w:tc>
          <w:tcPr>
            <w:tcW w:w="2603" w:type="dxa"/>
          </w:tcPr>
          <w:p>
            <w:pPr>
              <w:pStyle w:val="TableText"/>
            </w:pPr>
            <w:r>
              <w:t xml:space="preserve">0,40 %/anno</w:t>
            </w:r>
          </w:p>
        </w:tc>
        <w:tc>
          <w:tcPr>
            <w:tcW w:w="4291" w:type="dxa"/>
          </w:tcPr>
          <w:p>
            <w:pPr>
              <w:pStyle w:val="TableText"/>
            </w:pPr>
            <w:r>
              <w:t xml:space="preserve">garanzia lineare tipica TOPCon</w:t>
            </w:r>
          </w:p>
        </w:tc>
      </w:tr>
    </w:tbl>
    <w:p>
      <w:pPr>
        <w:pStyle w:val="Normal"/>
        <w:spacing w:after="60"/>
      </w:pP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7414"/>
        <w:gridCol w:w="2224"/>
      </w:tblGrid>
      <w:tr>
        <w:trPr>
          <w:tblHeader/>
        </w:trPr>
        <w:tc>
          <w:tcPr>
            <w:tcW w:w="7414" w:type="dxa"/>
            <w:shd w:val="clear" w:color="auto" w:fill="E3EAEC"/>
          </w:tcPr>
          <w:p>
            <w:pPr>
              <w:pStyle w:val="TableText"/>
            </w:pPr>
            <w:r>
              <w:rPr>
                <w:b/>
              </w:rPr>
              <w:t xml:space="preserve">Indicatore (anno 1)</w:t>
            </w:r>
          </w:p>
        </w:tc>
        <w:tc>
          <w:tcPr>
            <w:tcW w:w="2224" w:type="dxa"/>
            <w:shd w:val="clear" w:color="auto" w:fill="E3EAEC"/>
          </w:tcPr>
          <w:p>
            <w:pPr>
              <w:pStyle w:val="TableText"/>
            </w:pPr>
            <w:r>
              <w:rPr>
                <w:b/>
              </w:rPr>
              <w:t xml:space="preserve">Valore</w:t>
            </w:r>
          </w:p>
        </w:tc>
      </w:tr>
      <w:tr>
        <w:tc>
          <w:tcPr>
            <w:tcW w:w="7414" w:type="dxa"/>
          </w:tcPr>
          <w:p>
            <w:pPr>
              <w:pStyle w:val="TableText"/>
            </w:pPr>
            <w:r>
              <w:t xml:space="preserve">Irraggiamento sul piano dei moduli (incl. retro)</w:t>
            </w:r>
          </w:p>
        </w:tc>
        <w:tc>
          <w:tcPr>
            <w:tcW w:w="2224" w:type="dxa"/>
          </w:tcPr>
          <w:p>
            <w:pPr>
              <w:pStyle w:val="TableText"/>
            </w:pPr>
            <w:r>
              <w:t xml:space="preserve">1.519 kWh/m²</w:t>
            </w:r>
          </w:p>
        </w:tc>
      </w:tr>
      <w:tr>
        <w:tc>
          <w:tcPr>
            <w:tcW w:w="7414" w:type="dxa"/>
          </w:tcPr>
          <w:p>
            <w:pPr>
              <w:pStyle w:val="TableText"/>
            </w:pPr>
            <w:r>
              <w:t xml:space="preserve">Producibilità specifica</w:t>
            </w:r>
          </w:p>
        </w:tc>
        <w:tc>
          <w:tcPr>
            <w:tcW w:w="2224" w:type="dxa"/>
          </w:tcPr>
          <w:p>
            <w:pPr>
              <w:pStyle w:val="TableText"/>
            </w:pPr>
            <w:r>
              <w:t xml:space="preserve">1.310 kWh/kWp</w:t>
            </w:r>
          </w:p>
        </w:tc>
      </w:tr>
      <w:tr>
        <w:tc>
          <w:tcPr>
            <w:tcW w:w="7414" w:type="dxa"/>
          </w:tcPr>
          <w:p>
            <w:pPr>
              <w:pStyle w:val="TableText"/>
            </w:pPr>
            <w:r>
              <w:t xml:space="preserve">Performance ratio</w:t>
            </w:r>
          </w:p>
        </w:tc>
        <w:tc>
          <w:tcPr>
            <w:tcW w:w="2224" w:type="dxa"/>
          </w:tcPr>
          <w:p>
            <w:pPr>
              <w:pStyle w:val="TableText"/>
            </w:pPr>
            <w:r>
              <w:t xml:space="preserve">86,3 %</w:t>
            </w:r>
          </w:p>
        </w:tc>
      </w:tr>
      <w:tr>
        <w:tc>
          <w:tcPr>
            <w:tcW w:w="7414" w:type="dxa"/>
          </w:tcPr>
          <w:p>
            <w:pPr>
              <w:pStyle w:val="TableText"/>
            </w:pPr>
            <w:r>
              <w:t xml:space="preserve">Produzione netta al punto di consegna</w:t>
            </w:r>
          </w:p>
        </w:tc>
        <w:tc>
          <w:tcPr>
            <w:tcW w:w="2224" w:type="dxa"/>
          </w:tcPr>
          <w:p>
            <w:pPr>
              <w:pStyle w:val="TableText"/>
            </w:pPr>
            <w:r>
              <w:t xml:space="preserve">3.931 MWh</w:t>
            </w:r>
          </w:p>
        </w:tc>
      </w:tr>
    </w:tbl>
    <w:p>
      <w:pPr>
        <w:pStyle w:val="Normal"/>
        <w:spacing w:after="60"/>
      </w:pPr>
    </w:p>
    <w:p>
      <w:pPr>
        <w:pStyle w:val="Normal"/>
      </w:pPr>
      <w:r>
        <w:rPr>
          <w:b/>
        </w:rPr>
        <w:t xml:space="preserve">Produzione e consumi mensili (anno 1, MWh).</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693"/>
        <w:gridCol w:w="1765"/>
        <w:gridCol w:w="1050"/>
        <w:gridCol w:w="3075"/>
        <w:gridCol w:w="1408"/>
        <w:gridCol w:w="1646"/>
      </w:tblGrid>
      <w:tr>
        <w:trPr>
          <w:tblHeader/>
        </w:trPr>
        <w:tc>
          <w:tcPr>
            <w:tcW w:w="693" w:type="dxa"/>
            <w:shd w:val="clear" w:color="auto" w:fill="E3EAEC"/>
          </w:tcPr>
          <w:p>
            <w:pPr>
              <w:pStyle w:val="TableText"/>
            </w:pPr>
            <w:r>
              <w:rPr>
                <w:b/>
              </w:rPr>
              <w:t xml:space="preserve">Mese</w:t>
            </w:r>
          </w:p>
        </w:tc>
        <w:tc>
          <w:tcPr>
            <w:tcW w:w="1765" w:type="dxa"/>
            <w:shd w:val="clear" w:color="auto" w:fill="E3EAEC"/>
          </w:tcPr>
          <w:p>
            <w:pPr>
              <w:pStyle w:val="TableText"/>
              <w:jc w:val="right"/>
            </w:pPr>
            <w:r>
              <w:rPr>
                <w:b/>
              </w:rPr>
              <w:t xml:space="preserve">Produzione FV</w:t>
            </w:r>
          </w:p>
        </w:tc>
        <w:tc>
          <w:tcPr>
            <w:tcW w:w="1050" w:type="dxa"/>
            <w:shd w:val="clear" w:color="auto" w:fill="E3EAEC"/>
          </w:tcPr>
          <w:p>
            <w:pPr>
              <w:pStyle w:val="TableText"/>
              <w:jc w:val="right"/>
            </w:pPr>
            <w:r>
              <w:rPr>
                <w:b/>
              </w:rPr>
              <w:t xml:space="preserve">Consumo</w:t>
            </w:r>
          </w:p>
        </w:tc>
        <w:tc>
          <w:tcPr>
            <w:tcW w:w="3075" w:type="dxa"/>
            <w:shd w:val="clear" w:color="auto" w:fill="E3EAEC"/>
          </w:tcPr>
          <w:p>
            <w:pPr>
              <w:pStyle w:val="TableText"/>
              <w:jc w:val="right"/>
            </w:pPr>
            <w:r>
              <w:rPr>
                <w:b/>
              </w:rPr>
              <w:t xml:space="preserve">FV autoconsumato diretto</w:t>
            </w:r>
          </w:p>
        </w:tc>
        <w:tc>
          <w:tcPr>
            <w:tcW w:w="1408" w:type="dxa"/>
            <w:shd w:val="clear" w:color="auto" w:fill="E3EAEC"/>
          </w:tcPr>
          <w:p>
            <w:pPr>
              <w:pStyle w:val="TableText"/>
              <w:jc w:val="right"/>
            </w:pPr>
            <w:r>
              <w:rPr>
                <w:b/>
              </w:rPr>
              <w:t xml:space="preserve">Immissione</w:t>
            </w:r>
          </w:p>
        </w:tc>
        <w:tc>
          <w:tcPr>
            <w:tcW w:w="1646" w:type="dxa"/>
            <w:shd w:val="clear" w:color="auto" w:fill="E3EAEC"/>
          </w:tcPr>
          <w:p>
            <w:pPr>
              <w:pStyle w:val="TableText"/>
              <w:jc w:val="right"/>
            </w:pPr>
            <w:r>
              <w:rPr>
                <w:b/>
              </w:rPr>
              <w:t xml:space="preserve">Scarica BESS</w:t>
            </w:r>
          </w:p>
        </w:tc>
      </w:tr>
      <w:tr>
        <w:tc>
          <w:tcPr>
            <w:tcW w:w="693" w:type="dxa"/>
          </w:tcPr>
          <w:p>
            <w:pPr>
              <w:pStyle w:val="TableText"/>
            </w:pPr>
            <w:r>
              <w:t xml:space="preserve">Gen</w:t>
            </w:r>
          </w:p>
        </w:tc>
        <w:tc>
          <w:tcPr>
            <w:tcW w:w="1765" w:type="dxa"/>
          </w:tcPr>
          <w:p>
            <w:pPr>
              <w:pStyle w:val="TableText"/>
              <w:jc w:val="right"/>
            </w:pPr>
            <w:r>
              <w:t xml:space="preserve">154</w:t>
            </w:r>
          </w:p>
        </w:tc>
        <w:tc>
          <w:tcPr>
            <w:tcW w:w="1050" w:type="dxa"/>
          </w:tcPr>
          <w:p>
            <w:pPr>
              <w:pStyle w:val="TableText"/>
              <w:jc w:val="right"/>
            </w:pPr>
            <w:r>
              <w:t xml:space="preserve">635</w:t>
            </w:r>
          </w:p>
        </w:tc>
        <w:tc>
          <w:tcPr>
            <w:tcW w:w="3075" w:type="dxa"/>
          </w:tcPr>
          <w:p>
            <w:pPr>
              <w:pStyle w:val="TableText"/>
              <w:jc w:val="right"/>
            </w:pPr>
            <w:r>
              <w:t xml:space="preserve">126</w:t>
            </w:r>
          </w:p>
        </w:tc>
        <w:tc>
          <w:tcPr>
            <w:tcW w:w="1408" w:type="dxa"/>
          </w:tcPr>
          <w:p>
            <w:pPr>
              <w:pStyle w:val="TableText"/>
              <w:jc w:val="right"/>
            </w:pPr>
            <w:r>
              <w:t xml:space="preserve">12</w:t>
            </w:r>
          </w:p>
        </w:tc>
        <w:tc>
          <w:tcPr>
            <w:tcW w:w="1646" w:type="dxa"/>
          </w:tcPr>
          <w:p>
            <w:pPr>
              <w:pStyle w:val="TableText"/>
              <w:jc w:val="right"/>
            </w:pPr>
            <w:r>
              <w:t xml:space="preserve">40</w:t>
            </w:r>
          </w:p>
        </w:tc>
      </w:tr>
      <w:tr>
        <w:tc>
          <w:tcPr>
            <w:tcW w:w="693" w:type="dxa"/>
          </w:tcPr>
          <w:p>
            <w:pPr>
              <w:pStyle w:val="TableText"/>
            </w:pPr>
            <w:r>
              <w:t xml:space="preserve">Feb</w:t>
            </w:r>
          </w:p>
        </w:tc>
        <w:tc>
          <w:tcPr>
            <w:tcW w:w="1765" w:type="dxa"/>
          </w:tcPr>
          <w:p>
            <w:pPr>
              <w:pStyle w:val="TableText"/>
              <w:jc w:val="right"/>
            </w:pPr>
            <w:r>
              <w:t xml:space="preserve">226</w:t>
            </w:r>
          </w:p>
        </w:tc>
        <w:tc>
          <w:tcPr>
            <w:tcW w:w="1050" w:type="dxa"/>
          </w:tcPr>
          <w:p>
            <w:pPr>
              <w:pStyle w:val="TableText"/>
              <w:jc w:val="right"/>
            </w:pPr>
            <w:r>
              <w:t xml:space="preserve">687</w:t>
            </w:r>
          </w:p>
        </w:tc>
        <w:tc>
          <w:tcPr>
            <w:tcW w:w="3075" w:type="dxa"/>
          </w:tcPr>
          <w:p>
            <w:pPr>
              <w:pStyle w:val="TableText"/>
              <w:jc w:val="right"/>
            </w:pPr>
            <w:r>
              <w:t xml:space="preserve">196</w:t>
            </w:r>
          </w:p>
        </w:tc>
        <w:tc>
          <w:tcPr>
            <w:tcW w:w="1408" w:type="dxa"/>
          </w:tcPr>
          <w:p>
            <w:pPr>
              <w:pStyle w:val="TableText"/>
              <w:jc w:val="right"/>
            </w:pPr>
            <w:r>
              <w:t xml:space="preserve">14</w:t>
            </w:r>
          </w:p>
        </w:tc>
        <w:tc>
          <w:tcPr>
            <w:tcW w:w="1646" w:type="dxa"/>
          </w:tcPr>
          <w:p>
            <w:pPr>
              <w:pStyle w:val="TableText"/>
              <w:jc w:val="right"/>
            </w:pPr>
            <w:r>
              <w:t xml:space="preserve">43</w:t>
            </w:r>
          </w:p>
        </w:tc>
      </w:tr>
      <w:tr>
        <w:tc>
          <w:tcPr>
            <w:tcW w:w="693" w:type="dxa"/>
          </w:tcPr>
          <w:p>
            <w:pPr>
              <w:pStyle w:val="TableText"/>
            </w:pPr>
            <w:r>
              <w:t xml:space="preserve">Mar</w:t>
            </w:r>
          </w:p>
        </w:tc>
        <w:tc>
          <w:tcPr>
            <w:tcW w:w="1765" w:type="dxa"/>
          </w:tcPr>
          <w:p>
            <w:pPr>
              <w:pStyle w:val="TableText"/>
              <w:jc w:val="right"/>
            </w:pPr>
            <w:r>
              <w:t xml:space="preserve">359</w:t>
            </w:r>
          </w:p>
        </w:tc>
        <w:tc>
          <w:tcPr>
            <w:tcW w:w="1050" w:type="dxa"/>
          </w:tcPr>
          <w:p>
            <w:pPr>
              <w:pStyle w:val="TableText"/>
              <w:jc w:val="right"/>
            </w:pPr>
            <w:r>
              <w:t xml:space="preserve">799</w:t>
            </w:r>
          </w:p>
        </w:tc>
        <w:tc>
          <w:tcPr>
            <w:tcW w:w="3075" w:type="dxa"/>
          </w:tcPr>
          <w:p>
            <w:pPr>
              <w:pStyle w:val="TableText"/>
              <w:jc w:val="right"/>
            </w:pPr>
            <w:r>
              <w:t xml:space="preserve">301</w:t>
            </w:r>
          </w:p>
        </w:tc>
        <w:tc>
          <w:tcPr>
            <w:tcW w:w="1408" w:type="dxa"/>
          </w:tcPr>
          <w:p>
            <w:pPr>
              <w:pStyle w:val="TableText"/>
              <w:jc w:val="right"/>
            </w:pPr>
            <w:r>
              <w:t xml:space="preserve">38</w:t>
            </w:r>
          </w:p>
        </w:tc>
        <w:tc>
          <w:tcPr>
            <w:tcW w:w="1646" w:type="dxa"/>
          </w:tcPr>
          <w:p>
            <w:pPr>
              <w:pStyle w:val="TableText"/>
              <w:jc w:val="right"/>
            </w:pPr>
            <w:r>
              <w:t xml:space="preserve">36</w:t>
            </w:r>
          </w:p>
        </w:tc>
      </w:tr>
      <w:tr>
        <w:tc>
          <w:tcPr>
            <w:tcW w:w="693" w:type="dxa"/>
          </w:tcPr>
          <w:p>
            <w:pPr>
              <w:pStyle w:val="TableText"/>
            </w:pPr>
            <w:r>
              <w:t xml:space="preserve">Apr</w:t>
            </w:r>
          </w:p>
        </w:tc>
        <w:tc>
          <w:tcPr>
            <w:tcW w:w="1765" w:type="dxa"/>
          </w:tcPr>
          <w:p>
            <w:pPr>
              <w:pStyle w:val="TableText"/>
              <w:jc w:val="right"/>
            </w:pPr>
            <w:r>
              <w:t xml:space="preserve">400</w:t>
            </w:r>
          </w:p>
        </w:tc>
        <w:tc>
          <w:tcPr>
            <w:tcW w:w="1050" w:type="dxa"/>
          </w:tcPr>
          <w:p>
            <w:pPr>
              <w:pStyle w:val="TableText"/>
              <w:jc w:val="right"/>
            </w:pPr>
            <w:r>
              <w:t xml:space="preserve">773</w:t>
            </w:r>
          </w:p>
        </w:tc>
        <w:tc>
          <w:tcPr>
            <w:tcW w:w="3075" w:type="dxa"/>
          </w:tcPr>
          <w:p>
            <w:pPr>
              <w:pStyle w:val="TableText"/>
              <w:jc w:val="right"/>
            </w:pPr>
            <w:r>
              <w:t xml:space="preserve">327</w:t>
            </w:r>
          </w:p>
        </w:tc>
        <w:tc>
          <w:tcPr>
            <w:tcW w:w="1408" w:type="dxa"/>
          </w:tcPr>
          <w:p>
            <w:pPr>
              <w:pStyle w:val="TableText"/>
              <w:jc w:val="right"/>
            </w:pPr>
            <w:r>
              <w:t xml:space="preserve">52</w:t>
            </w:r>
          </w:p>
        </w:tc>
        <w:tc>
          <w:tcPr>
            <w:tcW w:w="1646" w:type="dxa"/>
          </w:tcPr>
          <w:p>
            <w:pPr>
              <w:pStyle w:val="TableText"/>
              <w:jc w:val="right"/>
            </w:pPr>
            <w:r>
              <w:t xml:space="preserve">18</w:t>
            </w:r>
          </w:p>
        </w:tc>
      </w:tr>
      <w:tr>
        <w:tc>
          <w:tcPr>
            <w:tcW w:w="693" w:type="dxa"/>
          </w:tcPr>
          <w:p>
            <w:pPr>
              <w:pStyle w:val="TableText"/>
            </w:pPr>
            <w:r>
              <w:t xml:space="preserve">Mag</w:t>
            </w:r>
          </w:p>
        </w:tc>
        <w:tc>
          <w:tcPr>
            <w:tcW w:w="1765" w:type="dxa"/>
          </w:tcPr>
          <w:p>
            <w:pPr>
              <w:pStyle w:val="TableText"/>
              <w:jc w:val="right"/>
            </w:pPr>
            <w:r>
              <w:t xml:space="preserve">468</w:t>
            </w:r>
          </w:p>
        </w:tc>
        <w:tc>
          <w:tcPr>
            <w:tcW w:w="1050" w:type="dxa"/>
          </w:tcPr>
          <w:p>
            <w:pPr>
              <w:pStyle w:val="TableText"/>
              <w:jc w:val="right"/>
            </w:pPr>
            <w:r>
              <w:t xml:space="preserve">816</w:t>
            </w:r>
          </w:p>
        </w:tc>
        <w:tc>
          <w:tcPr>
            <w:tcW w:w="3075" w:type="dxa"/>
          </w:tcPr>
          <w:p>
            <w:pPr>
              <w:pStyle w:val="TableText"/>
              <w:jc w:val="right"/>
            </w:pPr>
            <w:r>
              <w:t xml:space="preserve">376</w:t>
            </w:r>
          </w:p>
        </w:tc>
        <w:tc>
          <w:tcPr>
            <w:tcW w:w="1408" w:type="dxa"/>
          </w:tcPr>
          <w:p>
            <w:pPr>
              <w:pStyle w:val="TableText"/>
              <w:jc w:val="right"/>
            </w:pPr>
            <w:r>
              <w:t xml:space="preserve">64</w:t>
            </w:r>
          </w:p>
        </w:tc>
        <w:tc>
          <w:tcPr>
            <w:tcW w:w="1646" w:type="dxa"/>
          </w:tcPr>
          <w:p>
            <w:pPr>
              <w:pStyle w:val="TableText"/>
              <w:jc w:val="right"/>
            </w:pPr>
            <w:r>
              <w:t xml:space="preserve">24</w:t>
            </w:r>
          </w:p>
        </w:tc>
      </w:tr>
      <w:tr>
        <w:tc>
          <w:tcPr>
            <w:tcW w:w="693" w:type="dxa"/>
          </w:tcPr>
          <w:p>
            <w:pPr>
              <w:pStyle w:val="TableText"/>
            </w:pPr>
            <w:r>
              <w:t xml:space="preserve">Giu</w:t>
            </w:r>
          </w:p>
        </w:tc>
        <w:tc>
          <w:tcPr>
            <w:tcW w:w="1765" w:type="dxa"/>
          </w:tcPr>
          <w:p>
            <w:pPr>
              <w:pStyle w:val="TableText"/>
              <w:jc w:val="right"/>
            </w:pPr>
            <w:r>
              <w:t xml:space="preserve">475</w:t>
            </w:r>
          </w:p>
        </w:tc>
        <w:tc>
          <w:tcPr>
            <w:tcW w:w="1050" w:type="dxa"/>
          </w:tcPr>
          <w:p>
            <w:pPr>
              <w:pStyle w:val="TableText"/>
              <w:jc w:val="right"/>
            </w:pPr>
            <w:r>
              <w:t xml:space="preserve">830</w:t>
            </w:r>
          </w:p>
        </w:tc>
        <w:tc>
          <w:tcPr>
            <w:tcW w:w="3075" w:type="dxa"/>
          </w:tcPr>
          <w:p>
            <w:pPr>
              <w:pStyle w:val="TableText"/>
              <w:jc w:val="right"/>
            </w:pPr>
            <w:r>
              <w:t xml:space="preserve">382</w:t>
            </w:r>
          </w:p>
        </w:tc>
        <w:tc>
          <w:tcPr>
            <w:tcW w:w="1408" w:type="dxa"/>
          </w:tcPr>
          <w:p>
            <w:pPr>
              <w:pStyle w:val="TableText"/>
              <w:jc w:val="right"/>
            </w:pPr>
            <w:r>
              <w:t xml:space="preserve">72</w:t>
            </w:r>
          </w:p>
        </w:tc>
        <w:tc>
          <w:tcPr>
            <w:tcW w:w="1646" w:type="dxa"/>
          </w:tcPr>
          <w:p>
            <w:pPr>
              <w:pStyle w:val="TableText"/>
              <w:jc w:val="right"/>
            </w:pPr>
            <w:r>
              <w:t xml:space="preserve">18</w:t>
            </w:r>
          </w:p>
        </w:tc>
      </w:tr>
      <w:tr>
        <w:tc>
          <w:tcPr>
            <w:tcW w:w="693" w:type="dxa"/>
          </w:tcPr>
          <w:p>
            <w:pPr>
              <w:pStyle w:val="TableText"/>
            </w:pPr>
            <w:r>
              <w:t xml:space="preserve">Lug</w:t>
            </w:r>
          </w:p>
        </w:tc>
        <w:tc>
          <w:tcPr>
            <w:tcW w:w="1765" w:type="dxa"/>
          </w:tcPr>
          <w:p>
            <w:pPr>
              <w:pStyle w:val="TableText"/>
              <w:jc w:val="right"/>
            </w:pPr>
            <w:r>
              <w:t xml:space="preserve">512</w:t>
            </w:r>
          </w:p>
        </w:tc>
        <w:tc>
          <w:tcPr>
            <w:tcW w:w="1050" w:type="dxa"/>
          </w:tcPr>
          <w:p>
            <w:pPr>
              <w:pStyle w:val="TableText"/>
              <w:jc w:val="right"/>
            </w:pPr>
            <w:r>
              <w:t xml:space="preserve">877</w:t>
            </w:r>
          </w:p>
        </w:tc>
        <w:tc>
          <w:tcPr>
            <w:tcW w:w="3075" w:type="dxa"/>
          </w:tcPr>
          <w:p>
            <w:pPr>
              <w:pStyle w:val="TableText"/>
              <w:jc w:val="right"/>
            </w:pPr>
            <w:r>
              <w:t xml:space="preserve">416</w:t>
            </w:r>
          </w:p>
        </w:tc>
        <w:tc>
          <w:tcPr>
            <w:tcW w:w="1408" w:type="dxa"/>
          </w:tcPr>
          <w:p>
            <w:pPr>
              <w:pStyle w:val="TableText"/>
              <w:jc w:val="right"/>
            </w:pPr>
            <w:r>
              <w:t xml:space="preserve">72</w:t>
            </w:r>
          </w:p>
        </w:tc>
        <w:tc>
          <w:tcPr>
            <w:tcW w:w="1646" w:type="dxa"/>
          </w:tcPr>
          <w:p>
            <w:pPr>
              <w:pStyle w:val="TableText"/>
              <w:jc w:val="right"/>
            </w:pPr>
            <w:r>
              <w:t xml:space="preserve">21</w:t>
            </w:r>
          </w:p>
        </w:tc>
      </w:tr>
      <w:tr>
        <w:tc>
          <w:tcPr>
            <w:tcW w:w="693" w:type="dxa"/>
          </w:tcPr>
          <w:p>
            <w:pPr>
              <w:pStyle w:val="TableText"/>
            </w:pPr>
            <w:r>
              <w:t xml:space="preserve">Ago</w:t>
            </w:r>
          </w:p>
        </w:tc>
        <w:tc>
          <w:tcPr>
            <w:tcW w:w="1765" w:type="dxa"/>
          </w:tcPr>
          <w:p>
            <w:pPr>
              <w:pStyle w:val="TableText"/>
              <w:jc w:val="right"/>
            </w:pPr>
            <w:r>
              <w:t xml:space="preserve">445</w:t>
            </w:r>
          </w:p>
        </w:tc>
        <w:tc>
          <w:tcPr>
            <w:tcW w:w="1050" w:type="dxa"/>
          </w:tcPr>
          <w:p>
            <w:pPr>
              <w:pStyle w:val="TableText"/>
              <w:jc w:val="right"/>
            </w:pPr>
            <w:r>
              <w:t xml:space="preserve">600</w:t>
            </w:r>
          </w:p>
        </w:tc>
        <w:tc>
          <w:tcPr>
            <w:tcW w:w="3075" w:type="dxa"/>
          </w:tcPr>
          <w:p>
            <w:pPr>
              <w:pStyle w:val="TableText"/>
              <w:jc w:val="right"/>
            </w:pPr>
            <w:r>
              <w:t xml:space="preserve">267</w:t>
            </w:r>
          </w:p>
        </w:tc>
        <w:tc>
          <w:tcPr>
            <w:tcW w:w="1408" w:type="dxa"/>
          </w:tcPr>
          <w:p>
            <w:pPr>
              <w:pStyle w:val="TableText"/>
              <w:jc w:val="right"/>
            </w:pPr>
            <w:r>
              <w:t xml:space="preserve">138</w:t>
            </w:r>
          </w:p>
        </w:tc>
        <w:tc>
          <w:tcPr>
            <w:tcW w:w="1646" w:type="dxa"/>
          </w:tcPr>
          <w:p>
            <w:pPr>
              <w:pStyle w:val="TableText"/>
              <w:jc w:val="right"/>
            </w:pPr>
            <w:r>
              <w:t xml:space="preserve">34</w:t>
            </w:r>
          </w:p>
        </w:tc>
      </w:tr>
      <w:tr>
        <w:tc>
          <w:tcPr>
            <w:tcW w:w="693" w:type="dxa"/>
          </w:tcPr>
          <w:p>
            <w:pPr>
              <w:pStyle w:val="TableText"/>
            </w:pPr>
            <w:r>
              <w:t xml:space="preserve">Set</w:t>
            </w:r>
          </w:p>
        </w:tc>
        <w:tc>
          <w:tcPr>
            <w:tcW w:w="1765" w:type="dxa"/>
          </w:tcPr>
          <w:p>
            <w:pPr>
              <w:pStyle w:val="TableText"/>
              <w:jc w:val="right"/>
            </w:pPr>
            <w:r>
              <w:t xml:space="preserve">364</w:t>
            </w:r>
          </w:p>
        </w:tc>
        <w:tc>
          <w:tcPr>
            <w:tcW w:w="1050" w:type="dxa"/>
          </w:tcPr>
          <w:p>
            <w:pPr>
              <w:pStyle w:val="TableText"/>
              <w:jc w:val="right"/>
            </w:pPr>
            <w:r>
              <w:t xml:space="preserve">830</w:t>
            </w:r>
          </w:p>
        </w:tc>
        <w:tc>
          <w:tcPr>
            <w:tcW w:w="3075" w:type="dxa"/>
          </w:tcPr>
          <w:p>
            <w:pPr>
              <w:pStyle w:val="TableText"/>
              <w:jc w:val="right"/>
            </w:pPr>
            <w:r>
              <w:t xml:space="preserve">306</w:t>
            </w:r>
          </w:p>
        </w:tc>
        <w:tc>
          <w:tcPr>
            <w:tcW w:w="1408" w:type="dxa"/>
          </w:tcPr>
          <w:p>
            <w:pPr>
              <w:pStyle w:val="TableText"/>
              <w:jc w:val="right"/>
            </w:pPr>
            <w:r>
              <w:t xml:space="preserve">42</w:t>
            </w:r>
          </w:p>
        </w:tc>
        <w:tc>
          <w:tcPr>
            <w:tcW w:w="1646" w:type="dxa"/>
          </w:tcPr>
          <w:p>
            <w:pPr>
              <w:pStyle w:val="TableText"/>
              <w:jc w:val="right"/>
            </w:pPr>
            <w:r>
              <w:t xml:space="preserve">40</w:t>
            </w:r>
          </w:p>
        </w:tc>
      </w:tr>
      <w:tr>
        <w:tc>
          <w:tcPr>
            <w:tcW w:w="693" w:type="dxa"/>
          </w:tcPr>
          <w:p>
            <w:pPr>
              <w:pStyle w:val="TableText"/>
            </w:pPr>
            <w:r>
              <w:t xml:space="preserve">Ott</w:t>
            </w:r>
          </w:p>
        </w:tc>
        <w:tc>
          <w:tcPr>
            <w:tcW w:w="1765" w:type="dxa"/>
          </w:tcPr>
          <w:p>
            <w:pPr>
              <w:pStyle w:val="TableText"/>
              <w:jc w:val="right"/>
            </w:pPr>
            <w:r>
              <w:t xml:space="preserve">257</w:t>
            </w:r>
          </w:p>
        </w:tc>
        <w:tc>
          <w:tcPr>
            <w:tcW w:w="1050" w:type="dxa"/>
          </w:tcPr>
          <w:p>
            <w:pPr>
              <w:pStyle w:val="TableText"/>
              <w:jc w:val="right"/>
            </w:pPr>
            <w:r>
              <w:t xml:space="preserve">788</w:t>
            </w:r>
          </w:p>
        </w:tc>
        <w:tc>
          <w:tcPr>
            <w:tcW w:w="3075" w:type="dxa"/>
          </w:tcPr>
          <w:p>
            <w:pPr>
              <w:pStyle w:val="TableText"/>
              <w:jc w:val="right"/>
            </w:pPr>
            <w:r>
              <w:t xml:space="preserve">216</w:t>
            </w:r>
          </w:p>
        </w:tc>
        <w:tc>
          <w:tcPr>
            <w:tcW w:w="1408" w:type="dxa"/>
          </w:tcPr>
          <w:p>
            <w:pPr>
              <w:pStyle w:val="TableText"/>
              <w:jc w:val="right"/>
            </w:pPr>
            <w:r>
              <w:t xml:space="preserve">22</w:t>
            </w:r>
          </w:p>
        </w:tc>
        <w:tc>
          <w:tcPr>
            <w:tcW w:w="1646" w:type="dxa"/>
          </w:tcPr>
          <w:p>
            <w:pPr>
              <w:pStyle w:val="TableText"/>
              <w:jc w:val="right"/>
            </w:pPr>
            <w:r>
              <w:t xml:space="preserve">48</w:t>
            </w:r>
          </w:p>
        </w:tc>
      </w:tr>
      <w:tr>
        <w:tc>
          <w:tcPr>
            <w:tcW w:w="693" w:type="dxa"/>
          </w:tcPr>
          <w:p>
            <w:pPr>
              <w:pStyle w:val="TableText"/>
            </w:pPr>
            <w:r>
              <w:t xml:space="preserve">Nov</w:t>
            </w:r>
          </w:p>
        </w:tc>
        <w:tc>
          <w:tcPr>
            <w:tcW w:w="1765" w:type="dxa"/>
          </w:tcPr>
          <w:p>
            <w:pPr>
              <w:pStyle w:val="TableText"/>
              <w:jc w:val="right"/>
            </w:pPr>
            <w:r>
              <w:t xml:space="preserve">146</w:t>
            </w:r>
          </w:p>
        </w:tc>
        <w:tc>
          <w:tcPr>
            <w:tcW w:w="1050" w:type="dxa"/>
          </w:tcPr>
          <w:p>
            <w:pPr>
              <w:pStyle w:val="TableText"/>
              <w:jc w:val="right"/>
            </w:pPr>
            <w:r>
              <w:t xml:space="preserve">746</w:t>
            </w:r>
          </w:p>
        </w:tc>
        <w:tc>
          <w:tcPr>
            <w:tcW w:w="3075" w:type="dxa"/>
          </w:tcPr>
          <w:p>
            <w:pPr>
              <w:pStyle w:val="TableText"/>
              <w:jc w:val="right"/>
            </w:pPr>
            <w:r>
              <w:t xml:space="preserve">130</w:t>
            </w:r>
          </w:p>
        </w:tc>
        <w:tc>
          <w:tcPr>
            <w:tcW w:w="1408" w:type="dxa"/>
          </w:tcPr>
          <w:p>
            <w:pPr>
              <w:pStyle w:val="TableText"/>
              <w:jc w:val="right"/>
            </w:pPr>
            <w:r>
              <w:t xml:space="preserve">5</w:t>
            </w:r>
          </w:p>
        </w:tc>
        <w:tc>
          <w:tcPr>
            <w:tcW w:w="1646" w:type="dxa"/>
          </w:tcPr>
          <w:p>
            <w:pPr>
              <w:pStyle w:val="TableText"/>
              <w:jc w:val="right"/>
            </w:pPr>
            <w:r>
              <w:t xml:space="preserve">43</w:t>
            </w:r>
          </w:p>
        </w:tc>
      </w:tr>
      <w:tr>
        <w:tc>
          <w:tcPr>
            <w:tcW w:w="693" w:type="dxa"/>
          </w:tcPr>
          <w:p>
            <w:pPr>
              <w:pStyle w:val="TableText"/>
            </w:pPr>
            <w:r>
              <w:t xml:space="preserve">Dic</w:t>
            </w:r>
          </w:p>
        </w:tc>
        <w:tc>
          <w:tcPr>
            <w:tcW w:w="1765" w:type="dxa"/>
          </w:tcPr>
          <w:p>
            <w:pPr>
              <w:pStyle w:val="TableText"/>
              <w:jc w:val="right"/>
            </w:pPr>
            <w:r>
              <w:t xml:space="preserve">125</w:t>
            </w:r>
          </w:p>
        </w:tc>
        <w:tc>
          <w:tcPr>
            <w:tcW w:w="1050" w:type="dxa"/>
          </w:tcPr>
          <w:p>
            <w:pPr>
              <w:pStyle w:val="TableText"/>
              <w:jc w:val="right"/>
            </w:pPr>
            <w:r>
              <w:t xml:space="preserve">619</w:t>
            </w:r>
          </w:p>
        </w:tc>
        <w:tc>
          <w:tcPr>
            <w:tcW w:w="3075" w:type="dxa"/>
          </w:tcPr>
          <w:p>
            <w:pPr>
              <w:pStyle w:val="TableText"/>
              <w:jc w:val="right"/>
            </w:pPr>
            <w:r>
              <w:t xml:space="preserve">107</w:t>
            </w:r>
          </w:p>
        </w:tc>
        <w:tc>
          <w:tcPr>
            <w:tcW w:w="1408" w:type="dxa"/>
          </w:tcPr>
          <w:p>
            <w:pPr>
              <w:pStyle w:val="TableText"/>
              <w:jc w:val="right"/>
            </w:pPr>
            <w:r>
              <w:t xml:space="preserve">4</w:t>
            </w:r>
          </w:p>
        </w:tc>
        <w:tc>
          <w:tcPr>
            <w:tcW w:w="1646" w:type="dxa"/>
          </w:tcPr>
          <w:p>
            <w:pPr>
              <w:pStyle w:val="TableText"/>
              <w:jc w:val="right"/>
            </w:pPr>
            <w:r>
              <w:t xml:space="preserve">38</w:t>
            </w:r>
          </w:p>
        </w:tc>
      </w:tr>
      <w:tr>
        <w:tc>
          <w:tcPr>
            <w:tcW w:w="693" w:type="dxa"/>
          </w:tcPr>
          <w:p>
            <w:pPr>
              <w:pStyle w:val="TableText"/>
            </w:pPr>
            <w:r>
              <w:rPr>
                <w:b/>
              </w:rPr>
              <w:t xml:space="preserve">Anno</w:t>
            </w:r>
          </w:p>
        </w:tc>
        <w:tc>
          <w:tcPr>
            <w:tcW w:w="1765" w:type="dxa"/>
          </w:tcPr>
          <w:p>
            <w:pPr>
              <w:pStyle w:val="TableText"/>
              <w:jc w:val="right"/>
            </w:pPr>
            <w:r>
              <w:rPr>
                <w:b/>
              </w:rPr>
              <w:t xml:space="preserve">3.931</w:t>
            </w:r>
          </w:p>
        </w:tc>
        <w:tc>
          <w:tcPr>
            <w:tcW w:w="1050" w:type="dxa"/>
          </w:tcPr>
          <w:p>
            <w:pPr>
              <w:pStyle w:val="TableText"/>
              <w:jc w:val="right"/>
            </w:pPr>
            <w:r>
              <w:rPr>
                <w:b/>
              </w:rPr>
              <w:t xml:space="preserve">9.000</w:t>
            </w:r>
          </w:p>
        </w:tc>
        <w:tc>
          <w:tcPr>
            <w:tcW w:w="3075" w:type="dxa"/>
          </w:tcPr>
          <w:p>
            <w:pPr>
              <w:pStyle w:val="TableText"/>
              <w:jc w:val="right"/>
            </w:pPr>
            <w:r>
              <w:rPr>
                <w:b/>
              </w:rPr>
              <w:t xml:space="preserve">3.152</w:t>
            </w:r>
          </w:p>
        </w:tc>
        <w:tc>
          <w:tcPr>
            <w:tcW w:w="1408" w:type="dxa"/>
          </w:tcPr>
          <w:p>
            <w:pPr>
              <w:pStyle w:val="TableText"/>
              <w:jc w:val="right"/>
            </w:pPr>
            <w:r>
              <w:rPr>
                <w:b/>
              </w:rPr>
              <w:t xml:space="preserve">535</w:t>
            </w:r>
          </w:p>
        </w:tc>
        <w:tc>
          <w:tcPr>
            <w:tcW w:w="1646" w:type="dxa"/>
          </w:tcPr>
          <w:p>
            <w:pPr>
              <w:pStyle w:val="TableText"/>
              <w:jc w:val="right"/>
            </w:pPr>
            <w:r>
              <w:rPr>
                <w:b/>
              </w:rPr>
              <w:t xml:space="preserve">405</w:t>
            </w:r>
          </w:p>
        </w:tc>
      </w:tr>
    </w:tbl>
    <w:p>
      <w:pPr>
        <w:pStyle w:val="Normal"/>
        <w:spacing w:after="60"/>
      </w:pPr>
    </w:p>
    <w:p>
      <w:pPr>
        <w:pStyle w:val="Normal"/>
      </w:pPr>
      <w:r>
        <w:t xml:space="preserve">La scarica BESS comprende l'energia caricata dal FV (244 MWh/a) e quella caricata da rete per arbitraggio (227 MWh/a). Ad agosto la fermata produttiva fa salire l'immissione. Il PR dell'86 % comprende il guadagno bifacciale. Per un modulo monofacciale nelle stesse condizioni il valore atteso è di circa 82–84 %.</w:t>
      </w:r>
    </w:p>
    <w:p>
      <w:pPr>
        <w:pStyle w:val="Normal"/>
      </w:pPr>
      <w:r>
        <w:rPr>
          <w:b/>
        </w:rPr>
        <w:t xml:space="preserve">Nota sul modello.</w:t>
      </w:r>
      <w:r>
        <w:t xml:space="preserve"> Il simulatore è tarato per la pre-fattibilità. La producibilità di progetto (P50 e P90) va ricalcolata con PVsyst o un software equivalente, con dati TMY PVGIS-SARAH3 o Solargis del sito, orizzonte reale, layout 3D e scheda del modulo (file PAN) e dell'inverter (file OND).</w:t>
      </w:r>
    </w:p>
    <w:p>
      <w:pPr>
        <w:pStyle w:val="Normal"/>
        <w:pBdr>
          <w:bottom w:val="single" w:sz="6" w:space="1" w:color="A0A8AE"/>
        </w:pBdr>
      </w:pPr>
    </w:p>
    <w:p>
      <w:pPr>
        <w:pStyle w:val="Heading1"/>
      </w:pPr>
      <w:r>
        <w:t xml:space="preserve">6. Conversione DC/AC</w:t>
      </w:r>
    </w:p>
    <w:p>
      <w:pPr>
        <w:pStyle w:val="Heading2"/>
      </w:pPr>
      <w:r>
        <w:t xml:space="preserve">6.1 Inverter</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685"/>
        <w:gridCol w:w="5953"/>
      </w:tblGrid>
      <w:tr>
        <w:trPr>
          <w:tblHeader/>
        </w:trPr>
        <w:tc>
          <w:tcPr>
            <w:tcW w:w="3685" w:type="dxa"/>
            <w:shd w:val="clear" w:color="auto" w:fill="E3EAEC"/>
          </w:tcPr>
          <w:p>
            <w:pPr>
              <w:pStyle w:val="TableText"/>
            </w:pPr>
            <w:r>
              <w:rPr>
                <w:b/>
              </w:rPr>
              <w:t xml:space="preserve">Parametro</w:t>
            </w:r>
          </w:p>
        </w:tc>
        <w:tc>
          <w:tcPr>
            <w:tcW w:w="5953" w:type="dxa"/>
            <w:shd w:val="clear" w:color="auto" w:fill="E3EAEC"/>
          </w:tcPr>
          <w:p>
            <w:pPr>
              <w:pStyle w:val="TableText"/>
            </w:pPr>
            <w:r>
              <w:rPr>
                <w:b/>
              </w:rPr>
              <w:t xml:space="preserve">Valore</w:t>
            </w:r>
          </w:p>
        </w:tc>
      </w:tr>
      <w:tr>
        <w:tc>
          <w:tcPr>
            <w:tcW w:w="3685" w:type="dxa"/>
          </w:tcPr>
          <w:p>
            <w:pPr>
              <w:pStyle w:val="TableText"/>
            </w:pPr>
            <w:r>
              <w:t xml:space="preserve">Tipo</w:t>
            </w:r>
          </w:p>
        </w:tc>
        <w:tc>
          <w:tcPr>
            <w:tcW w:w="5953" w:type="dxa"/>
          </w:tcPr>
          <w:p>
            <w:pPr>
              <w:pStyle w:val="TableText"/>
            </w:pPr>
            <w:r>
              <w:t xml:space="preserve">Inverter di stringa trifase senza trasformatore</w:t>
            </w:r>
          </w:p>
        </w:tc>
      </w:tr>
      <w:tr>
        <w:tc>
          <w:tcPr>
            <w:tcW w:w="3685" w:type="dxa"/>
          </w:tcPr>
          <w:p>
            <w:pPr>
              <w:pStyle w:val="TableText"/>
            </w:pPr>
            <w:r>
              <w:t xml:space="preserve">Potenza nominale AC</w:t>
            </w:r>
          </w:p>
        </w:tc>
        <w:tc>
          <w:tcPr>
            <w:tcW w:w="5953" w:type="dxa"/>
          </w:tcPr>
          <w:p>
            <w:pPr>
              <w:pStyle w:val="TableText"/>
            </w:pPr>
            <w:r>
              <w:t xml:space="preserve">350 kW (cos φ = 1)</w:t>
            </w:r>
          </w:p>
        </w:tc>
      </w:tr>
      <w:tr>
        <w:tc>
          <w:tcPr>
            <w:tcW w:w="3685" w:type="dxa"/>
          </w:tcPr>
          <w:p>
            <w:pPr>
              <w:pStyle w:val="TableText"/>
            </w:pPr>
            <w:r>
              <w:t xml:space="preserve">Tensione DC massima</w:t>
            </w:r>
          </w:p>
        </w:tc>
        <w:tc>
          <w:tcPr>
            <w:tcW w:w="5953" w:type="dxa"/>
          </w:tcPr>
          <w:p>
            <w:pPr>
              <w:pStyle w:val="TableText"/>
            </w:pPr>
            <w:r>
              <w:t xml:space="preserve">1.500 V</w:t>
            </w:r>
          </w:p>
        </w:tc>
      </w:tr>
      <w:tr>
        <w:tc>
          <w:tcPr>
            <w:tcW w:w="3685" w:type="dxa"/>
          </w:tcPr>
          <w:p>
            <w:pPr>
              <w:pStyle w:val="TableText"/>
            </w:pPr>
            <w:r>
              <w:t xml:space="preserve">Finestra MPPT / a piena potenza</w:t>
            </w:r>
          </w:p>
        </w:tc>
        <w:tc>
          <w:tcPr>
            <w:tcW w:w="5953" w:type="dxa"/>
          </w:tcPr>
          <w:p>
            <w:pPr>
              <w:pStyle w:val="TableText"/>
            </w:pPr>
            <w:r>
              <w:t xml:space="preserve">500–1.500 V / 880–1.300 V</w:t>
            </w:r>
          </w:p>
        </w:tc>
      </w:tr>
      <w:tr>
        <w:tc>
          <w:tcPr>
            <w:tcW w:w="3685" w:type="dxa"/>
          </w:tcPr>
          <w:p>
            <w:pPr>
              <w:pStyle w:val="TableText"/>
            </w:pPr>
            <w:r>
              <w:t xml:space="preserve">Numero di MPPT / stringhe per MPPT</w:t>
            </w:r>
          </w:p>
        </w:tc>
        <w:tc>
          <w:tcPr>
            <w:tcW w:w="5953" w:type="dxa"/>
          </w:tcPr>
          <w:p>
            <w:pPr>
              <w:pStyle w:val="TableText"/>
            </w:pPr>
            <w:r>
              <w:t xml:space="preserve">12 / 3</w:t>
            </w:r>
          </w:p>
        </w:tc>
      </w:tr>
      <w:tr>
        <w:tc>
          <w:tcPr>
            <w:tcW w:w="3685" w:type="dxa"/>
          </w:tcPr>
          <w:p>
            <w:pPr>
              <w:pStyle w:val="TableText"/>
            </w:pPr>
            <w:r>
              <w:t xml:space="preserve">Corrente massima per MPPT (lavoro / cortocircuito)</w:t>
            </w:r>
          </w:p>
        </w:tc>
        <w:tc>
          <w:tcPr>
            <w:tcW w:w="5953" w:type="dxa"/>
          </w:tcPr>
          <w:p>
            <w:pPr>
              <w:pStyle w:val="TableText"/>
            </w:pPr>
            <w:r>
              <w:t xml:space="preserve">65 A / 115 A</w:t>
            </w:r>
          </w:p>
        </w:tc>
      </w:tr>
      <w:tr>
        <w:tc>
          <w:tcPr>
            <w:tcW w:w="3685" w:type="dxa"/>
          </w:tcPr>
          <w:p>
            <w:pPr>
              <w:pStyle w:val="TableText"/>
            </w:pPr>
            <w:r>
              <w:t xml:space="preserve">Tensione AC di uscita</w:t>
            </w:r>
          </w:p>
        </w:tc>
        <w:tc>
          <w:tcPr>
            <w:tcW w:w="5953" w:type="dxa"/>
          </w:tcPr>
          <w:p>
            <w:pPr>
              <w:pStyle w:val="TableText"/>
            </w:pPr>
            <w:r>
              <w:t xml:space="preserve">800 V, 3 fasi senza neutro</w:t>
            </w:r>
          </w:p>
        </w:tc>
      </w:tr>
      <w:tr>
        <w:tc>
          <w:tcPr>
            <w:tcW w:w="3685" w:type="dxa"/>
          </w:tcPr>
          <w:p>
            <w:pPr>
              <w:pStyle w:val="TableText"/>
            </w:pPr>
            <w:r>
              <w:t xml:space="preserve">Rendimento massimo</w:t>
            </w:r>
          </w:p>
        </w:tc>
        <w:tc>
          <w:tcPr>
            <w:tcW w:w="5953" w:type="dxa"/>
          </w:tcPr>
          <w:p>
            <w:pPr>
              <w:pStyle w:val="TableText"/>
            </w:pPr>
            <w:r>
              <w:t xml:space="preserve">98,8 %</w:t>
            </w:r>
          </w:p>
        </w:tc>
      </w:tr>
      <w:tr>
        <w:tc>
          <w:tcPr>
            <w:tcW w:w="3685" w:type="dxa"/>
          </w:tcPr>
          <w:p>
            <w:pPr>
              <w:pStyle w:val="TableText"/>
            </w:pPr>
            <w:r>
              <w:t xml:space="preserve">Grado di protezione</w:t>
            </w:r>
          </w:p>
        </w:tc>
        <w:tc>
          <w:tcPr>
            <w:tcW w:w="5953" w:type="dxa"/>
          </w:tcPr>
          <w:p>
            <w:pPr>
              <w:pStyle w:val="TableText"/>
            </w:pPr>
            <w:r>
              <w:t xml:space="preserve">IP66, installazione all'aperto sotto le strutture</w:t>
            </w:r>
          </w:p>
        </w:tc>
      </w:tr>
      <w:tr>
        <w:tc>
          <w:tcPr>
            <w:tcW w:w="3685" w:type="dxa"/>
          </w:tcPr>
          <w:p>
            <w:pPr>
              <w:pStyle w:val="TableText"/>
            </w:pPr>
            <w:r>
              <w:t xml:space="preserve">Funzioni di rete</w:t>
            </w:r>
          </w:p>
        </w:tc>
        <w:tc>
          <w:tcPr>
            <w:tcW w:w="5953" w:type="dxa"/>
          </w:tcPr>
          <w:p>
            <w:pPr>
              <w:pStyle w:val="TableText"/>
            </w:pPr>
            <w:r>
              <w:t xml:space="preserve">P/Q su comando del CCI, curva Q(V), limitazione P(f), LVFRT/HVFRT secondo CEI 0-16</w:t>
            </w:r>
          </w:p>
        </w:tc>
      </w:tr>
      <w:tr>
        <w:tc>
          <w:tcPr>
            <w:tcW w:w="3685" w:type="dxa"/>
          </w:tcPr>
          <w:p>
            <w:pPr>
              <w:pStyle w:val="TableText"/>
            </w:pPr>
            <w:r>
              <w:t xml:space="preserve">Numero</w:t>
            </w:r>
          </w:p>
        </w:tc>
        <w:tc>
          <w:tcPr>
            <w:tcW w:w="5953" w:type="dxa"/>
          </w:tcPr>
          <w:p>
            <w:pPr>
              <w:pStyle w:val="TableText"/>
            </w:pPr>
            <w:r>
              <w:t xml:space="preserve">7 (2.450 kWac)</w:t>
            </w:r>
          </w:p>
        </w:tc>
      </w:tr>
    </w:tbl>
    <w:p>
      <w:pPr>
        <w:pStyle w:val="Normal"/>
        <w:spacing w:after="60"/>
      </w:pPr>
    </w:p>
    <w:p>
      <w:pPr>
        <w:pStyle w:val="Normal"/>
      </w:pPr>
      <w:r>
        <w:t xml:space="preserve">Gli inverter sono distribuiti nel campo, vicino ai baricentri dei sottocampi, per contenere la lunghezza dei cavi di stringa (lunghezza media di calcolo 70 m). Ogni inverter alimenta, con una propria linea in cavo, il quadro BT 800 V nella cabina di trasformazione FV.</w:t>
      </w:r>
    </w:p>
    <w:p>
      <w:pPr>
        <w:pStyle w:val="Heading2"/>
      </w:pPr>
      <w:r>
        <w:t xml:space="preserve">6.2 Quadri di campo e protezioni DC</w:t>
      </w:r>
    </w:p>
    <w:p>
      <w:pPr>
        <w:pStyle w:val="Normal"/>
      </w:pPr>
      <w:r>
        <w:t xml:space="preserve">Con inverter di stringa a 12 MPPT e 3 stringhe per MPPT non servono quadri di parallelo stringhe (string box): le stringhe entrano direttamente nell'inverter. L'inverter deve integrare:</w:t>
      </w:r>
    </w:p>
    <w:p>
      <w:pPr>
        <w:pStyle w:val="ListParagraph"/>
      </w:pPr>
      <w:r>
        <w:t xml:space="preserve">•  </w:t>
      </w:r>
      <w:r>
        <w:rPr>
          <w:b/>
        </w:rPr>
        <w:t xml:space="preserve">sezionatore DC sotto carico</w:t>
      </w:r>
      <w:r>
        <w:t xml:space="preserve"> per ogni MPPT (IEC 60947-3, categoria DC-PV2);</w:t>
      </w:r>
    </w:p>
    <w:p>
      <w:pPr>
        <w:pStyle w:val="ListParagraph"/>
      </w:pPr>
      <w:r>
        <w:t xml:space="preserve">•  </w:t>
      </w:r>
      <w:r>
        <w:rPr>
          <w:b/>
        </w:rPr>
        <w:t xml:space="preserve">fusibili di stringa gPV 1.500 V</w:t>
      </w:r>
      <w:r>
        <w:t xml:space="preserve"> su entrambe le polarità. Con 3 stringhe in parallelo la corrente inversa massima su una stringa guasta è (Np − 1) × 1,25 × Isc = 2 × 1,25 × 16 = 40 A. Se il modulo ammette una corrente inversa massima (fusibile massimo in serie) inferiore, la protezione è obbligatoria (IEC 62548-1). Taglia proposta: 1,5 × Isc ≤ In ≤ 2,4 × Isc, cioè </w:t>
      </w:r>
      <w:r>
        <w:rPr>
          <w:b/>
        </w:rPr>
        <w:t xml:space="preserve">25 A gPV</w:t>
      </w:r>
      <w:r>
        <w:t xml:space="preserve"> [da confermare con la scheda del modulo];</w:t>
      </w:r>
    </w:p>
    <w:p>
      <w:pPr>
        <w:pStyle w:val="ListParagraph"/>
      </w:pPr>
      <w:r>
        <w:t xml:space="preserve">•  </w:t>
      </w:r>
      <w:r>
        <w:rPr>
          <w:b/>
        </w:rPr>
        <w:t xml:space="preserve">SPD DC tipo 2</w:t>
      </w:r>
      <w:r>
        <w:t xml:space="preserve"> (CEI EN 61643-31), con Ucpv ≥ 1,2 × Voc,STC del campo = 1,2 × 28 × 48,9 = 1.643 V, quindi ≥ Voc(Tmin) = 1.487 V. Prodotto da scegliere a 1.500 V DC con il criterio della norma di prodotto [da verificare]. Se la distanza tra campo e inverter supera 10 m, servono SPD anche lato moduli;</w:t>
      </w:r>
    </w:p>
    <w:p>
      <w:pPr>
        <w:pStyle w:val="ListParagraph"/>
      </w:pPr>
      <w:r>
        <w:t xml:space="preserve">•  </w:t>
      </w:r>
      <w:r>
        <w:rPr>
          <w:b/>
        </w:rPr>
        <w:t xml:space="preserve">monitoraggio d'isolamento</w:t>
      </w:r>
      <w:r>
        <w:t xml:space="preserve"> (IMD) e protezione differenziale residua lato DC integrati nell'inverter (IEC 62109-2).</w:t>
      </w:r>
    </w:p>
    <w:p>
      <w:pPr>
        <w:pStyle w:val="Heading2"/>
      </w:pPr>
      <w:r>
        <w:t xml:space="preserve">6.3 Cavi DC di stringa</w:t>
      </w:r>
    </w:p>
    <w:p>
      <w:pPr>
        <w:pStyle w:val="Normal"/>
      </w:pPr>
      <w:r>
        <w:t xml:space="preserve">Cavo solare </w:t>
      </w:r>
      <w:r>
        <w:rPr>
          <w:b/>
        </w:rPr>
        <w:t xml:space="preserve">H1Z2Z2-K 1,5 kV DC</w:t>
      </w:r>
      <w:r>
        <w:t xml:space="preserve"> (CEI EN 50618), rame stagnato, posa in canalina sotto i moduli e in cavidotto interrato fino all'inverter.</w:t>
      </w:r>
    </w:p>
    <w:p>
      <w:pPr>
        <w:pStyle w:val="Normal"/>
      </w:pPr>
      <w:r>
        <w:t xml:space="preserve">Caduta di tensione: ΔV% = 2 × L × Imp × ρ / (S × Vstringa) × 100, con ρCu(70 °C) = 0,0216 Ω·mm²/m e Vstringa = 28 × 41,0 = 1.148 V.</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493"/>
        <w:gridCol w:w="6145"/>
      </w:tblGrid>
      <w:tr>
        <w:trPr>
          <w:tblHeader/>
        </w:trPr>
        <w:tc>
          <w:tcPr>
            <w:tcW w:w="3493" w:type="dxa"/>
            <w:shd w:val="clear" w:color="auto" w:fill="E3EAEC"/>
          </w:tcPr>
          <w:p>
            <w:pPr>
              <w:pStyle w:val="TableText"/>
            </w:pPr>
            <w:r>
              <w:rPr>
                <w:b/>
              </w:rPr>
              <w:t xml:space="preserve">Grandezza</w:t>
            </w:r>
          </w:p>
        </w:tc>
        <w:tc>
          <w:tcPr>
            <w:tcW w:w="6145" w:type="dxa"/>
            <w:shd w:val="clear" w:color="auto" w:fill="E3EAEC"/>
          </w:tcPr>
          <w:p>
            <w:pPr>
              <w:pStyle w:val="TableText"/>
            </w:pPr>
            <w:r>
              <w:rPr>
                <w:b/>
              </w:rPr>
              <w:t xml:space="preserve">Valore</w:t>
            </w:r>
          </w:p>
        </w:tc>
      </w:tr>
      <w:tr>
        <w:tc>
          <w:tcPr>
            <w:tcW w:w="3493" w:type="dxa"/>
          </w:tcPr>
          <w:p>
            <w:pPr>
              <w:pStyle w:val="TableText"/>
            </w:pPr>
            <w:r>
              <w:t xml:space="preserve">Lunghezza media (andata)</w:t>
            </w:r>
          </w:p>
        </w:tc>
        <w:tc>
          <w:tcPr>
            <w:tcW w:w="6145" w:type="dxa"/>
          </w:tcPr>
          <w:p>
            <w:pPr>
              <w:pStyle w:val="TableText"/>
            </w:pPr>
            <w:r>
              <w:t xml:space="preserve">70 m</w:t>
            </w:r>
          </w:p>
        </w:tc>
      </w:tr>
      <w:tr>
        <w:tc>
          <w:tcPr>
            <w:tcW w:w="3493" w:type="dxa"/>
          </w:tcPr>
          <w:p>
            <w:pPr>
              <w:pStyle w:val="TableText"/>
            </w:pPr>
            <w:r>
              <w:t xml:space="preserve">Corrente</w:t>
            </w:r>
          </w:p>
        </w:tc>
        <w:tc>
          <w:tcPr>
            <w:tcW w:w="6145" w:type="dxa"/>
          </w:tcPr>
          <w:p>
            <w:pPr>
              <w:pStyle w:val="TableText"/>
            </w:pPr>
            <w:r>
              <w:t xml:space="preserve">15,12 A</w:t>
            </w:r>
          </w:p>
        </w:tc>
      </w:tr>
      <w:tr>
        <w:tc>
          <w:tcPr>
            <w:tcW w:w="3493" w:type="dxa"/>
          </w:tcPr>
          <w:p>
            <w:pPr>
              <w:pStyle w:val="TableText"/>
            </w:pPr>
            <w:r>
              <w:rPr>
                <w:b/>
              </w:rPr>
              <w:t xml:space="preserve">Sezione scelta</w:t>
            </w:r>
          </w:p>
        </w:tc>
        <w:tc>
          <w:tcPr>
            <w:tcW w:w="6145" w:type="dxa"/>
          </w:tcPr>
          <w:p>
            <w:pPr>
              <w:pStyle w:val="TableText"/>
            </w:pPr>
            <w:r>
              <w:rPr>
                <w:b/>
              </w:rPr>
              <w:t xml:space="preserve">6 mm²</w:t>
            </w:r>
          </w:p>
        </w:tc>
      </w:tr>
      <w:tr>
        <w:tc>
          <w:tcPr>
            <w:tcW w:w="3493" w:type="dxa"/>
          </w:tcPr>
          <w:p>
            <w:pPr>
              <w:pStyle w:val="TableText"/>
            </w:pPr>
            <w:r>
              <w:t xml:space="preserve">ΔV a potenza nominale</w:t>
            </w:r>
          </w:p>
        </w:tc>
        <w:tc>
          <w:tcPr>
            <w:tcW w:w="6145" w:type="dxa"/>
          </w:tcPr>
          <w:p>
            <w:pPr>
              <w:pStyle w:val="TableText"/>
            </w:pPr>
            <w:r>
              <w:t xml:space="preserve">2 × 70 × 15,12 × 0,0216 / (6 × 1.148) = </w:t>
            </w:r>
            <w:r>
              <w:rPr>
                <w:b/>
              </w:rPr>
              <w:t xml:space="preserve">0,66 %</w:t>
            </w:r>
            <w:r>
              <w:t xml:space="preserve"> (limite di progetto 1 %)</w:t>
            </w:r>
          </w:p>
        </w:tc>
      </w:tr>
      <w:tr>
        <w:tc>
          <w:tcPr>
            <w:tcW w:w="3493" w:type="dxa"/>
          </w:tcPr>
          <w:p>
            <w:pPr>
              <w:pStyle w:val="TableText"/>
            </w:pPr>
            <w:r>
              <w:t xml:space="preserve">Portata del cavo 6 mm² in aria a 60 °C (riferimento)</w:t>
            </w:r>
          </w:p>
        </w:tc>
        <w:tc>
          <w:tcPr>
            <w:tcW w:w="6145" w:type="dxa"/>
          </w:tcPr>
          <w:p>
            <w:pPr>
              <w:pStyle w:val="TableText"/>
            </w:pPr>
            <w:r>
              <w:t xml:space="preserve">circa 50 A (dato tipico del costruttore) [da verificare con fattori di posa e raggruppamento]</w:t>
            </w:r>
          </w:p>
        </w:tc>
      </w:tr>
      <w:tr>
        <w:tc>
          <w:tcPr>
            <w:tcW w:w="3493" w:type="dxa"/>
          </w:tcPr>
          <w:p>
            <w:pPr>
              <w:pStyle w:val="TableText"/>
            </w:pPr>
            <w:r>
              <w:t xml:space="preserve">Corrente di progetto (1,25 × Isc)</w:t>
            </w:r>
          </w:p>
        </w:tc>
        <w:tc>
          <w:tcPr>
            <w:tcW w:w="6145" w:type="dxa"/>
          </w:tcPr>
          <w:p>
            <w:pPr>
              <w:pStyle w:val="TableText"/>
            </w:pPr>
            <w:r>
              <w:t xml:space="preserve">20 A: verificato con ampio margine</w:t>
            </w:r>
          </w:p>
        </w:tc>
      </w:tr>
    </w:tbl>
    <w:p>
      <w:pPr>
        <w:pStyle w:val="Normal"/>
        <w:spacing w:after="60"/>
      </w:pPr>
    </w:p>
    <w:p>
      <w:pPr>
        <w:pStyle w:val="Normal"/>
      </w:pPr>
      <w:r>
        <w:t xml:space="preserve">Le stringhe più lontane dall'inverter (oltre circa 100 m) vanno verificate singolarmente, eventualmente con 10 mm².</w:t>
      </w:r>
    </w:p>
    <w:p>
      <w:pPr>
        <w:pStyle w:val="Heading2"/>
      </w:pPr>
      <w:r>
        <w:t xml:space="preserve">6.4 Cavi AC BT 800 V (inverter – quadro BT)</w:t>
      </w:r>
    </w:p>
    <w:p>
      <w:pPr>
        <w:pStyle w:val="Normal"/>
      </w:pPr>
      <w:r>
        <w:t xml:space="preserve">Corrente nominale: I = P / (√3 × V) = 350.000 / (√3 × 800) = </w:t>
      </w:r>
      <w:r>
        <w:rPr>
          <w:b/>
        </w:rPr>
        <w:t xml:space="preserve">252,6 A</w:t>
      </w:r>
      <w:r>
        <w:t xml:space="preserve">.</w:t>
      </w:r>
    </w:p>
    <w:p>
      <w:pPr>
        <w:pStyle w:val="Normal"/>
      </w:pPr>
      <w:r>
        <w:t xml:space="preserve">Cavo </w:t>
      </w:r>
      <w:r>
        <w:rPr>
          <w:b/>
        </w:rPr>
        <w:t xml:space="preserve">ARG16R16 / ARE4R 0,6/1 kV</w:t>
      </w:r>
      <w:r>
        <w:t xml:space="preserve">, alluminio, unipolare, posa interrata in cavidotto.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984"/>
        <w:gridCol w:w="6654"/>
      </w:tblGrid>
      <w:tr>
        <w:trPr>
          <w:tblHeader/>
        </w:trPr>
        <w:tc>
          <w:tcPr>
            <w:tcW w:w="2984" w:type="dxa"/>
            <w:shd w:val="clear" w:color="auto" w:fill="E3EAEC"/>
          </w:tcPr>
          <w:p>
            <w:pPr>
              <w:pStyle w:val="TableText"/>
            </w:pPr>
            <w:r>
              <w:rPr>
                <w:b/>
              </w:rPr>
              <w:t xml:space="preserve">Grandezza</w:t>
            </w:r>
          </w:p>
        </w:tc>
        <w:tc>
          <w:tcPr>
            <w:tcW w:w="6654" w:type="dxa"/>
            <w:shd w:val="clear" w:color="auto" w:fill="E3EAEC"/>
          </w:tcPr>
          <w:p>
            <w:pPr>
              <w:pStyle w:val="TableText"/>
            </w:pPr>
            <w:r>
              <w:rPr>
                <w:b/>
              </w:rPr>
              <w:t xml:space="preserve">Valore</w:t>
            </w:r>
          </w:p>
        </w:tc>
      </w:tr>
      <w:tr>
        <w:tc>
          <w:tcPr>
            <w:tcW w:w="2984" w:type="dxa"/>
          </w:tcPr>
          <w:p>
            <w:pPr>
              <w:pStyle w:val="TableText"/>
            </w:pPr>
            <w:r>
              <w:t xml:space="preserve">Lunghezza media</w:t>
            </w:r>
          </w:p>
        </w:tc>
        <w:tc>
          <w:tcPr>
            <w:tcW w:w="6654" w:type="dxa"/>
          </w:tcPr>
          <w:p>
            <w:pPr>
              <w:pStyle w:val="TableText"/>
            </w:pPr>
            <w:r>
              <w:t xml:space="preserve">150 m</w:t>
            </w:r>
          </w:p>
        </w:tc>
      </w:tr>
      <w:tr>
        <w:tc>
          <w:tcPr>
            <w:tcW w:w="2984" w:type="dxa"/>
          </w:tcPr>
          <w:p>
            <w:pPr>
              <w:pStyle w:val="TableText"/>
            </w:pPr>
            <w:r>
              <w:rPr>
                <w:b/>
              </w:rPr>
              <w:t xml:space="preserve">Sezione scelta</w:t>
            </w:r>
          </w:p>
        </w:tc>
        <w:tc>
          <w:tcPr>
            <w:tcW w:w="6654" w:type="dxa"/>
          </w:tcPr>
          <w:p>
            <w:pPr>
              <w:pStyle w:val="TableText"/>
            </w:pPr>
            <w:r>
              <w:rPr>
                <w:b/>
              </w:rPr>
              <w:t xml:space="preserve">1 × (3 × 1 × 240 mm²) Al</w:t>
            </w:r>
          </w:p>
        </w:tc>
      </w:tr>
      <w:tr>
        <w:tc>
          <w:tcPr>
            <w:tcW w:w="2984" w:type="dxa"/>
          </w:tcPr>
          <w:p>
            <w:pPr>
              <w:pStyle w:val="TableText"/>
            </w:pPr>
            <w:r>
              <w:t xml:space="preserve">Portata di riferimento Iz</w:t>
            </w:r>
          </w:p>
        </w:tc>
        <w:tc>
          <w:tcPr>
            <w:tcW w:w="6654" w:type="dxa"/>
          </w:tcPr>
          <w:p>
            <w:pPr>
              <w:pStyle w:val="TableText"/>
            </w:pPr>
            <w:r>
              <w:t xml:space="preserve">345 A</w:t>
            </w:r>
          </w:p>
        </w:tc>
      </w:tr>
      <w:tr>
        <w:tc>
          <w:tcPr>
            <w:tcW w:w="2984" w:type="dxa"/>
          </w:tcPr>
          <w:p>
            <w:pPr>
              <w:pStyle w:val="TableText"/>
            </w:pPr>
            <w:r>
              <w:t xml:space="preserve">Portata ridotta (coefficiente complessivo 0,8 per posa e raggruppamento)</w:t>
            </w:r>
          </w:p>
        </w:tc>
        <w:tc>
          <w:tcPr>
            <w:tcW w:w="6654" w:type="dxa"/>
          </w:tcPr>
          <w:p>
            <w:pPr>
              <w:pStyle w:val="TableText"/>
            </w:pPr>
            <w:r>
              <w:t xml:space="preserve">276 A ≥ 252,6 A: verificato</w:t>
            </w:r>
          </w:p>
        </w:tc>
      </w:tr>
      <w:tr>
        <w:tc>
          <w:tcPr>
            <w:tcW w:w="2984" w:type="dxa"/>
          </w:tcPr>
          <w:p>
            <w:pPr>
              <w:pStyle w:val="TableText"/>
            </w:pPr>
            <w:r>
              <w:t xml:space="preserve">ΔV = √3 × L × I × ρAl / (S × V) × 100, ρAl(70 °C) = 0,0345 Ω·mm²/m</w:t>
            </w:r>
          </w:p>
        </w:tc>
        <w:tc>
          <w:tcPr>
            <w:tcW w:w="6654" w:type="dxa"/>
          </w:tcPr>
          <w:p>
            <w:pPr>
              <w:pStyle w:val="TableText"/>
            </w:pPr>
            <w:r>
              <w:t xml:space="preserve">√3 × 150 × 252,6 × 0,0345 / (240 × 800) × 100 = </w:t>
            </w:r>
            <w:r>
              <w:rPr>
                <w:b/>
              </w:rPr>
              <w:t xml:space="preserve">1,18 %</w:t>
            </w:r>
          </w:p>
        </w:tc>
      </w:tr>
      <w:tr>
        <w:tc>
          <w:tcPr>
            <w:tcW w:w="2984" w:type="dxa"/>
          </w:tcPr>
          <w:p>
            <w:pPr>
              <w:pStyle w:val="TableText"/>
            </w:pPr>
            <w:r>
              <w:t xml:space="preserve">Conduttore di protezione PE</w:t>
            </w:r>
          </w:p>
        </w:tc>
        <w:tc>
          <w:tcPr>
            <w:tcW w:w="6654" w:type="dxa"/>
          </w:tcPr>
          <w:p>
            <w:pPr>
              <w:pStyle w:val="TableText"/>
            </w:pPr>
            <w:r>
              <w:t xml:space="preserve">≥ S/2 per S &gt; 35 mm² (CEI 64-8, tab. 54F) → 120 mm² Al o 70 mm² Cu [verifica preliminare: va controllata l'energia specifica passante I²t con la protezione scelta]</w:t>
            </w:r>
          </w:p>
        </w:tc>
      </w:tr>
      <w:tr>
        <w:tc>
          <w:tcPr>
            <w:tcW w:w="2984" w:type="dxa"/>
          </w:tcPr>
          <w:p>
            <w:pPr>
              <w:pStyle w:val="TableText"/>
            </w:pPr>
            <w:r>
              <w:t xml:space="preserve">Protezione in partenza dal quadro BT</w:t>
            </w:r>
          </w:p>
        </w:tc>
        <w:tc>
          <w:tcPr>
            <w:tcW w:w="6654" w:type="dxa"/>
          </w:tcPr>
          <w:p>
            <w:pPr>
              <w:pStyle w:val="TableText"/>
            </w:pPr>
            <w:r>
              <w:t xml:space="preserve">interruttore scatolato 400 A, 800 V AC, sganciatore elettronico LSI</w:t>
            </w:r>
          </w:p>
        </w:tc>
      </w:tr>
    </w:tbl>
    <w:p>
      <w:pPr>
        <w:pStyle w:val="Normal"/>
        <w:spacing w:after="60"/>
      </w:pPr>
    </w:p>
    <w:p>
      <w:pPr>
        <w:pStyle w:val="Normal"/>
      </w:pPr>
      <w:r>
        <w:t xml:space="preserve">Il coefficiente di riduzione 0,8 è un valore cautelativo di pre-dimensionamento. In progetto esecutivo vanno applicati i coefficienti CEI UNEL 35026 per temperatura e resistività del terreno, profondità di posa e numero di circuiti nello stesso scavo: con 7 circuiti affiancati il coefficiente di raggruppamento può scendere sotto 0,7, nel qual caso si passa a 300 mm² o a cavidotti separati </w:t>
      </w:r>
      <w:r>
        <w:rPr>
          <w:b/>
        </w:rPr>
        <w:t xml:space="preserve">[verifica preliminare]</w:t>
      </w:r>
      <w:r>
        <w:t xml:space="preserve">.</w:t>
      </w:r>
    </w:p>
    <w:p>
      <w:pPr>
        <w:pStyle w:val="Heading2"/>
      </w:pPr>
      <w:r>
        <w:t xml:space="preserve">6.5 Cadute di tensione complessive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197"/>
        <w:gridCol w:w="7441"/>
      </w:tblGrid>
      <w:tr>
        <w:trPr>
          <w:tblHeader/>
        </w:trPr>
        <w:tc>
          <w:tcPr>
            <w:tcW w:w="2197" w:type="dxa"/>
            <w:shd w:val="clear" w:color="auto" w:fill="E3EAEC"/>
          </w:tcPr>
          <w:p>
            <w:pPr>
              <w:pStyle w:val="TableText"/>
            </w:pPr>
            <w:r>
              <w:rPr>
                <w:b/>
              </w:rPr>
              <w:t xml:space="preserve">Tratto</w:t>
            </w:r>
          </w:p>
        </w:tc>
        <w:tc>
          <w:tcPr>
            <w:tcW w:w="7441" w:type="dxa"/>
            <w:shd w:val="clear" w:color="auto" w:fill="E3EAEC"/>
          </w:tcPr>
          <w:p>
            <w:pPr>
              <w:pStyle w:val="TableText"/>
            </w:pPr>
            <w:r>
              <w:rPr>
                <w:b/>
              </w:rPr>
              <w:t xml:space="preserve">ΔV a potenza nominale</w:t>
            </w:r>
          </w:p>
        </w:tc>
      </w:tr>
      <w:tr>
        <w:tc>
          <w:tcPr>
            <w:tcW w:w="2197" w:type="dxa"/>
          </w:tcPr>
          <w:p>
            <w:pPr>
              <w:pStyle w:val="TableText"/>
            </w:pPr>
            <w:r>
              <w:t xml:space="preserve">Stringa – inverter (DC)</w:t>
            </w:r>
          </w:p>
        </w:tc>
        <w:tc>
          <w:tcPr>
            <w:tcW w:w="7441" w:type="dxa"/>
          </w:tcPr>
          <w:p>
            <w:pPr>
              <w:pStyle w:val="TableText"/>
            </w:pPr>
            <w:r>
              <w:t xml:space="preserve">0,66 %</w:t>
            </w:r>
          </w:p>
        </w:tc>
      </w:tr>
      <w:tr>
        <w:tc>
          <w:tcPr>
            <w:tcW w:w="2197" w:type="dxa"/>
          </w:tcPr>
          <w:p>
            <w:pPr>
              <w:pStyle w:val="TableText"/>
            </w:pPr>
            <w:r>
              <w:t xml:space="preserve">Inverter – quadro BT (AC)</w:t>
            </w:r>
          </w:p>
        </w:tc>
        <w:tc>
          <w:tcPr>
            <w:tcW w:w="7441" w:type="dxa"/>
          </w:tcPr>
          <w:p>
            <w:pPr>
              <w:pStyle w:val="TableText"/>
            </w:pPr>
            <w:r>
              <w:t xml:space="preserve">1,18 %</w:t>
            </w:r>
          </w:p>
        </w:tc>
      </w:tr>
      <w:tr>
        <w:tc>
          <w:tcPr>
            <w:tcW w:w="2197" w:type="dxa"/>
          </w:tcPr>
          <w:p>
            <w:pPr>
              <w:pStyle w:val="TableText"/>
            </w:pPr>
            <w:r>
              <w:t xml:space="preserve">Linea MT 15 kV, 400 m (§ 7.3)</w:t>
            </w:r>
          </w:p>
        </w:tc>
        <w:tc>
          <w:tcPr>
            <w:tcW w:w="7441" w:type="dxa"/>
          </w:tcPr>
          <w:p>
            <w:pPr>
              <w:pStyle w:val="TableText"/>
            </w:pPr>
            <w:r>
              <w:t xml:space="preserve">0,32 %</w:t>
            </w:r>
          </w:p>
        </w:tc>
      </w:tr>
      <w:tr>
        <w:tc>
          <w:tcPr>
            <w:tcW w:w="2197" w:type="dxa"/>
          </w:tcPr>
          <w:p>
            <w:pPr>
              <w:pStyle w:val="TableText"/>
            </w:pPr>
            <w:r>
              <w:rPr>
                <w:b/>
              </w:rPr>
              <w:t xml:space="preserve">Totale cavi</w:t>
            </w:r>
          </w:p>
        </w:tc>
        <w:tc>
          <w:tcPr>
            <w:tcW w:w="7441" w:type="dxa"/>
          </w:tcPr>
          <w:p>
            <w:pPr>
              <w:pStyle w:val="TableText"/>
            </w:pPr>
            <w:r>
              <w:rPr>
                <w:b/>
              </w:rPr>
              <w:t xml:space="preserve">≈ 2,2 %</w:t>
            </w:r>
            <w:r>
              <w:t xml:space="preserve"> a piena potenza (perdita energetica annua inferiore, perché cresce col quadrato della corrente)</w:t>
            </w:r>
          </w:p>
        </w:tc>
      </w:tr>
    </w:tbl>
    <w:p>
      <w:pPr>
        <w:pStyle w:val="Normal"/>
        <w:spacing w:after="60"/>
      </w:pPr>
    </w:p>
    <w:p>
      <w:pPr>
        <w:pStyle w:val="Normal"/>
        <w:pBdr>
          <w:bottom w:val="single" w:sz="6" w:space="1" w:color="A0A8AE"/>
        </w:pBdr>
      </w:pPr>
    </w:p>
    <w:p>
      <w:pPr>
        <w:pStyle w:val="Heading1"/>
      </w:pPr>
      <w:r>
        <w:t xml:space="preserve">7. Cabina di trasformazione e media tensione</w:t>
      </w:r>
    </w:p>
    <w:p>
      <w:pPr>
        <w:pStyle w:val="Heading2"/>
      </w:pPr>
      <w:r>
        <w:t xml:space="preserve">7.1 Trasformatore FV</w:t>
      </w:r>
    </w:p>
    <w:p>
      <w:pPr>
        <w:pStyle w:val="Normal"/>
      </w:pPr>
      <w:r>
        <w:t xml:space="preserve">Potenza richiesta: S = Pac × 1,05 / 0,95 = 2.450 × 1,05 / 0,95 = 2.708 kVA. Si sceglie la taglia normalizzata superiore.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834"/>
        <w:gridCol w:w="8804"/>
      </w:tblGrid>
      <w:tr>
        <w:trPr>
          <w:tblHeader/>
        </w:trPr>
        <w:tc>
          <w:tcPr>
            <w:tcW w:w="834" w:type="dxa"/>
            <w:shd w:val="clear" w:color="auto" w:fill="E3EAEC"/>
          </w:tcPr>
          <w:p>
            <w:pPr>
              <w:pStyle w:val="TableText"/>
            </w:pPr>
            <w:r>
              <w:rPr>
                <w:b/>
              </w:rPr>
              <w:t xml:space="preserve">Parametro</w:t>
            </w:r>
          </w:p>
        </w:tc>
        <w:tc>
          <w:tcPr>
            <w:tcW w:w="8804" w:type="dxa"/>
            <w:shd w:val="clear" w:color="auto" w:fill="E3EAEC"/>
          </w:tcPr>
          <w:p>
            <w:pPr>
              <w:pStyle w:val="TableText"/>
            </w:pPr>
            <w:r>
              <w:rPr>
                <w:b/>
              </w:rPr>
              <w:t xml:space="preserve">Valore</w:t>
            </w:r>
          </w:p>
        </w:tc>
      </w:tr>
      <w:tr>
        <w:tc>
          <w:tcPr>
            <w:tcW w:w="834" w:type="dxa"/>
          </w:tcPr>
          <w:p>
            <w:pPr>
              <w:pStyle w:val="TableText"/>
            </w:pPr>
            <w:r>
              <w:t xml:space="preserve">Potenza nominale</w:t>
            </w:r>
          </w:p>
        </w:tc>
        <w:tc>
          <w:tcPr>
            <w:tcW w:w="8804" w:type="dxa"/>
          </w:tcPr>
          <w:p>
            <w:pPr>
              <w:pStyle w:val="TableText"/>
            </w:pPr>
            <w:r>
              <w:rPr>
                <w:b/>
              </w:rPr>
              <w:t xml:space="preserve">3.150 kVA</w:t>
            </w:r>
          </w:p>
        </w:tc>
      </w:tr>
      <w:tr>
        <w:tc>
          <w:tcPr>
            <w:tcW w:w="834" w:type="dxa"/>
          </w:tcPr>
          <w:p>
            <w:pPr>
              <w:pStyle w:val="TableText"/>
            </w:pPr>
            <w:r>
              <w:t xml:space="preserve">Rapporto</w:t>
            </w:r>
          </w:p>
        </w:tc>
        <w:tc>
          <w:tcPr>
            <w:tcW w:w="8804" w:type="dxa"/>
          </w:tcPr>
          <w:p>
            <w:pPr>
              <w:pStyle w:val="TableText"/>
            </w:pPr>
            <w:r>
              <w:t xml:space="preserve">15 kV ± 2 × 2,5 % / 0,8 kV</w:t>
            </w:r>
          </w:p>
        </w:tc>
      </w:tr>
      <w:tr>
        <w:tc>
          <w:tcPr>
            <w:tcW w:w="834" w:type="dxa"/>
          </w:tcPr>
          <w:p>
            <w:pPr>
              <w:pStyle w:val="TableText"/>
            </w:pPr>
            <w:r>
              <w:t xml:space="preserve">Gruppo vettoriale</w:t>
            </w:r>
          </w:p>
        </w:tc>
        <w:tc>
          <w:tcPr>
            <w:tcW w:w="8804" w:type="dxa"/>
          </w:tcPr>
          <w:p>
            <w:pPr>
              <w:pStyle w:val="TableText"/>
            </w:pPr>
            <w:r>
              <w:t xml:space="preserve">Dyn11 (secondario con neutro non distribuito, verso gli inverter IT o TN secondo il costruttore) [da verificare con il costruttore dell'inverter]</w:t>
            </w:r>
          </w:p>
        </w:tc>
      </w:tr>
      <w:tr>
        <w:tc>
          <w:tcPr>
            <w:tcW w:w="834" w:type="dxa"/>
          </w:tcPr>
          <w:p>
            <w:pPr>
              <w:pStyle w:val="TableText"/>
            </w:pPr>
            <w:r>
              <w:t xml:space="preserve">Tensione di cortocircuito</w:t>
            </w:r>
          </w:p>
        </w:tc>
        <w:tc>
          <w:tcPr>
            <w:tcW w:w="8804" w:type="dxa"/>
          </w:tcPr>
          <w:p>
            <w:pPr>
              <w:pStyle w:val="TableText"/>
            </w:pPr>
            <w:r>
              <w:t xml:space="preserve">6–7 % (ipotesi di calcolo 6 %)</w:t>
            </w:r>
          </w:p>
        </w:tc>
      </w:tr>
      <w:tr>
        <w:tc>
          <w:tcPr>
            <w:tcW w:w="834" w:type="dxa"/>
          </w:tcPr>
          <w:p>
            <w:pPr>
              <w:pStyle w:val="TableText"/>
            </w:pPr>
            <w:r>
              <w:t xml:space="preserve">Isolamento</w:t>
            </w:r>
          </w:p>
        </w:tc>
        <w:tc>
          <w:tcPr>
            <w:tcW w:w="8804" w:type="dxa"/>
          </w:tcPr>
          <w:p>
            <w:pPr>
              <w:pStyle w:val="TableText"/>
            </w:pPr>
            <w:r>
              <w:t xml:space="preserve">olio vegetale/estere naturale (K-class, punto di fuoco &gt; 300 °C) oppure resina (secco)</w:t>
            </w:r>
          </w:p>
        </w:tc>
      </w:tr>
      <w:tr>
        <w:tc>
          <w:tcPr>
            <w:tcW w:w="834" w:type="dxa"/>
          </w:tcPr>
          <w:p>
            <w:pPr>
              <w:pStyle w:val="TableText"/>
            </w:pPr>
            <w:r>
              <w:t xml:space="preserve">Perdite</w:t>
            </w:r>
          </w:p>
        </w:tc>
        <w:tc>
          <w:tcPr>
            <w:tcW w:w="8804" w:type="dxa"/>
          </w:tcPr>
          <w:p>
            <w:pPr>
              <w:pStyle w:val="TableText"/>
            </w:pPr>
            <w:r>
              <w:t xml:space="preserve">conformi al Reg. UE 548/2014 come modificato dal Reg. 2019/1783, livello Tier 2 (ordine di grandezza per 3.150 kVA in liquido: P0 ≈ 2,2 kW; Pk ≈ 23 kW) [valori indicativi: da verificare nella Tabella I.1 del regolamento e nelle esenzioni per i trasformatori elevatori di impianti FV]</w:t>
            </w:r>
          </w:p>
        </w:tc>
      </w:tr>
      <w:tr>
        <w:tc>
          <w:tcPr>
            <w:tcW w:w="834" w:type="dxa"/>
          </w:tcPr>
          <w:p>
            <w:pPr>
              <w:pStyle w:val="TableText"/>
            </w:pPr>
            <w:r>
              <w:t xml:space="preserve">Raffreddamento</w:t>
            </w:r>
          </w:p>
        </w:tc>
        <w:tc>
          <w:tcPr>
            <w:tcW w:w="8804" w:type="dxa"/>
          </w:tcPr>
          <w:p>
            <w:pPr>
              <w:pStyle w:val="TableText"/>
            </w:pPr>
            <w:r>
              <w:t xml:space="preserve">ONAN</w:t>
            </w:r>
          </w:p>
        </w:tc>
      </w:tr>
    </w:tbl>
    <w:p>
      <w:pPr>
        <w:pStyle w:val="Normal"/>
        <w:spacing w:after="60"/>
      </w:pPr>
    </w:p>
    <w:p>
      <w:pPr>
        <w:pStyle w:val="Normal"/>
      </w:pPr>
      <w:r>
        <w:t xml:space="preserve">La scelta tra olio estere e secco dipende dalla prevenzione incendi (§ 12). Un trasformatore in liquido isolante combustibile oltre 1 m³ rientra tra le attività soggette. Un 3.150 kVA in olio contiene di norma più di 1 m³ di liquido.</w:t>
      </w:r>
    </w:p>
    <w:p>
      <w:pPr>
        <w:pStyle w:val="Heading2"/>
      </w:pPr>
      <w:r>
        <w:t xml:space="preserve">7.2 Quadro MT d'impianto</w:t>
      </w:r>
    </w:p>
    <w:p>
      <w:pPr>
        <w:pStyle w:val="Normal"/>
      </w:pPr>
      <w:r>
        <w:t xml:space="preserve">Quadro MT 24 kV, 16 kA × 1 s (o 20 kA, in base alla corrente di cortocircuito di rete), isolato in aria o in SF₆-free, con:</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664"/>
        <w:gridCol w:w="6974"/>
      </w:tblGrid>
      <w:tr>
        <w:trPr>
          <w:tblHeader/>
        </w:trPr>
        <w:tc>
          <w:tcPr>
            <w:tcW w:w="2664" w:type="dxa"/>
            <w:shd w:val="clear" w:color="auto" w:fill="E3EAEC"/>
          </w:tcPr>
          <w:p>
            <w:pPr>
              <w:pStyle w:val="TableText"/>
            </w:pPr>
            <w:r>
              <w:rPr>
                <w:b/>
              </w:rPr>
              <w:t xml:space="preserve">Scomparto</w:t>
            </w:r>
          </w:p>
        </w:tc>
        <w:tc>
          <w:tcPr>
            <w:tcW w:w="6974" w:type="dxa"/>
            <w:shd w:val="clear" w:color="auto" w:fill="E3EAEC"/>
          </w:tcPr>
          <w:p>
            <w:pPr>
              <w:pStyle w:val="TableText"/>
            </w:pPr>
            <w:r>
              <w:rPr>
                <w:b/>
              </w:rPr>
              <w:t xml:space="preserve">Apparecchiatura</w:t>
            </w:r>
          </w:p>
        </w:tc>
      </w:tr>
      <w:tr>
        <w:tc>
          <w:tcPr>
            <w:tcW w:w="2664" w:type="dxa"/>
          </w:tcPr>
          <w:p>
            <w:pPr>
              <w:pStyle w:val="TableText"/>
            </w:pPr>
            <w:r>
              <w:t xml:space="preserve">Arrivo linea dalla cabina utente</w:t>
            </w:r>
          </w:p>
        </w:tc>
        <w:tc>
          <w:tcPr>
            <w:tcW w:w="6974" w:type="dxa"/>
          </w:tcPr>
          <w:p>
            <w:pPr>
              <w:pStyle w:val="TableText"/>
            </w:pPr>
            <w:r>
              <w:t xml:space="preserve">sezionatore sotto carico con sezionatore di terra</w:t>
            </w:r>
          </w:p>
        </w:tc>
      </w:tr>
      <w:tr>
        <w:tc>
          <w:tcPr>
            <w:tcW w:w="2664" w:type="dxa"/>
          </w:tcPr>
          <w:p>
            <w:pPr>
              <w:pStyle w:val="TableText"/>
            </w:pPr>
            <w:r>
              <w:t xml:space="preserve">Misura</w:t>
            </w:r>
          </w:p>
        </w:tc>
        <w:tc>
          <w:tcPr>
            <w:tcW w:w="6974" w:type="dxa"/>
          </w:tcPr>
          <w:p>
            <w:pPr>
              <w:pStyle w:val="TableText"/>
            </w:pPr>
            <w:r>
              <w:t xml:space="preserve">TV fase-fase, TV omopolare (per 59N), contatore M2 di produzione (se richiesto dal GSE)</w:t>
            </w:r>
          </w:p>
        </w:tc>
      </w:tr>
      <w:tr>
        <w:tc>
          <w:tcPr>
            <w:tcW w:w="2664" w:type="dxa"/>
          </w:tcPr>
          <w:p>
            <w:pPr>
              <w:pStyle w:val="TableText"/>
            </w:pPr>
            <w:r>
              <w:t xml:space="preserve">Partenza TR-FV</w:t>
            </w:r>
          </w:p>
        </w:tc>
        <w:tc>
          <w:tcPr>
            <w:tcW w:w="6974" w:type="dxa"/>
          </w:tcPr>
          <w:p>
            <w:pPr>
              <w:pStyle w:val="TableText"/>
            </w:pPr>
            <w:r>
              <w:t xml:space="preserve">interruttore in vuoto con protezione 50/51/51N del trasformatore</w:t>
            </w:r>
          </w:p>
        </w:tc>
      </w:tr>
      <w:tr>
        <w:tc>
          <w:tcPr>
            <w:tcW w:w="2664" w:type="dxa"/>
          </w:tcPr>
          <w:p>
            <w:pPr>
              <w:pStyle w:val="TableText"/>
            </w:pPr>
            <w:r>
              <w:t xml:space="preserve">Partenza TR-BESS</w:t>
            </w:r>
          </w:p>
        </w:tc>
        <w:tc>
          <w:tcPr>
            <w:tcW w:w="6974" w:type="dxa"/>
          </w:tcPr>
          <w:p>
            <w:pPr>
              <w:pStyle w:val="TableText"/>
            </w:pPr>
            <w:r>
              <w:t xml:space="preserve">interruttore in vuoto con protezione 50/51/51N</w:t>
            </w:r>
          </w:p>
        </w:tc>
      </w:tr>
      <w:tr>
        <w:tc>
          <w:tcPr>
            <w:tcW w:w="2664" w:type="dxa"/>
          </w:tcPr>
          <w:p>
            <w:pPr>
              <w:pStyle w:val="TableText"/>
            </w:pPr>
            <w:r>
              <w:t xml:space="preserve">Servizi ausiliari</w:t>
            </w:r>
          </w:p>
        </w:tc>
        <w:tc>
          <w:tcPr>
            <w:tcW w:w="6974" w:type="dxa"/>
          </w:tcPr>
          <w:p>
            <w:pPr>
              <w:pStyle w:val="TableText"/>
            </w:pPr>
            <w:r>
              <w:t xml:space="preserve">trasformatore MT/BT 25–50 kVA o derivazione BT dalla cabina utente, UPS 3 kVA, 2 h</w:t>
            </w:r>
          </w:p>
        </w:tc>
      </w:tr>
    </w:tbl>
    <w:p>
      <w:pPr>
        <w:pStyle w:val="Normal"/>
        <w:spacing w:after="60"/>
      </w:pPr>
    </w:p>
    <w:p>
      <w:pPr>
        <w:pStyle w:val="Heading2"/>
      </w:pPr>
      <w:r>
        <w:t xml:space="preserve">7.3 Linea MT verso la cabina utente</w:t>
      </w:r>
    </w:p>
    <w:p>
      <w:pPr>
        <w:pStyle w:val="Normal"/>
      </w:pPr>
      <w:r>
        <w:t xml:space="preserve">Corrente con FV e BESS in immissione contemporanea alla potenza nominale: I = (2.450 + 1.000) kW / (√3 × 15 kV × 0,95) = </w:t>
      </w:r>
      <w:r>
        <w:rPr>
          <w:b/>
        </w:rPr>
        <w:t xml:space="preserve">139,8 A</w:t>
      </w:r>
      <w:r>
        <w:t xml:space="preserv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187"/>
        <w:gridCol w:w="8451"/>
      </w:tblGrid>
      <w:tr>
        <w:trPr>
          <w:tblHeader/>
        </w:trPr>
        <w:tc>
          <w:tcPr>
            <w:tcW w:w="1187" w:type="dxa"/>
            <w:shd w:val="clear" w:color="auto" w:fill="E3EAEC"/>
          </w:tcPr>
          <w:p>
            <w:pPr>
              <w:pStyle w:val="TableText"/>
            </w:pPr>
            <w:r>
              <w:rPr>
                <w:b/>
              </w:rPr>
              <w:t xml:space="preserve">Grandezza</w:t>
            </w:r>
          </w:p>
        </w:tc>
        <w:tc>
          <w:tcPr>
            <w:tcW w:w="8451" w:type="dxa"/>
            <w:shd w:val="clear" w:color="auto" w:fill="E3EAEC"/>
          </w:tcPr>
          <w:p>
            <w:pPr>
              <w:pStyle w:val="TableText"/>
            </w:pPr>
            <w:r>
              <w:rPr>
                <w:b/>
              </w:rPr>
              <w:t xml:space="preserve">Valore</w:t>
            </w:r>
          </w:p>
        </w:tc>
      </w:tr>
      <w:tr>
        <w:tc>
          <w:tcPr>
            <w:tcW w:w="1187" w:type="dxa"/>
          </w:tcPr>
          <w:p>
            <w:pPr>
              <w:pStyle w:val="TableText"/>
            </w:pPr>
            <w:r>
              <w:t xml:space="preserve">Cavo</w:t>
            </w:r>
          </w:p>
        </w:tc>
        <w:tc>
          <w:tcPr>
            <w:tcW w:w="8451" w:type="dxa"/>
          </w:tcPr>
          <w:p>
            <w:pPr>
              <w:pStyle w:val="TableText"/>
            </w:pPr>
            <w:r>
              <w:t xml:space="preserve">ARE4H5E 12/20 kV, 3 × 1 × </w:t>
            </w:r>
            <w:r>
              <w:rPr>
                <w:b/>
              </w:rPr>
              <w:t xml:space="preserve">120 mm²</w:t>
            </w:r>
            <w:r>
              <w:t xml:space="preserve"> Al, interrato in tubo (la portata richiederebbe 70 mm²; la sezione è fissata dalla tenuta al cortocircuito)</w:t>
            </w:r>
          </w:p>
        </w:tc>
      </w:tr>
      <w:tr>
        <w:tc>
          <w:tcPr>
            <w:tcW w:w="1187" w:type="dxa"/>
          </w:tcPr>
          <w:p>
            <w:pPr>
              <w:pStyle w:val="TableText"/>
            </w:pPr>
            <w:r>
              <w:t xml:space="preserve">Lunghezza</w:t>
            </w:r>
          </w:p>
        </w:tc>
        <w:tc>
          <w:tcPr>
            <w:tcW w:w="8451" w:type="dxa"/>
          </w:tcPr>
          <w:p>
            <w:pPr>
              <w:pStyle w:val="TableText"/>
            </w:pPr>
            <w:r>
              <w:t xml:space="preserve">400 m</w:t>
            </w:r>
          </w:p>
        </w:tc>
      </w:tr>
      <w:tr>
        <w:tc>
          <w:tcPr>
            <w:tcW w:w="1187" w:type="dxa"/>
          </w:tcPr>
          <w:p>
            <w:pPr>
              <w:pStyle w:val="TableText"/>
            </w:pPr>
            <w:r>
              <w:t xml:space="preserve">Portata Iz (riferimento) / ridotta × 0,8</w:t>
            </w:r>
          </w:p>
        </w:tc>
        <w:tc>
          <w:tcPr>
            <w:tcW w:w="8451" w:type="dxa"/>
          </w:tcPr>
          <w:p>
            <w:pPr>
              <w:pStyle w:val="TableText"/>
            </w:pPr>
            <w:r>
              <w:t xml:space="preserve">200 A / 160 A ≥ 139,8 A: verificato</w:t>
            </w:r>
          </w:p>
        </w:tc>
      </w:tr>
      <w:tr>
        <w:tc>
          <w:tcPr>
            <w:tcW w:w="1187" w:type="dxa"/>
          </w:tcPr>
          <w:p>
            <w:pPr>
              <w:pStyle w:val="TableText"/>
            </w:pPr>
            <w:r>
              <w:t xml:space="preserve">ΔV</w:t>
            </w:r>
          </w:p>
        </w:tc>
        <w:tc>
          <w:tcPr>
            <w:tcW w:w="8451" w:type="dxa"/>
          </w:tcPr>
          <w:p>
            <w:pPr>
              <w:pStyle w:val="TableText"/>
            </w:pPr>
            <w:r>
              <w:t xml:space="preserve">√3 × 400 × 139,8 × 0,0345 / (70 × 15.000) × 100 = </w:t>
            </w:r>
            <w:r>
              <w:rPr>
                <w:b/>
              </w:rPr>
              <w:t xml:space="preserve">0,32 %</w:t>
            </w:r>
            <w:r>
              <w:t xml:space="preserve"> (limite di progetto 0,5 %)</w:t>
            </w:r>
          </w:p>
        </w:tc>
      </w:tr>
      <w:tr>
        <w:tc>
          <w:tcPr>
            <w:tcW w:w="1187" w:type="dxa"/>
          </w:tcPr>
          <w:p>
            <w:pPr>
              <w:pStyle w:val="TableText"/>
            </w:pPr>
            <w:r>
              <w:t xml:space="preserve">Tenuta al cortocircuito</w:t>
            </w:r>
          </w:p>
        </w:tc>
        <w:tc>
          <w:tcPr>
            <w:tcW w:w="8451" w:type="dxa"/>
          </w:tcPr>
          <w:p>
            <w:pPr>
              <w:pStyle w:val="TableText"/>
            </w:pPr>
            <w:r>
              <w:t xml:space="preserve">Sezione minima S ≥ Icc × √t / K = 12.500 × √0,5 / 92 ≈ 96 mm² (K = 92 per Al/XLPE, Icc di rete 12,5 kA, eliminazione del guasto in 0,5 s) → </w:t>
            </w:r>
            <w:r>
              <w:rPr>
                <w:b/>
              </w:rPr>
              <w:t xml:space="preserve">120 mm²</w:t>
            </w:r>
            <w:r>
              <w:t xml:space="preserve">. Con 70 mm² la tenuta sarebbe solo 9,1 kA per 0,5 s [verifica preliminare: Icc e tempi da confermare con il distributore e il calcolo di selettività]</w:t>
            </w:r>
          </w:p>
        </w:tc>
      </w:tr>
      <w:tr>
        <w:tc>
          <w:tcPr>
            <w:tcW w:w="1187" w:type="dxa"/>
          </w:tcPr>
          <w:p>
            <w:pPr>
              <w:pStyle w:val="TableText"/>
            </w:pPr>
            <w:r>
              <w:t xml:space="preserve">Schermo</w:t>
            </w:r>
          </w:p>
        </w:tc>
        <w:tc>
          <w:tcPr>
            <w:tcW w:w="8451" w:type="dxa"/>
          </w:tcPr>
          <w:p>
            <w:pPr>
              <w:pStyle w:val="TableText"/>
            </w:pPr>
            <w:r>
              <w:t xml:space="preserve">da dimensionare sulla corrente di guasto a terra del distributore</w:t>
            </w:r>
          </w:p>
        </w:tc>
      </w:tr>
    </w:tbl>
    <w:p>
      <w:pPr>
        <w:pStyle w:val="Normal"/>
        <w:spacing w:after="60"/>
      </w:pPr>
    </w:p>
    <w:p>
      <w:pPr>
        <w:pStyle w:val="Heading2"/>
      </w:pPr>
      <w:r>
        <w:t xml:space="preserve">7.4 Correnti di cortocircuito (stima preliminare)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226"/>
        <w:gridCol w:w="2006"/>
        <w:gridCol w:w="3008"/>
        <w:gridCol w:w="3398"/>
      </w:tblGrid>
      <w:tr>
        <w:trPr>
          <w:tblHeader/>
        </w:trPr>
        <w:tc>
          <w:tcPr>
            <w:tcW w:w="1226" w:type="dxa"/>
            <w:shd w:val="clear" w:color="auto" w:fill="E3EAEC"/>
          </w:tcPr>
          <w:p>
            <w:pPr>
              <w:pStyle w:val="TableText"/>
            </w:pPr>
            <w:r>
              <w:rPr>
                <w:b/>
              </w:rPr>
              <w:t xml:space="preserve">Punto</w:t>
            </w:r>
          </w:p>
        </w:tc>
        <w:tc>
          <w:tcPr>
            <w:tcW w:w="2006" w:type="dxa"/>
            <w:shd w:val="clear" w:color="auto" w:fill="E3EAEC"/>
          </w:tcPr>
          <w:p>
            <w:pPr>
              <w:pStyle w:val="TableText"/>
            </w:pPr>
            <w:r>
              <w:rPr>
                <w:b/>
              </w:rPr>
              <w:t xml:space="preserve">Contributo</w:t>
            </w:r>
          </w:p>
        </w:tc>
        <w:tc>
          <w:tcPr>
            <w:tcW w:w="3008" w:type="dxa"/>
            <w:shd w:val="clear" w:color="auto" w:fill="E3EAEC"/>
          </w:tcPr>
          <w:p>
            <w:pPr>
              <w:pStyle w:val="TableText"/>
            </w:pPr>
            <w:r>
              <w:rPr>
                <w:b/>
              </w:rPr>
              <w:t xml:space="preserve">Calcolo</w:t>
            </w:r>
          </w:p>
        </w:tc>
        <w:tc>
          <w:tcPr>
            <w:tcW w:w="3398" w:type="dxa"/>
            <w:shd w:val="clear" w:color="auto" w:fill="E3EAEC"/>
          </w:tcPr>
          <w:p>
            <w:pPr>
              <w:pStyle w:val="TableText"/>
            </w:pPr>
            <w:r>
              <w:rPr>
                <w:b/>
              </w:rPr>
              <w:t xml:space="preserve">Valore</w:t>
            </w:r>
          </w:p>
        </w:tc>
      </w:tr>
      <w:tr>
        <w:tc>
          <w:tcPr>
            <w:tcW w:w="1226" w:type="dxa"/>
          </w:tcPr>
          <w:p>
            <w:pPr>
              <w:pStyle w:val="TableText"/>
            </w:pPr>
            <w:r>
              <w:t xml:space="preserve">Sbarre MT 15 kV</w:t>
            </w:r>
          </w:p>
        </w:tc>
        <w:tc>
          <w:tcPr>
            <w:tcW w:w="2006" w:type="dxa"/>
          </w:tcPr>
          <w:p>
            <w:pPr>
              <w:pStyle w:val="TableText"/>
            </w:pPr>
            <w:r>
              <w:t xml:space="preserve">Rete</w:t>
            </w:r>
          </w:p>
        </w:tc>
        <w:tc>
          <w:tcPr>
            <w:tcW w:w="3008" w:type="dxa"/>
          </w:tcPr>
          <w:p>
            <w:pPr>
              <w:pStyle w:val="TableText"/>
            </w:pPr>
            <w:r>
              <w:t xml:space="preserve">dato del distributore</w:t>
            </w:r>
          </w:p>
        </w:tc>
        <w:tc>
          <w:tcPr>
            <w:tcW w:w="3398" w:type="dxa"/>
          </w:tcPr>
          <w:p>
            <w:pPr>
              <w:pStyle w:val="TableText"/>
            </w:pPr>
            <w:r>
              <w:t xml:space="preserve">12,5 kA [da verificare]</w:t>
            </w:r>
          </w:p>
        </w:tc>
      </w:tr>
      <w:tr>
        <w:tc>
          <w:tcPr>
            <w:tcW w:w="1226" w:type="dxa"/>
          </w:tcPr>
          <w:p>
            <w:pPr>
              <w:pStyle w:val="TableText"/>
            </w:pPr>
            <w:r>
              <w:t xml:space="preserve">Sbarre MT 15 kV</w:t>
            </w:r>
          </w:p>
        </w:tc>
        <w:tc>
          <w:tcPr>
            <w:tcW w:w="2006" w:type="dxa"/>
          </w:tcPr>
          <w:p>
            <w:pPr>
              <w:pStyle w:val="TableText"/>
            </w:pPr>
            <w:r>
              <w:t xml:space="preserve">Inverter FV + PCS BESS</w:t>
            </w:r>
          </w:p>
        </w:tc>
        <w:tc>
          <w:tcPr>
            <w:tcW w:w="3008" w:type="dxa"/>
          </w:tcPr>
          <w:p>
            <w:pPr>
              <w:pStyle w:val="TableText"/>
            </w:pPr>
            <w:r>
              <w:t xml:space="preserve">1,2 × In (simulatore)</w:t>
            </w:r>
          </w:p>
        </w:tc>
        <w:tc>
          <w:tcPr>
            <w:tcW w:w="3398" w:type="dxa"/>
          </w:tcPr>
          <w:p>
            <w:pPr>
              <w:pStyle w:val="TableText"/>
            </w:pPr>
            <w:r>
              <w:t xml:space="preserve">159 A</w:t>
            </w:r>
          </w:p>
        </w:tc>
      </w:tr>
      <w:tr>
        <w:tc>
          <w:tcPr>
            <w:tcW w:w="1226" w:type="dxa"/>
          </w:tcPr>
          <w:p>
            <w:pPr>
              <w:pStyle w:val="TableText"/>
            </w:pPr>
            <w:r>
              <w:t xml:space="preserve">Sbarre BT 800 V FV</w:t>
            </w:r>
          </w:p>
        </w:tc>
        <w:tc>
          <w:tcPr>
            <w:tcW w:w="2006" w:type="dxa"/>
          </w:tcPr>
          <w:p>
            <w:pPr>
              <w:pStyle w:val="TableText"/>
            </w:pPr>
            <w:r>
              <w:t xml:space="preserve">Rete tramite TR 3.150 kVA, ucc 6 %</w:t>
            </w:r>
          </w:p>
        </w:tc>
        <w:tc>
          <w:tcPr>
            <w:tcW w:w="3008" w:type="dxa"/>
          </w:tcPr>
          <w:p>
            <w:pPr>
              <w:pStyle w:val="TableText"/>
            </w:pPr>
            <w:r>
              <w:t xml:space="preserve">In,BT = 3.150 / (√3 × 0,8) = 2.273 A; Icc ≈ In / ucc</w:t>
            </w:r>
          </w:p>
        </w:tc>
        <w:tc>
          <w:tcPr>
            <w:tcW w:w="3398" w:type="dxa"/>
          </w:tcPr>
          <w:p>
            <w:pPr>
              <w:pStyle w:val="TableText"/>
            </w:pPr>
            <w:r>
              <w:t xml:space="preserve">≈ 37,9 kA</w:t>
            </w:r>
          </w:p>
        </w:tc>
      </w:tr>
      <w:tr>
        <w:tc>
          <w:tcPr>
            <w:tcW w:w="1226" w:type="dxa"/>
          </w:tcPr>
          <w:p>
            <w:pPr>
              <w:pStyle w:val="TableText"/>
            </w:pPr>
            <w:r>
              <w:t xml:space="preserve">Sbarre BT 800 V FV</w:t>
            </w:r>
          </w:p>
        </w:tc>
        <w:tc>
          <w:tcPr>
            <w:tcW w:w="2006" w:type="dxa"/>
          </w:tcPr>
          <w:p>
            <w:pPr>
              <w:pStyle w:val="TableText"/>
            </w:pPr>
            <w:r>
              <w:t xml:space="preserve">7 inverter</w:t>
            </w:r>
          </w:p>
        </w:tc>
        <w:tc>
          <w:tcPr>
            <w:tcW w:w="3008" w:type="dxa"/>
          </w:tcPr>
          <w:p>
            <w:pPr>
              <w:pStyle w:val="TableText"/>
            </w:pPr>
            <w:r>
              <w:t xml:space="preserve">7 × 252,6 × 1,2</w:t>
            </w:r>
          </w:p>
        </w:tc>
        <w:tc>
          <w:tcPr>
            <w:tcW w:w="3398" w:type="dxa"/>
          </w:tcPr>
          <w:p>
            <w:pPr>
              <w:pStyle w:val="TableText"/>
            </w:pPr>
            <w:r>
              <w:t xml:space="preserve">≈ 2,1 kA</w:t>
            </w:r>
          </w:p>
        </w:tc>
      </w:tr>
      <w:tr>
        <w:tc>
          <w:tcPr>
            <w:tcW w:w="1226" w:type="dxa"/>
          </w:tcPr>
          <w:p>
            <w:pPr>
              <w:pStyle w:val="TableText"/>
            </w:pPr>
            <w:r>
              <w:rPr>
                <w:b/>
              </w:rPr>
              <w:t xml:space="preserve">Sbarre BT 800 V FV</w:t>
            </w:r>
          </w:p>
        </w:tc>
        <w:tc>
          <w:tcPr>
            <w:tcW w:w="2006" w:type="dxa"/>
          </w:tcPr>
          <w:p>
            <w:pPr>
              <w:pStyle w:val="TableText"/>
            </w:pPr>
            <w:r>
              <w:rPr>
                <w:b/>
              </w:rPr>
              <w:t xml:space="preserve">Totale</w:t>
            </w:r>
          </w:p>
        </w:tc>
        <w:tc>
          <w:tcPr>
            <w:tcW w:w="3008" w:type="dxa"/>
          </w:tcPr>
          <w:p>
            <w:pPr>
              <w:pStyle w:val="TableText"/>
            </w:pPr>
            <w:r>
              <w:t xml:space="preserve"/>
            </w:r>
          </w:p>
        </w:tc>
        <w:tc>
          <w:tcPr>
            <w:tcW w:w="3398" w:type="dxa"/>
          </w:tcPr>
          <w:p>
            <w:pPr>
              <w:pStyle w:val="TableText"/>
            </w:pPr>
            <w:r>
              <w:rPr>
                <w:b/>
              </w:rPr>
              <w:t xml:space="preserve">≈ 40 kA → potere di interruzione richiesto 50 kA a 800 V AC</w:t>
            </w:r>
          </w:p>
        </w:tc>
      </w:tr>
      <w:tr>
        <w:tc>
          <w:tcPr>
            <w:tcW w:w="1226" w:type="dxa"/>
          </w:tcPr>
          <w:p>
            <w:pPr>
              <w:pStyle w:val="TableText"/>
            </w:pPr>
            <w:r>
              <w:t xml:space="preserve">Sbarre BT 400 V BESS</w:t>
            </w:r>
          </w:p>
        </w:tc>
        <w:tc>
          <w:tcPr>
            <w:tcW w:w="2006" w:type="dxa"/>
          </w:tcPr>
          <w:p>
            <w:pPr>
              <w:pStyle w:val="TableText"/>
            </w:pPr>
            <w:r>
              <w:t xml:space="preserve">Rete tramite TR 1.250 kVA, ucc 6 %</w:t>
            </w:r>
          </w:p>
        </w:tc>
        <w:tc>
          <w:tcPr>
            <w:tcW w:w="3008" w:type="dxa"/>
          </w:tcPr>
          <w:p>
            <w:pPr>
              <w:pStyle w:val="TableText"/>
            </w:pPr>
            <w:r>
              <w:t xml:space="preserve">In,BT = 1.250 / (√3 × 0,4) = 1.804 A; Icc ≈ 30 kA</w:t>
            </w:r>
          </w:p>
        </w:tc>
        <w:tc>
          <w:tcPr>
            <w:tcW w:w="3398" w:type="dxa"/>
          </w:tcPr>
          <w:p>
            <w:pPr>
              <w:pStyle w:val="TableText"/>
            </w:pPr>
            <w:r>
              <w:t xml:space="preserve">≈ 30 kA + PCS ≈ 1,7 kA</w:t>
            </w:r>
          </w:p>
        </w:tc>
      </w:tr>
    </w:tbl>
    <w:p>
      <w:pPr>
        <w:pStyle w:val="Normal"/>
        <w:spacing w:after="60"/>
      </w:pPr>
    </w:p>
    <w:p>
      <w:pPr>
        <w:pStyle w:val="Normal"/>
      </w:pPr>
      <w:r>
        <w:t xml:space="preserve">Il calcolo assume rete a potenza infinita a monte del trasformatore. Il calcolo esecutivo va eseguito secondo CEI EN 60909-0 con impedenze reali di rete, trasformatori e cavi.</w:t>
      </w:r>
    </w:p>
    <w:p>
      <w:pPr>
        <w:pStyle w:val="Heading2"/>
      </w:pPr>
      <w:r>
        <w:t xml:space="preserve">7.5 Coordinamento con la cabina utente esistente</w:t>
      </w:r>
    </w:p>
    <w:p>
      <w:pPr>
        <w:pStyle w:val="ListParagraph"/>
      </w:pPr>
      <w:r>
        <w:t xml:space="preserve">•  </w:t>
      </w:r>
      <w:r>
        <w:t xml:space="preserve">Verificare che il quadro MT esistente ammetta un nuovo scomparto partenza (spazio, potere di interruzione, protezioni) e che il </w:t>
      </w:r>
      <w:r>
        <w:rPr>
          <w:b/>
        </w:rPr>
        <w:t xml:space="preserve">DG</w:t>
      </w:r>
      <w:r>
        <w:t xml:space="preserve"> e il </w:t>
      </w:r>
      <w:r>
        <w:rPr>
          <w:b/>
        </w:rPr>
        <w:t xml:space="preserve">SPG</w:t>
      </w:r>
      <w:r>
        <w:t xml:space="preserve"> esistenti restino adeguati alla nuova configurazione (utente attivo). In genere serve aggiornare il regolamento di esercizio e le tarature.</w:t>
      </w:r>
    </w:p>
    <w:p>
      <w:pPr>
        <w:pStyle w:val="ListParagraph"/>
      </w:pPr>
      <w:r>
        <w:t xml:space="preserve">•  </w:t>
      </w:r>
      <w:r>
        <w:t xml:space="preserve">Verificare l'adeguamento della misura M1 allo scambio bidirezionale (a cura del distributore) e l'installazione della misura M2 della produzione, se richiesta dal regime commerciale (RID, FER X).</w:t>
      </w:r>
    </w:p>
    <w:p>
      <w:pPr>
        <w:pStyle w:val="ListParagraph"/>
      </w:pPr>
      <w:r>
        <w:t xml:space="preserve">•  </w:t>
      </w:r>
      <w:r>
        <w:t xml:space="preserve">La potenza complessiva in immissione (FV + BESS = 3.450 kW nominali) supera la potenza in immissione richiesta di 3.000 kW: il CCI limita l'immissione con un set-point (</w:t>
      </w:r>
      <w:r>
        <w:rPr>
          <w:rFonts w:ascii="Consolas" w:hAnsi="Consolas" w:cs="Consolas"/>
        </w:rPr>
        <w:t xml:space="preserve">grid.exportLimitKw</w:t>
      </w:r>
      <w:r>
        <w:t xml:space="preserve">) e la limitazione va dichiarata nella pratica di connessione.</w:t>
      </w:r>
    </w:p>
    <w:p>
      <w:pPr>
        <w:pStyle w:val="Heading2"/>
      </w:pPr>
      <w:r>
        <w:t xml:space="preserve">7.6 Protezioni di interfaccia (SPI) e generale (SPG)</w:t>
      </w:r>
    </w:p>
    <w:p>
      <w:pPr>
        <w:pStyle w:val="Normal"/>
      </w:pPr>
      <w:r>
        <w:t xml:space="preserve">Tarature tipiche secondo CEI 0-16, da confermare con il regolamento di esercizio del distributore: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913"/>
        <w:gridCol w:w="4058"/>
        <w:gridCol w:w="3044"/>
        <w:gridCol w:w="1623"/>
      </w:tblGrid>
      <w:tr>
        <w:trPr>
          <w:tblHeader/>
        </w:trPr>
        <w:tc>
          <w:tcPr>
            <w:tcW w:w="913" w:type="dxa"/>
            <w:shd w:val="clear" w:color="auto" w:fill="E3EAEC"/>
          </w:tcPr>
          <w:p>
            <w:pPr>
              <w:pStyle w:val="TableText"/>
            </w:pPr>
            <w:r>
              <w:rPr>
                <w:b/>
              </w:rPr>
              <w:t xml:space="preserve">Codice</w:t>
            </w:r>
          </w:p>
        </w:tc>
        <w:tc>
          <w:tcPr>
            <w:tcW w:w="4058" w:type="dxa"/>
            <w:shd w:val="clear" w:color="auto" w:fill="E3EAEC"/>
          </w:tcPr>
          <w:p>
            <w:pPr>
              <w:pStyle w:val="TableText"/>
            </w:pPr>
            <w:r>
              <w:rPr>
                <w:b/>
              </w:rPr>
              <w:t xml:space="preserve">Funzione</w:t>
            </w:r>
          </w:p>
        </w:tc>
        <w:tc>
          <w:tcPr>
            <w:tcW w:w="3044" w:type="dxa"/>
            <w:shd w:val="clear" w:color="auto" w:fill="E3EAEC"/>
          </w:tcPr>
          <w:p>
            <w:pPr>
              <w:pStyle w:val="TableText"/>
            </w:pPr>
            <w:r>
              <w:rPr>
                <w:b/>
              </w:rPr>
              <w:t xml:space="preserve">Taratura tipica</w:t>
            </w:r>
          </w:p>
        </w:tc>
        <w:tc>
          <w:tcPr>
            <w:tcW w:w="1623" w:type="dxa"/>
            <w:shd w:val="clear" w:color="auto" w:fill="E3EAEC"/>
          </w:tcPr>
          <w:p>
            <w:pPr>
              <w:pStyle w:val="TableText"/>
            </w:pPr>
            <w:r>
              <w:rPr>
                <w:b/>
              </w:rPr>
              <w:t xml:space="preserve">Tempo</w:t>
            </w:r>
          </w:p>
        </w:tc>
      </w:tr>
      <w:tr>
        <w:tc>
          <w:tcPr>
            <w:tcW w:w="913" w:type="dxa"/>
          </w:tcPr>
          <w:p>
            <w:pPr>
              <w:pStyle w:val="TableText"/>
            </w:pPr>
            <w:r>
              <w:t xml:space="preserve">27.S1</w:t>
            </w:r>
          </w:p>
        </w:tc>
        <w:tc>
          <w:tcPr>
            <w:tcW w:w="4058" w:type="dxa"/>
          </w:tcPr>
          <w:p>
            <w:pPr>
              <w:pStyle w:val="TableText"/>
            </w:pPr>
            <w:r>
              <w:t xml:space="preserve">Minima tensione</w:t>
            </w:r>
          </w:p>
        </w:tc>
        <w:tc>
          <w:tcPr>
            <w:tcW w:w="3044" w:type="dxa"/>
          </w:tcPr>
          <w:p>
            <w:pPr>
              <w:pStyle w:val="TableText"/>
            </w:pPr>
            <w:r>
              <w:t xml:space="preserve">0,85 Vn</w:t>
            </w:r>
          </w:p>
        </w:tc>
        <w:tc>
          <w:tcPr>
            <w:tcW w:w="1623" w:type="dxa"/>
          </w:tcPr>
          <w:p>
            <w:pPr>
              <w:pStyle w:val="TableText"/>
            </w:pPr>
            <w:r>
              <w:t xml:space="preserve">1,5 s</w:t>
            </w:r>
          </w:p>
        </w:tc>
      </w:tr>
      <w:tr>
        <w:tc>
          <w:tcPr>
            <w:tcW w:w="913" w:type="dxa"/>
          </w:tcPr>
          <w:p>
            <w:pPr>
              <w:pStyle w:val="TableText"/>
            </w:pPr>
            <w:r>
              <w:t xml:space="preserve">27.S2</w:t>
            </w:r>
          </w:p>
        </w:tc>
        <w:tc>
          <w:tcPr>
            <w:tcW w:w="4058" w:type="dxa"/>
          </w:tcPr>
          <w:p>
            <w:pPr>
              <w:pStyle w:val="TableText"/>
            </w:pPr>
            <w:r>
              <w:t xml:space="preserve">Minima tensione (2ª soglia)</w:t>
            </w:r>
          </w:p>
        </w:tc>
        <w:tc>
          <w:tcPr>
            <w:tcW w:w="3044" w:type="dxa"/>
          </w:tcPr>
          <w:p>
            <w:pPr>
              <w:pStyle w:val="TableText"/>
            </w:pPr>
            <w:r>
              <w:t xml:space="preserve">0,40 Vn</w:t>
            </w:r>
          </w:p>
        </w:tc>
        <w:tc>
          <w:tcPr>
            <w:tcW w:w="1623" w:type="dxa"/>
          </w:tcPr>
          <w:p>
            <w:pPr>
              <w:pStyle w:val="TableText"/>
            </w:pPr>
            <w:r>
              <w:t xml:space="preserve">0,2 s</w:t>
            </w:r>
          </w:p>
        </w:tc>
      </w:tr>
      <w:tr>
        <w:tc>
          <w:tcPr>
            <w:tcW w:w="913" w:type="dxa"/>
          </w:tcPr>
          <w:p>
            <w:pPr>
              <w:pStyle w:val="TableText"/>
            </w:pPr>
            <w:r>
              <w:t xml:space="preserve">59.S1</w:t>
            </w:r>
          </w:p>
        </w:tc>
        <w:tc>
          <w:tcPr>
            <w:tcW w:w="4058" w:type="dxa"/>
          </w:tcPr>
          <w:p>
            <w:pPr>
              <w:pStyle w:val="TableText"/>
            </w:pPr>
            <w:r>
              <w:t xml:space="preserve">Massima tensione (media mobile 10 min)</w:t>
            </w:r>
          </w:p>
        </w:tc>
        <w:tc>
          <w:tcPr>
            <w:tcW w:w="3044" w:type="dxa"/>
          </w:tcPr>
          <w:p>
            <w:pPr>
              <w:pStyle w:val="TableText"/>
            </w:pPr>
            <w:r>
              <w:t xml:space="preserve">1,10 Vn</w:t>
            </w:r>
          </w:p>
        </w:tc>
        <w:tc>
          <w:tcPr>
            <w:tcW w:w="1623" w:type="dxa"/>
          </w:tcPr>
          <w:p>
            <w:pPr>
              <w:pStyle w:val="TableText"/>
            </w:pPr>
            <w:r>
              <w:t xml:space="preserve">≤ 3 s</w:t>
            </w:r>
          </w:p>
        </w:tc>
      </w:tr>
      <w:tr>
        <w:tc>
          <w:tcPr>
            <w:tcW w:w="913" w:type="dxa"/>
          </w:tcPr>
          <w:p>
            <w:pPr>
              <w:pStyle w:val="TableText"/>
            </w:pPr>
            <w:r>
              <w:t xml:space="preserve">59.S2</w:t>
            </w:r>
          </w:p>
        </w:tc>
        <w:tc>
          <w:tcPr>
            <w:tcW w:w="4058" w:type="dxa"/>
          </w:tcPr>
          <w:p>
            <w:pPr>
              <w:pStyle w:val="TableText"/>
            </w:pPr>
            <w:r>
              <w:t xml:space="preserve">Massima tensione</w:t>
            </w:r>
          </w:p>
        </w:tc>
        <w:tc>
          <w:tcPr>
            <w:tcW w:w="3044" w:type="dxa"/>
          </w:tcPr>
          <w:p>
            <w:pPr>
              <w:pStyle w:val="TableText"/>
            </w:pPr>
            <w:r>
              <w:t xml:space="preserve">1,20 Vn</w:t>
            </w:r>
          </w:p>
        </w:tc>
        <w:tc>
          <w:tcPr>
            <w:tcW w:w="1623" w:type="dxa"/>
          </w:tcPr>
          <w:p>
            <w:pPr>
              <w:pStyle w:val="TableText"/>
            </w:pPr>
            <w:r>
              <w:t xml:space="preserve">0,6 s</w:t>
            </w:r>
          </w:p>
        </w:tc>
      </w:tr>
      <w:tr>
        <w:tc>
          <w:tcPr>
            <w:tcW w:w="913" w:type="dxa"/>
          </w:tcPr>
          <w:p>
            <w:pPr>
              <w:pStyle w:val="TableText"/>
            </w:pPr>
            <w:r>
              <w:t xml:space="preserve">81&gt;.S1</w:t>
            </w:r>
          </w:p>
        </w:tc>
        <w:tc>
          <w:tcPr>
            <w:tcW w:w="4058" w:type="dxa"/>
          </w:tcPr>
          <w:p>
            <w:pPr>
              <w:pStyle w:val="TableText"/>
            </w:pPr>
            <w:r>
              <w:t xml:space="preserve">Massima frequenza (soglia restrittiva)</w:t>
            </w:r>
          </w:p>
        </w:tc>
        <w:tc>
          <w:tcPr>
            <w:tcW w:w="3044" w:type="dxa"/>
          </w:tcPr>
          <w:p>
            <w:pPr>
              <w:pStyle w:val="TableText"/>
            </w:pPr>
            <w:r>
              <w:t xml:space="preserve">50,2 Hz</w:t>
            </w:r>
          </w:p>
        </w:tc>
        <w:tc>
          <w:tcPr>
            <w:tcW w:w="1623" w:type="dxa"/>
          </w:tcPr>
          <w:p>
            <w:pPr>
              <w:pStyle w:val="TableText"/>
            </w:pPr>
            <w:r>
              <w:t xml:space="preserve">0,15 s</w:t>
            </w:r>
          </w:p>
        </w:tc>
      </w:tr>
      <w:tr>
        <w:tc>
          <w:tcPr>
            <w:tcW w:w="913" w:type="dxa"/>
          </w:tcPr>
          <w:p>
            <w:pPr>
              <w:pStyle w:val="TableText"/>
            </w:pPr>
            <w:r>
              <w:t xml:space="preserve">81&lt;.S1</w:t>
            </w:r>
          </w:p>
        </w:tc>
        <w:tc>
          <w:tcPr>
            <w:tcW w:w="4058" w:type="dxa"/>
          </w:tcPr>
          <w:p>
            <w:pPr>
              <w:pStyle w:val="TableText"/>
            </w:pPr>
            <w:r>
              <w:t xml:space="preserve">Minima frequenza (soglia restrittiva)</w:t>
            </w:r>
          </w:p>
        </w:tc>
        <w:tc>
          <w:tcPr>
            <w:tcW w:w="3044" w:type="dxa"/>
          </w:tcPr>
          <w:p>
            <w:pPr>
              <w:pStyle w:val="TableText"/>
            </w:pPr>
            <w:r>
              <w:t xml:space="preserve">49,8 Hz</w:t>
            </w:r>
          </w:p>
        </w:tc>
        <w:tc>
          <w:tcPr>
            <w:tcW w:w="1623" w:type="dxa"/>
          </w:tcPr>
          <w:p>
            <w:pPr>
              <w:pStyle w:val="TableText"/>
            </w:pPr>
            <w:r>
              <w:t xml:space="preserve">0,15 s</w:t>
            </w:r>
          </w:p>
        </w:tc>
      </w:tr>
      <w:tr>
        <w:tc>
          <w:tcPr>
            <w:tcW w:w="913" w:type="dxa"/>
          </w:tcPr>
          <w:p>
            <w:pPr>
              <w:pStyle w:val="TableText"/>
            </w:pPr>
            <w:r>
              <w:t xml:space="preserve">81&gt;.S2</w:t>
            </w:r>
          </w:p>
        </w:tc>
        <w:tc>
          <w:tcPr>
            <w:tcW w:w="4058" w:type="dxa"/>
          </w:tcPr>
          <w:p>
            <w:pPr>
              <w:pStyle w:val="TableText"/>
            </w:pPr>
            <w:r>
              <w:t xml:space="preserve">Massima frequenza (soglia permissiva)</w:t>
            </w:r>
          </w:p>
        </w:tc>
        <w:tc>
          <w:tcPr>
            <w:tcW w:w="3044" w:type="dxa"/>
          </w:tcPr>
          <w:p>
            <w:pPr>
              <w:pStyle w:val="TableText"/>
            </w:pPr>
            <w:r>
              <w:t xml:space="preserve">51,5 Hz</w:t>
            </w:r>
          </w:p>
        </w:tc>
        <w:tc>
          <w:tcPr>
            <w:tcW w:w="1623" w:type="dxa"/>
          </w:tcPr>
          <w:p>
            <w:pPr>
              <w:pStyle w:val="TableText"/>
            </w:pPr>
            <w:r>
              <w:t xml:space="preserve">1,0 s</w:t>
            </w:r>
          </w:p>
        </w:tc>
      </w:tr>
      <w:tr>
        <w:tc>
          <w:tcPr>
            <w:tcW w:w="913" w:type="dxa"/>
          </w:tcPr>
          <w:p>
            <w:pPr>
              <w:pStyle w:val="TableText"/>
            </w:pPr>
            <w:r>
              <w:t xml:space="preserve">81&lt;.S2</w:t>
            </w:r>
          </w:p>
        </w:tc>
        <w:tc>
          <w:tcPr>
            <w:tcW w:w="4058" w:type="dxa"/>
          </w:tcPr>
          <w:p>
            <w:pPr>
              <w:pStyle w:val="TableText"/>
            </w:pPr>
            <w:r>
              <w:t xml:space="preserve">Minima frequenza (soglia permissiva)</w:t>
            </w:r>
          </w:p>
        </w:tc>
        <w:tc>
          <w:tcPr>
            <w:tcW w:w="3044" w:type="dxa"/>
          </w:tcPr>
          <w:p>
            <w:pPr>
              <w:pStyle w:val="TableText"/>
            </w:pPr>
            <w:r>
              <w:t xml:space="preserve">47,5 Hz</w:t>
            </w:r>
          </w:p>
        </w:tc>
        <w:tc>
          <w:tcPr>
            <w:tcW w:w="1623" w:type="dxa"/>
          </w:tcPr>
          <w:p>
            <w:pPr>
              <w:pStyle w:val="TableText"/>
            </w:pPr>
            <w:r>
              <w:t xml:space="preserve">4,0 s</w:t>
            </w:r>
          </w:p>
        </w:tc>
      </w:tr>
      <w:tr>
        <w:tc>
          <w:tcPr>
            <w:tcW w:w="913" w:type="dxa"/>
          </w:tcPr>
          <w:p>
            <w:pPr>
              <w:pStyle w:val="TableText"/>
            </w:pPr>
            <w:r>
              <w:t xml:space="preserve">59N</w:t>
            </w:r>
          </w:p>
        </w:tc>
        <w:tc>
          <w:tcPr>
            <w:tcW w:w="4058" w:type="dxa"/>
          </w:tcPr>
          <w:p>
            <w:pPr>
              <w:pStyle w:val="TableText"/>
            </w:pPr>
            <w:r>
              <w:t xml:space="preserve">Massima tensione omopolare (SPI in MT)</w:t>
            </w:r>
          </w:p>
        </w:tc>
        <w:tc>
          <w:tcPr>
            <w:tcW w:w="3044" w:type="dxa"/>
          </w:tcPr>
          <w:p>
            <w:pPr>
              <w:pStyle w:val="TableText"/>
            </w:pPr>
            <w:r>
              <w:t xml:space="preserve">5 % Vn</w:t>
            </w:r>
          </w:p>
        </w:tc>
        <w:tc>
          <w:tcPr>
            <w:tcW w:w="1623" w:type="dxa"/>
          </w:tcPr>
          <w:p>
            <w:pPr>
              <w:pStyle w:val="TableText"/>
            </w:pPr>
            <w:r>
              <w:t xml:space="preserve">25 s</w:t>
            </w:r>
          </w:p>
        </w:tc>
      </w:tr>
      <w:tr>
        <w:tc>
          <w:tcPr>
            <w:tcW w:w="913" w:type="dxa"/>
          </w:tcPr>
          <w:p>
            <w:pPr>
              <w:pStyle w:val="TableText"/>
            </w:pPr>
            <w:r>
              <w:t xml:space="preserve">50/51</w:t>
            </w:r>
          </w:p>
        </w:tc>
        <w:tc>
          <w:tcPr>
            <w:tcW w:w="4058" w:type="dxa"/>
          </w:tcPr>
          <w:p>
            <w:pPr>
              <w:pStyle w:val="TableText"/>
            </w:pPr>
            <w:r>
              <w:t xml:space="preserve">Massima corrente di fase (SPG)</w:t>
            </w:r>
          </w:p>
        </w:tc>
        <w:tc>
          <w:tcPr>
            <w:tcW w:w="3044" w:type="dxa"/>
          </w:tcPr>
          <w:p>
            <w:pPr>
              <w:pStyle w:val="TableText"/>
            </w:pPr>
            <w:r>
              <w:t xml:space="preserve">I&gt; 250 A, I&gt;&gt; 600 A (tipici)</w:t>
            </w:r>
          </w:p>
        </w:tc>
        <w:tc>
          <w:tcPr>
            <w:tcW w:w="1623" w:type="dxa"/>
          </w:tcPr>
          <w:p>
            <w:pPr>
              <w:pStyle w:val="TableText"/>
            </w:pPr>
            <w:r>
              <w:t xml:space="preserve">0,5 s / 0,12 s</w:t>
            </w:r>
          </w:p>
        </w:tc>
      </w:tr>
      <w:tr>
        <w:tc>
          <w:tcPr>
            <w:tcW w:w="913" w:type="dxa"/>
          </w:tcPr>
          <w:p>
            <w:pPr>
              <w:pStyle w:val="TableText"/>
            </w:pPr>
            <w:r>
              <w:t xml:space="preserve">51N/67N</w:t>
            </w:r>
          </w:p>
        </w:tc>
        <w:tc>
          <w:tcPr>
            <w:tcW w:w="4058" w:type="dxa"/>
          </w:tcPr>
          <w:p>
            <w:pPr>
              <w:pStyle w:val="TableText"/>
            </w:pPr>
            <w:r>
              <w:t xml:space="preserve">Guasto a terra (SPG)</w:t>
            </w:r>
          </w:p>
        </w:tc>
        <w:tc>
          <w:tcPr>
            <w:tcW w:w="3044" w:type="dxa"/>
          </w:tcPr>
          <w:p>
            <w:pPr>
              <w:pStyle w:val="TableText"/>
            </w:pPr>
            <w:r>
              <w:t xml:space="preserve">secondo regolamento DSO</w:t>
            </w:r>
          </w:p>
        </w:tc>
        <w:tc>
          <w:tcPr>
            <w:tcW w:w="1623" w:type="dxa"/>
          </w:tcPr>
          <w:p>
            <w:pPr>
              <w:pStyle w:val="TableText"/>
            </w:pPr>
            <w:r>
              <w:t xml:space="preserve">0,17–0,45 s</w:t>
            </w:r>
          </w:p>
        </w:tc>
      </w:tr>
    </w:tbl>
    <w:p>
      <w:pPr>
        <w:pStyle w:val="Normal"/>
        <w:spacing w:after="60"/>
      </w:pPr>
    </w:p>
    <w:p>
      <w:pPr>
        <w:pStyle w:val="Normal"/>
      </w:pPr>
      <w:r>
        <w:t xml:space="preserve">Il SPI agisce sul DDI (interruttore MT del nuovo scomparto) con un rincalzo sul DG o sugli interruttori BT, come previsto dalla CEI 0-16 per potenze superiori a 1 MW. Le soglie restrittive/permissive vanno abilitate con il segnale di teledistacco/consenso, se richiesto dal distributore. Il SPI deve essere certificato secondo l'allegato prove della CEI 0-16 [da verificare l'edizione vigente].</w:t>
      </w:r>
    </w:p>
    <w:p>
      <w:pPr>
        <w:pStyle w:val="Heading2"/>
      </w:pPr>
      <w:r>
        <w:t xml:space="preserve">7.7 Controllore centrale d'impianto (CCI) e regolazione</w:t>
      </w:r>
    </w:p>
    <w:p>
      <w:pPr>
        <w:pStyle w:val="Normal"/>
      </w:pPr>
      <w:r>
        <w:t xml:space="preserve">Il CCI, previsto dalla CEI 0-16 per gli impianti oltre la soglia di potenza applicabile [da verificare la soglia nell'edizione vigente], svolge:</w:t>
      </w:r>
    </w:p>
    <w:p>
      <w:pPr>
        <w:pStyle w:val="ListParagraph"/>
      </w:pPr>
      <w:r>
        <w:t xml:space="preserve">•  </w:t>
      </w:r>
      <w:r>
        <w:rPr>
          <w:b/>
        </w:rPr>
        <w:t xml:space="preserve">limitazione della potenza immessa</w:t>
      </w:r>
      <w:r>
        <w:t xml:space="preserve"> al valore contrattuale (3.000 kW) o a zero (</w:t>
      </w:r>
      <w:r>
        <w:rPr>
          <w:rFonts w:ascii="Consolas" w:hAnsi="Consolas" w:cs="Consolas"/>
        </w:rPr>
        <w:t xml:space="preserve">zeroExport</w:t>
      </w:r>
      <w:r>
        <w:t xml:space="preserve">), misurata al punto di connessione con tempo di risposta compatibile con le prescrizioni del distributore;</w:t>
      </w:r>
    </w:p>
    <w:p>
      <w:pPr>
        <w:pStyle w:val="ListParagraph"/>
      </w:pPr>
      <w:r>
        <w:t xml:space="preserve">•  </w:t>
      </w:r>
      <w:r>
        <w:rPr>
          <w:b/>
        </w:rPr>
        <w:t xml:space="preserve">regolazione della potenza reattiva</w:t>
      </w:r>
      <w:r>
        <w:t xml:space="preserve"> su richiesta del distributore (cos φ fisso, curva Q(V), set-point remoto) e partecipazione alla regolazione di tensione;</w:t>
      </w:r>
    </w:p>
    <w:p>
      <w:pPr>
        <w:pStyle w:val="ListParagraph"/>
      </w:pPr>
      <w:r>
        <w:t xml:space="preserve">•  </w:t>
      </w:r>
      <w:r>
        <w:rPr>
          <w:b/>
        </w:rPr>
        <w:t xml:space="preserve">riduzione della potenza attiva</w:t>
      </w:r>
      <w:r>
        <w:t xml:space="preserve"> in sovrafrequenza (P(f)) e su comando remoto (teledistacco, modulazione);</w:t>
      </w:r>
    </w:p>
    <w:p>
      <w:pPr>
        <w:pStyle w:val="ListParagraph"/>
      </w:pPr>
      <w:r>
        <w:t xml:space="preserve">•  </w:t>
      </w:r>
      <w:r>
        <w:t xml:space="preserve">coordinamento tra inverter FV e PCS BESS, in modo che il BESS non immetta in rete energia prelevata, salvo diversa configurazione commerciale autorizzata;</w:t>
      </w:r>
    </w:p>
    <w:p>
      <w:pPr>
        <w:pStyle w:val="ListParagraph"/>
      </w:pPr>
      <w:r>
        <w:t xml:space="preserve">•  </w:t>
      </w:r>
      <w:r>
        <w:t xml:space="preserve">registrazione degli eventi e scambio dati con l'osservabilità della rete (protocollo IEC 61850 o IEC 60870-5-104 secondo le prescrizioni del distributore) [da verificare].</w:t>
      </w:r>
    </w:p>
    <w:p>
      <w:pPr>
        <w:pStyle w:val="Normal"/>
        <w:pBdr>
          <w:bottom w:val="single" w:sz="6" w:space="1" w:color="A0A8AE"/>
        </w:pBdr>
      </w:pPr>
    </w:p>
    <w:p>
      <w:pPr>
        <w:pStyle w:val="Heading1"/>
      </w:pPr>
      <w:r>
        <w:t xml:space="preserve">8. Sistema di accumulo (BESS)</w:t>
      </w:r>
    </w:p>
    <w:p>
      <w:pPr>
        <w:pStyle w:val="Heading2"/>
      </w:pPr>
      <w:r>
        <w:t xml:space="preserve">8.1 Architettura</w:t>
      </w:r>
    </w:p>
    <w:p>
      <w:pPr>
        <w:pStyle w:val="Normal"/>
      </w:pPr>
      <w:r>
        <w:t xml:space="preserve">Il BESS è </w:t>
      </w:r>
      <w:r>
        <w:rPr>
          <w:b/>
        </w:rPr>
        <w:t xml:space="preserve">accoppiato in AC</w:t>
      </w:r>
      <w:r>
        <w:t xml:space="preserve"> (AC-coupled) al quadro MT d'impianto, con trasformatore dedicato. Funziona quindi indipendentemente dagli inverter FV e può caricarsi sia dal FV sia dalla rete (arbitraggio, ripristino della riserva per il peak shaving).</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2790"/>
        <w:gridCol w:w="6848"/>
      </w:tblGrid>
      <w:tr>
        <w:trPr>
          <w:tblHeader/>
        </w:trPr>
        <w:tc>
          <w:tcPr>
            <w:tcW w:w="2790" w:type="dxa"/>
            <w:shd w:val="clear" w:color="auto" w:fill="E3EAEC"/>
          </w:tcPr>
          <w:p>
            <w:pPr>
              <w:pStyle w:val="TableText"/>
            </w:pPr>
            <w:r>
              <w:rPr>
                <w:b/>
              </w:rPr>
              <w:t xml:space="preserve">Grandezza</w:t>
            </w:r>
          </w:p>
        </w:tc>
        <w:tc>
          <w:tcPr>
            <w:tcW w:w="6848" w:type="dxa"/>
            <w:shd w:val="clear" w:color="auto" w:fill="E3EAEC"/>
          </w:tcPr>
          <w:p>
            <w:pPr>
              <w:pStyle w:val="TableText"/>
            </w:pPr>
            <w:r>
              <w:rPr>
                <w:b/>
              </w:rPr>
              <w:t xml:space="preserve">Valore</w:t>
            </w:r>
          </w:p>
        </w:tc>
      </w:tr>
      <w:tr>
        <w:tc>
          <w:tcPr>
            <w:tcW w:w="2790" w:type="dxa"/>
          </w:tcPr>
          <w:p>
            <w:pPr>
              <w:pStyle w:val="TableText"/>
            </w:pPr>
            <w:r>
              <w:t xml:space="preserve">Chimica</w:t>
            </w:r>
          </w:p>
        </w:tc>
        <w:tc>
          <w:tcPr>
            <w:tcW w:w="6848" w:type="dxa"/>
          </w:tcPr>
          <w:p>
            <w:pPr>
              <w:pStyle w:val="TableText"/>
            </w:pPr>
            <w:r>
              <w:t xml:space="preserve">LFP (litio-ferro-fosfato)</w:t>
            </w:r>
          </w:p>
        </w:tc>
      </w:tr>
      <w:tr>
        <w:tc>
          <w:tcPr>
            <w:tcW w:w="2790" w:type="dxa"/>
          </w:tcPr>
          <w:p>
            <w:pPr>
              <w:pStyle w:val="TableText"/>
            </w:pPr>
            <w:r>
              <w:t xml:space="preserve">Unità</w:t>
            </w:r>
          </w:p>
        </w:tc>
        <w:tc>
          <w:tcPr>
            <w:tcW w:w="6848" w:type="dxa"/>
          </w:tcPr>
          <w:p>
            <w:pPr>
              <w:pStyle w:val="TableText"/>
            </w:pPr>
            <w:r>
              <w:t xml:space="preserve">8 cabinet "AC block" da 261 kWh / 125 kW con PCS, BMS, HVAC e antincendio integrati</w:t>
            </w:r>
          </w:p>
        </w:tc>
      </w:tr>
      <w:tr>
        <w:tc>
          <w:tcPr>
            <w:tcW w:w="2790" w:type="dxa"/>
          </w:tcPr>
          <w:p>
            <w:pPr>
              <w:pStyle w:val="TableText"/>
            </w:pPr>
            <w:r>
              <w:t xml:space="preserve">Energia installata</w:t>
            </w:r>
          </w:p>
        </w:tc>
        <w:tc>
          <w:tcPr>
            <w:tcW w:w="6848" w:type="dxa"/>
          </w:tcPr>
          <w:p>
            <w:pPr>
              <w:pStyle w:val="TableText"/>
            </w:pPr>
            <w:r>
              <w:t xml:space="preserve">8 × 261 = </w:t>
            </w:r>
            <w:r>
              <w:rPr>
                <w:b/>
              </w:rPr>
              <w:t xml:space="preserve">2.088 kWh</w:t>
            </w:r>
            <w:r>
              <w:t xml:space="preserve"> (2.000 kWh nominali di progetto)</w:t>
            </w:r>
          </w:p>
        </w:tc>
      </w:tr>
      <w:tr>
        <w:tc>
          <w:tcPr>
            <w:tcW w:w="2790" w:type="dxa"/>
          </w:tcPr>
          <w:p>
            <w:pPr>
              <w:pStyle w:val="TableText"/>
            </w:pPr>
            <w:r>
              <w:t xml:space="preserve">Potenza</w:t>
            </w:r>
          </w:p>
        </w:tc>
        <w:tc>
          <w:tcPr>
            <w:tcW w:w="6848" w:type="dxa"/>
          </w:tcPr>
          <w:p>
            <w:pPr>
              <w:pStyle w:val="TableText"/>
            </w:pPr>
            <w:r>
              <w:t xml:space="preserve">8 × 125 = </w:t>
            </w:r>
            <w:r>
              <w:rPr>
                <w:b/>
              </w:rPr>
              <w:t xml:space="preserve">1.000 kW</w:t>
            </w:r>
          </w:p>
        </w:tc>
      </w:tr>
      <w:tr>
        <w:tc>
          <w:tcPr>
            <w:tcW w:w="2790" w:type="dxa"/>
          </w:tcPr>
          <w:p>
            <w:pPr>
              <w:pStyle w:val="TableText"/>
            </w:pPr>
            <w:r>
              <w:t xml:space="preserve">C-rate / durata</w:t>
            </w:r>
          </w:p>
        </w:tc>
        <w:tc>
          <w:tcPr>
            <w:tcW w:w="6848" w:type="dxa"/>
          </w:tcPr>
          <w:p>
            <w:pPr>
              <w:pStyle w:val="TableText"/>
            </w:pPr>
            <w:r>
              <w:t xml:space="preserve">0,5 C / 2 h</w:t>
            </w:r>
          </w:p>
        </w:tc>
      </w:tr>
      <w:tr>
        <w:tc>
          <w:tcPr>
            <w:tcW w:w="2790" w:type="dxa"/>
          </w:tcPr>
          <w:p>
            <w:pPr>
              <w:pStyle w:val="TableText"/>
            </w:pPr>
            <w:r>
              <w:t xml:space="preserve">Tensione AC del cabinet</w:t>
            </w:r>
          </w:p>
        </w:tc>
        <w:tc>
          <w:tcPr>
            <w:tcW w:w="6848" w:type="dxa"/>
          </w:tcPr>
          <w:p>
            <w:pPr>
              <w:pStyle w:val="TableText"/>
            </w:pPr>
            <w:r>
              <w:t xml:space="preserve">400 V 3F (tipico) [da verificare col fornitore]</w:t>
            </w:r>
          </w:p>
        </w:tc>
      </w:tr>
      <w:tr>
        <w:tc>
          <w:tcPr>
            <w:tcW w:w="2790" w:type="dxa"/>
          </w:tcPr>
          <w:p>
            <w:pPr>
              <w:pStyle w:val="TableText"/>
            </w:pPr>
            <w:r>
              <w:t xml:space="preserve">Trasformatore</w:t>
            </w:r>
          </w:p>
        </w:tc>
        <w:tc>
          <w:tcPr>
            <w:tcW w:w="6848" w:type="dxa"/>
          </w:tcPr>
          <w:p>
            <w:pPr>
              <w:pStyle w:val="TableText"/>
            </w:pPr>
            <w:r>
              <w:rPr>
                <w:b/>
              </w:rPr>
              <w:t xml:space="preserve">1.250 kVA</w:t>
            </w:r>
            <w:r>
              <w:t xml:space="preserve">, 15/0,4 kV Dyn11. Criterio: P / 0,95 = 1.053 kVA → taglia superiore</w:t>
            </w:r>
          </w:p>
        </w:tc>
      </w:tr>
      <w:tr>
        <w:tc>
          <w:tcPr>
            <w:tcW w:w="2790" w:type="dxa"/>
          </w:tcPr>
          <w:p>
            <w:pPr>
              <w:pStyle w:val="TableText"/>
            </w:pPr>
            <w:r>
              <w:t xml:space="preserve">Quadro BT 400 V</w:t>
            </w:r>
          </w:p>
        </w:tc>
        <w:tc>
          <w:tcPr>
            <w:tcW w:w="6848" w:type="dxa"/>
          </w:tcPr>
          <w:p>
            <w:pPr>
              <w:pStyle w:val="TableText"/>
            </w:pPr>
            <w:r>
              <w:t xml:space="preserve">interruttore generale 2.000 A (In,BT trafo = 1.804 A), 8 partenze da 250 A, potere di interruzione ≥ 36 kA</w:t>
            </w:r>
          </w:p>
        </w:tc>
      </w:tr>
      <w:tr>
        <w:tc>
          <w:tcPr>
            <w:tcW w:w="2790" w:type="dxa"/>
          </w:tcPr>
          <w:p>
            <w:pPr>
              <w:pStyle w:val="TableText"/>
            </w:pPr>
            <w:r>
              <w:t xml:space="preserve">Ingombro unità</w:t>
            </w:r>
          </w:p>
        </w:tc>
        <w:tc>
          <w:tcPr>
            <w:tcW w:w="6848" w:type="dxa"/>
          </w:tcPr>
          <w:p>
            <w:pPr>
              <w:pStyle w:val="TableText"/>
            </w:pPr>
            <w:r>
              <w:t xml:space="preserve">8 × 1,8 m² = 14,4 m²</w:t>
            </w:r>
          </w:p>
        </w:tc>
      </w:tr>
      <w:tr>
        <w:tc>
          <w:tcPr>
            <w:tcW w:w="2790" w:type="dxa"/>
          </w:tcPr>
          <w:p>
            <w:pPr>
              <w:pStyle w:val="TableText"/>
            </w:pPr>
            <w:r>
              <w:t xml:space="preserve">Area BESS con distanze e viabilità (stima)</w:t>
            </w:r>
          </w:p>
        </w:tc>
        <w:tc>
          <w:tcPr>
            <w:tcW w:w="6848" w:type="dxa"/>
          </w:tcPr>
          <w:p>
            <w:pPr>
              <w:pStyle w:val="TableText"/>
            </w:pPr>
            <w:r>
              <w:t xml:space="preserve">≈ 106 m²</w:t>
            </w:r>
          </w:p>
        </w:tc>
      </w:tr>
      <w:tr>
        <w:tc>
          <w:tcPr>
            <w:tcW w:w="2790" w:type="dxa"/>
          </w:tcPr>
          <w:p>
            <w:pPr>
              <w:pStyle w:val="TableText"/>
            </w:pPr>
            <w:r>
              <w:t xml:space="preserve">Massa per unità</w:t>
            </w:r>
          </w:p>
        </w:tc>
        <w:tc>
          <w:tcPr>
            <w:tcW w:w="6848" w:type="dxa"/>
          </w:tcPr>
          <w:p>
            <w:pPr>
              <w:pStyle w:val="TableText"/>
            </w:pPr>
            <w:r>
              <w:t xml:space="preserve">≈ 2.900 kg (carico sulla fondazione ≈ 16 kN/m²)</w:t>
            </w:r>
          </w:p>
        </w:tc>
      </w:tr>
    </w:tbl>
    <w:p>
      <w:pPr>
        <w:pStyle w:val="Normal"/>
        <w:spacing w:after="60"/>
      </w:pPr>
    </w:p>
    <w:p>
      <w:pPr>
        <w:pStyle w:val="Normal"/>
      </w:pPr>
      <w:r>
        <w:t xml:space="preserve">Cavo di alimentazione di ogni cabinet: I = 125.000 / (√3 × 400) = 180 A, quindi 3 × 1 × 120 mm² Cu o 185 mm² Al, lunghezza inferiore a 30 m </w:t>
      </w:r>
      <w:r>
        <w:rPr>
          <w:b/>
        </w:rPr>
        <w:t xml:space="preserve">[verifica preliminare]</w:t>
      </w:r>
      <w:r>
        <w:t xml:space="preserve">.</w:t>
      </w:r>
    </w:p>
    <w:p>
      <w:pPr>
        <w:pStyle w:val="Heading2"/>
      </w:pPr>
      <w:r>
        <w:t xml:space="preserve">8.2 Sistemi di controllo: BMS ed EMS</w:t>
      </w:r>
    </w:p>
    <w:p>
      <w:pPr>
        <w:pStyle w:val="ListParagraph"/>
      </w:pPr>
      <w:r>
        <w:t xml:space="preserve">•  </w:t>
      </w:r>
      <w:r>
        <w:rPr>
          <w:b/>
        </w:rPr>
        <w:t xml:space="preserve">BMS</w:t>
      </w:r>
      <w:r>
        <w:t xml:space="preserve"> (per cabinet): misura di tensione e temperatura di cella, bilanciamento, stima di SOC e SOH, protezioni (sovra/sottotensione, sovracorrente, sovratemperatura), comando dei contattori DC, segnali verso il PCS e verso l'impianto antincendio.</w:t>
      </w:r>
    </w:p>
    <w:p>
      <w:pPr>
        <w:pStyle w:val="ListParagraph"/>
      </w:pPr>
      <w:r>
        <w:t xml:space="preserve">•  </w:t>
      </w:r>
      <w:r>
        <w:rPr>
          <w:b/>
        </w:rPr>
        <w:t xml:space="preserve">EMS d'impianto</w:t>
      </w:r>
      <w:r>
        <w:t xml:space="preserve"> (integrato nel CCI/SCADA): logiche di dispacciamento orarie e sub-orarie. Il simulatore le modella così:</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140"/>
        <w:gridCol w:w="6511"/>
        <w:gridCol w:w="1986"/>
      </w:tblGrid>
      <w:tr>
        <w:trPr>
          <w:tblHeader/>
        </w:trPr>
        <w:tc>
          <w:tcPr>
            <w:tcW w:w="1140" w:type="dxa"/>
            <w:shd w:val="clear" w:color="auto" w:fill="E3EAEC"/>
          </w:tcPr>
          <w:p>
            <w:pPr>
              <w:pStyle w:val="TableText"/>
            </w:pPr>
            <w:r>
              <w:rPr>
                <w:b/>
              </w:rPr>
              <w:t xml:space="preserve">Logica</w:t>
            </w:r>
          </w:p>
        </w:tc>
        <w:tc>
          <w:tcPr>
            <w:tcW w:w="6511" w:type="dxa"/>
            <w:shd w:val="clear" w:color="auto" w:fill="E3EAEC"/>
          </w:tcPr>
          <w:p>
            <w:pPr>
              <w:pStyle w:val="TableText"/>
            </w:pPr>
            <w:r>
              <w:rPr>
                <w:b/>
              </w:rPr>
              <w:t xml:space="preserve">Descrizione</w:t>
            </w:r>
          </w:p>
        </w:tc>
        <w:tc>
          <w:tcPr>
            <w:tcW w:w="1986" w:type="dxa"/>
            <w:shd w:val="clear" w:color="auto" w:fill="E3EAEC"/>
          </w:tcPr>
          <w:p>
            <w:pPr>
              <w:pStyle w:val="TableText"/>
            </w:pPr>
            <w:r>
              <w:rPr>
                <w:b/>
              </w:rPr>
              <w:t xml:space="preserve">Parametri di default</w:t>
            </w:r>
          </w:p>
        </w:tc>
      </w:tr>
      <w:tr>
        <w:tc>
          <w:tcPr>
            <w:tcW w:w="1140" w:type="dxa"/>
          </w:tcPr>
          <w:p>
            <w:pPr>
              <w:pStyle w:val="TableText"/>
            </w:pPr>
            <w:r>
              <w:t xml:space="preserve">Autoconsumo</w:t>
            </w:r>
          </w:p>
        </w:tc>
        <w:tc>
          <w:tcPr>
            <w:tcW w:w="6511" w:type="dxa"/>
          </w:tcPr>
          <w:p>
            <w:pPr>
              <w:pStyle w:val="TableText"/>
            </w:pPr>
            <w:r>
              <w:t xml:space="preserve">Carica dall'eccedenza FV, scarica a copertura del prelievo</w:t>
            </w:r>
          </w:p>
        </w:tc>
        <w:tc>
          <w:tcPr>
            <w:tcW w:w="1986" w:type="dxa"/>
          </w:tcPr>
          <w:p>
            <w:pPr>
              <w:pStyle w:val="TableText"/>
            </w:pPr>
            <w:r>
              <w:t xml:space="preserve">sempre attiva</w:t>
            </w:r>
          </w:p>
        </w:tc>
      </w:tr>
      <w:tr>
        <w:tc>
          <w:tcPr>
            <w:tcW w:w="1140" w:type="dxa"/>
          </w:tcPr>
          <w:p>
            <w:pPr>
              <w:pStyle w:val="TableText"/>
            </w:pPr>
            <w:r>
              <w:t xml:space="preserve">Arbitraggio</w:t>
            </w:r>
          </w:p>
        </w:tc>
        <w:tc>
          <w:tcPr>
            <w:tcW w:w="6511" w:type="dxa"/>
          </w:tcPr>
          <w:p>
            <w:pPr>
              <w:pStyle w:val="TableText"/>
            </w:pPr>
            <w:r>
              <w:t xml:space="preserve">Carica da rete nelle 4 ore più economiche tra 0 e 6 e scarica nelle ore a prezzo alto. L'energia di carica viene scelta ogni giorno tra 5 livelli, col minimo costo giornaliero</w:t>
            </w:r>
          </w:p>
        </w:tc>
        <w:tc>
          <w:tcPr>
            <w:tcW w:w="1986" w:type="dxa"/>
          </w:tcPr>
          <w:p>
            <w:pPr>
              <w:pStyle w:val="TableText"/>
            </w:pPr>
            <w:r>
              <w:t xml:space="preserve">spread minimo 30 €/MWh</w:t>
            </w:r>
          </w:p>
        </w:tc>
      </w:tr>
      <w:tr>
        <w:tc>
          <w:tcPr>
            <w:tcW w:w="1140" w:type="dxa"/>
          </w:tcPr>
          <w:p>
            <w:pPr>
              <w:pStyle w:val="TableText"/>
            </w:pPr>
            <w:r>
              <w:t xml:space="preserve">Peak shaving</w:t>
            </w:r>
          </w:p>
        </w:tc>
        <w:tc>
          <w:tcPr>
            <w:tcW w:w="6511" w:type="dxa"/>
          </w:tcPr>
          <w:p>
            <w:pPr>
              <w:pStyle w:val="TableText"/>
            </w:pPr>
            <w:r>
              <w:t xml:space="preserve">Scarica prioritaria per mantenere il prelievo sotto la soglia; riserva di SOC ricaricata di notte</w:t>
            </w:r>
          </w:p>
        </w:tc>
        <w:tc>
          <w:tcPr>
            <w:tcW w:w="1986" w:type="dxa"/>
          </w:tcPr>
          <w:p>
            <w:pPr>
              <w:pStyle w:val="TableText"/>
            </w:pPr>
            <w:r>
              <w:t xml:space="preserve">soglia 2.500 kW, riserva 30 % (disattivo nel caso A)</w:t>
            </w:r>
          </w:p>
        </w:tc>
      </w:tr>
      <w:tr>
        <w:tc>
          <w:tcPr>
            <w:tcW w:w="1140" w:type="dxa"/>
          </w:tcPr>
          <w:p>
            <w:pPr>
              <w:pStyle w:val="TableText"/>
            </w:pPr>
            <w:r>
              <w:t xml:space="preserve">Limite di cicli</w:t>
            </w:r>
          </w:p>
        </w:tc>
        <w:tc>
          <w:tcPr>
            <w:tcW w:w="6511" w:type="dxa"/>
          </w:tcPr>
          <w:p>
            <w:pPr>
              <w:pStyle w:val="TableText"/>
            </w:pPr>
            <w:r>
              <w:t xml:space="preserve">Scarica massima giornaliera</w:t>
            </w:r>
          </w:p>
        </w:tc>
        <w:tc>
          <w:tcPr>
            <w:tcW w:w="1986" w:type="dxa"/>
          </w:tcPr>
          <w:p>
            <w:pPr>
              <w:pStyle w:val="TableText"/>
            </w:pPr>
            <w:r>
              <w:t xml:space="preserve">1,5 cicli/giorno</w:t>
            </w:r>
          </w:p>
        </w:tc>
      </w:tr>
      <w:tr>
        <w:tc>
          <w:tcPr>
            <w:tcW w:w="1140" w:type="dxa"/>
          </w:tcPr>
          <w:p>
            <w:pPr>
              <w:pStyle w:val="TableText"/>
            </w:pPr>
            <w:r>
              <w:t xml:space="preserve">Divieto di immissione da BESS</w:t>
            </w:r>
          </w:p>
        </w:tc>
        <w:tc>
          <w:tcPr>
            <w:tcW w:w="6511" w:type="dxa"/>
          </w:tcPr>
          <w:p>
            <w:pPr>
              <w:pStyle w:val="TableText"/>
            </w:pPr>
            <w:r>
              <w:t xml:space="preserve">La scarica copre solo i carichi interni</w:t>
            </w:r>
          </w:p>
        </w:tc>
        <w:tc>
          <w:tcPr>
            <w:tcW w:w="1986" w:type="dxa"/>
          </w:tcPr>
          <w:p>
            <w:pPr>
              <w:pStyle w:val="TableText"/>
            </w:pPr>
            <w:r>
              <w:t xml:space="preserve">sempre</w:t>
            </w:r>
          </w:p>
        </w:tc>
      </w:tr>
    </w:tbl>
    <w:p>
      <w:pPr>
        <w:pStyle w:val="Normal"/>
        <w:spacing w:after="60"/>
      </w:pPr>
    </w:p>
    <w:p>
      <w:pPr>
        <w:pStyle w:val="Normal"/>
      </w:pPr>
      <w:r>
        <w:t xml:space="preserve">Nel funzionamento reale l'EMS usa previsioni di produzione e carico (giorno prima e infragiornaliere) e prezzi MGP/MI. Il simulatore assume previsione perfetta entro la giornata: le prestazioni reali di arbitraggio risultano più basse dell'ordine del 10–20 % </w:t>
      </w:r>
      <w:r>
        <w:rPr>
          <w:b/>
        </w:rPr>
        <w:t xml:space="preserve">[stima]</w:t>
      </w:r>
      <w:r>
        <w:t xml:space="preserve">.</w:t>
      </w:r>
    </w:p>
    <w:p>
      <w:pPr>
        <w:pStyle w:val="Heading2"/>
      </w:pPr>
      <w:r>
        <w:t xml:space="preserve">8.3 Prestazioni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980"/>
        <w:gridCol w:w="7658"/>
      </w:tblGrid>
      <w:tr>
        <w:trPr>
          <w:tblHeader/>
        </w:trPr>
        <w:tc>
          <w:tcPr>
            <w:tcW w:w="1980" w:type="dxa"/>
            <w:shd w:val="clear" w:color="auto" w:fill="E3EAEC"/>
          </w:tcPr>
          <w:p>
            <w:pPr>
              <w:pStyle w:val="TableText"/>
            </w:pPr>
            <w:r>
              <w:rPr>
                <w:b/>
              </w:rPr>
              <w:t xml:space="preserve">Grandezza</w:t>
            </w:r>
          </w:p>
        </w:tc>
        <w:tc>
          <w:tcPr>
            <w:tcW w:w="7658" w:type="dxa"/>
            <w:shd w:val="clear" w:color="auto" w:fill="E3EAEC"/>
          </w:tcPr>
          <w:p>
            <w:pPr>
              <w:pStyle w:val="TableText"/>
            </w:pPr>
            <w:r>
              <w:rPr>
                <w:b/>
              </w:rPr>
              <w:t xml:space="preserve">Valore</w:t>
            </w:r>
          </w:p>
        </w:tc>
      </w:tr>
      <w:tr>
        <w:tc>
          <w:tcPr>
            <w:tcW w:w="1980" w:type="dxa"/>
          </w:tcPr>
          <w:p>
            <w:pPr>
              <w:pStyle w:val="TableText"/>
            </w:pPr>
            <w:r>
              <w:t xml:space="preserve">Rendimento round-trip AC-AC</w:t>
            </w:r>
          </w:p>
        </w:tc>
        <w:tc>
          <w:tcPr>
            <w:tcW w:w="7658" w:type="dxa"/>
          </w:tcPr>
          <w:p>
            <w:pPr>
              <w:pStyle w:val="TableText"/>
            </w:pPr>
            <w:r>
              <w:t xml:space="preserve">86 % (carica e scarica √0,86 = 92,7 % ciascuna)</w:t>
            </w:r>
          </w:p>
        </w:tc>
      </w:tr>
      <w:tr>
        <w:tc>
          <w:tcPr>
            <w:tcW w:w="1980" w:type="dxa"/>
          </w:tcPr>
          <w:p>
            <w:pPr>
              <w:pStyle w:val="TableText"/>
            </w:pPr>
            <w:r>
              <w:t xml:space="preserve">Profondità di scarica utile</w:t>
            </w:r>
          </w:p>
        </w:tc>
        <w:tc>
          <w:tcPr>
            <w:tcW w:w="7658" w:type="dxa"/>
          </w:tcPr>
          <w:p>
            <w:pPr>
              <w:pStyle w:val="TableText"/>
            </w:pPr>
            <w:r>
              <w:t xml:space="preserve">90 % (energia utile 1.800 kWh a inizio vita)</w:t>
            </w:r>
          </w:p>
        </w:tc>
      </w:tr>
      <w:tr>
        <w:tc>
          <w:tcPr>
            <w:tcW w:w="1980" w:type="dxa"/>
          </w:tcPr>
          <w:p>
            <w:pPr>
              <w:pStyle w:val="TableText"/>
            </w:pPr>
            <w:r>
              <w:t xml:space="preserve">Ausiliari (HVAC, BMS, EMS)</w:t>
            </w:r>
          </w:p>
        </w:tc>
        <w:tc>
          <w:tcPr>
            <w:tcW w:w="7658" w:type="dxa"/>
          </w:tcPr>
          <w:p>
            <w:pPr>
              <w:pStyle w:val="TableText"/>
            </w:pPr>
            <w:r>
              <w:t xml:space="preserve">0,4 % della capacità al giorno ≈ 0,33 kW medi, 2,9 MWh/a</w:t>
            </w:r>
          </w:p>
        </w:tc>
      </w:tr>
      <w:tr>
        <w:tc>
          <w:tcPr>
            <w:tcW w:w="1980" w:type="dxa"/>
          </w:tcPr>
          <w:p>
            <w:pPr>
              <w:pStyle w:val="TableText"/>
            </w:pPr>
            <w:r>
              <w:t xml:space="preserve">Degrado di calendario</w:t>
            </w:r>
          </w:p>
        </w:tc>
        <w:tc>
          <w:tcPr>
            <w:tcW w:w="7658" w:type="dxa"/>
          </w:tcPr>
          <w:p>
            <w:pPr>
              <w:pStyle w:val="TableText"/>
            </w:pPr>
            <w:r>
              <w:t xml:space="preserve">1,0 %/anno</w:t>
            </w:r>
          </w:p>
        </w:tc>
      </w:tr>
      <w:tr>
        <w:tc>
          <w:tcPr>
            <w:tcW w:w="1980" w:type="dxa"/>
          </w:tcPr>
          <w:p>
            <w:pPr>
              <w:pStyle w:val="TableText"/>
            </w:pPr>
            <w:r>
              <w:t xml:space="preserve">Degrado di ciclo</w:t>
            </w:r>
          </w:p>
        </w:tc>
        <w:tc>
          <w:tcPr>
            <w:tcW w:w="7658" w:type="dxa"/>
          </w:tcPr>
          <w:p>
            <w:pPr>
              <w:pStyle w:val="TableText"/>
            </w:pPr>
            <w:r>
              <w:t xml:space="preserve">2,5 % ogni 1.000 cicli equivalenti</w:t>
            </w:r>
          </w:p>
        </w:tc>
      </w:tr>
      <w:tr>
        <w:tc>
          <w:tcPr>
            <w:tcW w:w="1980" w:type="dxa"/>
          </w:tcPr>
          <w:p>
            <w:pPr>
              <w:pStyle w:val="TableText"/>
            </w:pPr>
            <w:r>
              <w:t xml:space="preserve">Cicli equivalenti anno 1</w:t>
            </w:r>
          </w:p>
        </w:tc>
        <w:tc>
          <w:tcPr>
            <w:tcW w:w="7658" w:type="dxa"/>
          </w:tcPr>
          <w:p>
            <w:pPr>
              <w:pStyle w:val="TableText"/>
            </w:pPr>
            <w:r>
              <w:t xml:space="preserve">225</w:t>
            </w:r>
          </w:p>
        </w:tc>
      </w:tr>
      <w:tr>
        <w:tc>
          <w:tcPr>
            <w:tcW w:w="1980" w:type="dxa"/>
          </w:tcPr>
          <w:p>
            <w:pPr>
              <w:pStyle w:val="TableText"/>
            </w:pPr>
            <w:r>
              <w:t xml:space="preserve">Energia scaricata anno 1</w:t>
            </w:r>
          </w:p>
        </w:tc>
        <w:tc>
          <w:tcPr>
            <w:tcW w:w="7658" w:type="dxa"/>
          </w:tcPr>
          <w:p>
            <w:pPr>
              <w:pStyle w:val="TableText"/>
            </w:pPr>
            <w:r>
              <w:t xml:space="preserve">405 MWh (da FV 244 MWh caricati, da rete 227 MWh caricati)</w:t>
            </w:r>
          </w:p>
        </w:tc>
      </w:tr>
      <w:tr>
        <w:tc>
          <w:tcPr>
            <w:tcW w:w="1980" w:type="dxa"/>
          </w:tcPr>
          <w:p>
            <w:pPr>
              <w:pStyle w:val="TableText"/>
            </w:pPr>
            <w:r>
              <w:t xml:space="preserve">SOH a inizio anno 14</w:t>
            </w:r>
          </w:p>
        </w:tc>
        <w:tc>
          <w:tcPr>
            <w:tcW w:w="7658" w:type="dxa"/>
          </w:tcPr>
          <w:p>
            <w:pPr>
              <w:pStyle w:val="TableText"/>
            </w:pPr>
            <w:r>
              <w:t xml:space="preserve">80,2 %</w:t>
            </w:r>
          </w:p>
        </w:tc>
      </w:tr>
      <w:tr>
        <w:tc>
          <w:tcPr>
            <w:tcW w:w="1980" w:type="dxa"/>
          </w:tcPr>
          <w:p>
            <w:pPr>
              <w:pStyle w:val="TableText"/>
            </w:pPr>
            <w:r>
              <w:t xml:space="preserve">Augmentation</w:t>
            </w:r>
          </w:p>
        </w:tc>
        <w:tc>
          <w:tcPr>
            <w:tcW w:w="7658" w:type="dxa"/>
          </w:tcPr>
          <w:p>
            <w:pPr>
              <w:pStyle w:val="TableText"/>
            </w:pPr>
            <w:r>
              <w:t xml:space="preserve">all'anno 15, quando il SOH scende sotto l'80 %: aggiunta di ≈ 426 kWh di moduli per tornare alla capacità nominale</w:t>
            </w:r>
          </w:p>
        </w:tc>
      </w:tr>
      <w:tr>
        <w:tc>
          <w:tcPr>
            <w:tcW w:w="1980" w:type="dxa"/>
          </w:tcPr>
          <w:p>
            <w:pPr>
              <w:pStyle w:val="TableText"/>
            </w:pPr>
            <w:r>
              <w:t xml:space="preserve">Fine vita senza augmentation</w:t>
            </w:r>
          </w:p>
        </w:tc>
        <w:tc>
          <w:tcPr>
            <w:tcW w:w="7658" w:type="dxa"/>
          </w:tcPr>
          <w:p>
            <w:pPr>
              <w:pStyle w:val="TableText"/>
            </w:pPr>
            <w:r>
              <w:t xml:space="preserve">SOH 70 %</w:t>
            </w:r>
          </w:p>
        </w:tc>
      </w:tr>
    </w:tbl>
    <w:p>
      <w:pPr>
        <w:pStyle w:val="Normal"/>
        <w:spacing w:after="60"/>
      </w:pPr>
    </w:p>
    <w:p>
      <w:pPr>
        <w:pStyle w:val="Normal"/>
      </w:pPr>
      <w:r>
        <w:rPr>
          <w:b/>
        </w:rPr>
        <w:t xml:space="preserve">Augmentation.</w:t>
      </w:r>
      <w:r>
        <w:t xml:space="preserve"> L'area BESS va progettata con una riserva per almeno 2 cabinet aggiuntivi (circa 25 % dell'energia). Si possono anche sostituire i moduli batteria nei cabinet esistenti, se il fornitore lo garantisce. Il quadro BT 400 V va dotato di 2 partenze di riserva.</w:t>
      </w:r>
    </w:p>
    <w:p>
      <w:pPr>
        <w:pStyle w:val="Heading2"/>
      </w:pPr>
      <w:r>
        <w:t xml:space="preserve">8.4 Sicurezza del BESS</w:t>
      </w:r>
    </w:p>
    <w:p>
      <w:pPr>
        <w:pStyle w:val="Normal"/>
      </w:pPr>
      <w:r>
        <w:rPr>
          <w:b/>
        </w:rPr>
        <w:t xml:space="preserve">Rischio principale.</w:t>
      </w:r>
      <w:r>
        <w:t xml:space="preserve"> È la </w:t>
      </w:r>
      <w:r>
        <w:rPr>
          <w:b/>
        </w:rPr>
        <w:t xml:space="preserve">propagazione termica</w:t>
      </w:r>
      <w:r>
        <w:t xml:space="preserve"> (thermal runaway) di una cella, con emissione di gas infiammabili e tossici (H₂, CO, idrocarburi, HF), possibile deflagrazione nel volume chiuso del cabinet e incendio. La chimica LFP ha una temperatura d'innesco più alta e rilascia meno energia rispetto alle chimiche NMC, ma il rischio non è nullo.</w:t>
      </w:r>
    </w:p>
    <w:p>
      <w:pPr>
        <w:pStyle w:val="Normal"/>
      </w:pPr>
      <w:r>
        <w:t xml:space="preserve">Requisiti minimi di specifica:</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755"/>
        <w:gridCol w:w="8883"/>
      </w:tblGrid>
      <w:tr>
        <w:trPr>
          <w:tblHeader/>
        </w:trPr>
        <w:tc>
          <w:tcPr>
            <w:tcW w:w="755" w:type="dxa"/>
            <w:shd w:val="clear" w:color="auto" w:fill="E3EAEC"/>
          </w:tcPr>
          <w:p>
            <w:pPr>
              <w:pStyle w:val="TableText"/>
            </w:pPr>
            <w:r>
              <w:rPr>
                <w:b/>
              </w:rPr>
              <w:t xml:space="preserve">Misura</w:t>
            </w:r>
          </w:p>
        </w:tc>
        <w:tc>
          <w:tcPr>
            <w:tcW w:w="8883" w:type="dxa"/>
            <w:shd w:val="clear" w:color="auto" w:fill="E3EAEC"/>
          </w:tcPr>
          <w:p>
            <w:pPr>
              <w:pStyle w:val="TableText"/>
            </w:pPr>
            <w:r>
              <w:rPr>
                <w:b/>
              </w:rPr>
              <w:t xml:space="preserve">Requisito</w:t>
            </w:r>
          </w:p>
        </w:tc>
      </w:tr>
      <w:tr>
        <w:tc>
          <w:tcPr>
            <w:tcW w:w="755" w:type="dxa"/>
          </w:tcPr>
          <w:p>
            <w:pPr>
              <w:pStyle w:val="TableText"/>
            </w:pPr>
            <w:r>
              <w:t xml:space="preserve">Certificazioni di prodotto</w:t>
            </w:r>
          </w:p>
        </w:tc>
        <w:tc>
          <w:tcPr>
            <w:tcW w:w="8883" w:type="dxa"/>
          </w:tcPr>
          <w:p>
            <w:pPr>
              <w:pStyle w:val="TableText"/>
            </w:pPr>
            <w:r>
              <w:t xml:space="preserve">IEC 62619 (celle e moduli), IEC 62933-5-2, IEC 62477-1 (PCS), report di prova </w:t>
            </w:r>
            <w:r>
              <w:rPr>
                <w:b/>
              </w:rPr>
              <w:t xml:space="preserve">UL 9540A</w:t>
            </w:r>
            <w:r>
              <w:t xml:space="preserve"> a livello di cella, modulo e unità, con dimostrazione di non propagazione tra unità adiacenti</w:t>
            </w:r>
          </w:p>
        </w:tc>
      </w:tr>
      <w:tr>
        <w:tc>
          <w:tcPr>
            <w:tcW w:w="755" w:type="dxa"/>
          </w:tcPr>
          <w:p>
            <w:pPr>
              <w:pStyle w:val="TableText"/>
            </w:pPr>
            <w:r>
              <w:t xml:space="preserve">Rilevazione</w:t>
            </w:r>
          </w:p>
        </w:tc>
        <w:tc>
          <w:tcPr>
            <w:tcW w:w="8883" w:type="dxa"/>
          </w:tcPr>
          <w:p>
            <w:pPr>
              <w:pStyle w:val="TableText"/>
            </w:pPr>
            <w:r>
              <w:t xml:space="preserve">sensori di gas (H₂, CO) e fumo in ogni cabinet, allarme e intervento della logica di sicurezza (apertura contattori, stop HVAC in ricircolo, ventilazione di emergenza)</w:t>
            </w:r>
          </w:p>
        </w:tc>
      </w:tr>
      <w:tr>
        <w:tc>
          <w:tcPr>
            <w:tcW w:w="755" w:type="dxa"/>
          </w:tcPr>
          <w:p>
            <w:pPr>
              <w:pStyle w:val="TableText"/>
            </w:pPr>
            <w:r>
              <w:t xml:space="preserve">Ventilazione / esplosione</w:t>
            </w:r>
          </w:p>
        </w:tc>
        <w:tc>
          <w:tcPr>
            <w:tcW w:w="8883" w:type="dxa"/>
          </w:tcPr>
          <w:p>
            <w:pPr>
              <w:pStyle w:val="TableText"/>
            </w:pPr>
            <w:r>
              <w:t xml:space="preserve">ventilazione di emergenza attivata dal rilevamento gas per restare sotto il 25 % del LEL; pannelli di sfogo dell'esplosione (deflagration venting, rif. NFPA 68) o progetto di prevenzione dell'esplosione (rif. NFPA 69)</w:t>
            </w:r>
          </w:p>
        </w:tc>
      </w:tr>
      <w:tr>
        <w:tc>
          <w:tcPr>
            <w:tcW w:w="755" w:type="dxa"/>
          </w:tcPr>
          <w:p>
            <w:pPr>
              <w:pStyle w:val="TableText"/>
            </w:pPr>
            <w:r>
              <w:t xml:space="preserve">Estinzione</w:t>
            </w:r>
          </w:p>
        </w:tc>
        <w:tc>
          <w:tcPr>
            <w:tcW w:w="8883" w:type="dxa"/>
          </w:tcPr>
          <w:p>
            <w:pPr>
              <w:pStyle w:val="TableText"/>
            </w:pPr>
            <w:r>
              <w:t xml:space="preserve">sistema integrato per cabinet (aerosol o agente pulito) con eventuale predisposizione per l'immissione di acqua (dry pipe). Strategia concordata con i VVF; acqua per raffreddare le unità vicine</w:t>
            </w:r>
          </w:p>
        </w:tc>
      </w:tr>
      <w:tr>
        <w:tc>
          <w:tcPr>
            <w:tcW w:w="755" w:type="dxa"/>
          </w:tcPr>
          <w:p>
            <w:pPr>
              <w:pStyle w:val="TableText"/>
            </w:pPr>
            <w:r>
              <w:t xml:space="preserve">Distanze</w:t>
            </w:r>
          </w:p>
        </w:tc>
        <w:tc>
          <w:tcPr>
            <w:tcW w:w="8883" w:type="dxa"/>
          </w:tcPr>
          <w:p>
            <w:pPr>
              <w:pStyle w:val="TableText"/>
            </w:pPr>
            <w:r>
              <w:t xml:space="preserve">riferimento NFPA 855 per installazioni all'aperto: ≥ 3 m da edifici, confini e vie di passaggio, salvo riduzioni giustificate dalla prova UL 9540A; distanza tra unità secondo i risultati delle prove (tipicamente ≥ 0,9 m o affiancamento ammesso dal costruttore). In Italia le distanze derivano dalla valutazione del rischio secondo il Codice di prevenzione incendi [da verificare con il Comando VVF]</w:t>
            </w:r>
          </w:p>
        </w:tc>
      </w:tr>
      <w:tr>
        <w:tc>
          <w:tcPr>
            <w:tcW w:w="755" w:type="dxa"/>
          </w:tcPr>
          <w:p>
            <w:pPr>
              <w:pStyle w:val="TableText"/>
            </w:pPr>
            <w:r>
              <w:t xml:space="preserve">Separazioni</w:t>
            </w:r>
          </w:p>
        </w:tc>
        <w:tc>
          <w:tcPr>
            <w:tcW w:w="8883" w:type="dxa"/>
          </w:tcPr>
          <w:p>
            <w:pPr>
              <w:pStyle w:val="TableText"/>
            </w:pPr>
            <w:r>
              <w:t xml:space="preserve">distanza o muro tagliafuoco REI 120 verso il trasformatore in olio e verso gli edifici dello stabilimento [verifica preliminare]</w:t>
            </w:r>
          </w:p>
        </w:tc>
      </w:tr>
      <w:tr>
        <w:tc>
          <w:tcPr>
            <w:tcW w:w="755" w:type="dxa"/>
          </w:tcPr>
          <w:p>
            <w:pPr>
              <w:pStyle w:val="TableText"/>
            </w:pPr>
            <w:r>
              <w:t xml:space="preserve">Arresto di emergenza</w:t>
            </w:r>
          </w:p>
        </w:tc>
        <w:tc>
          <w:tcPr>
            <w:tcW w:w="8883" w:type="dxa"/>
          </w:tcPr>
          <w:p>
            <w:pPr>
              <w:pStyle w:val="TableText"/>
            </w:pPr>
            <w:r>
              <w:t xml:space="preserve">pulsanti di sgancio all'accesso dell'area e in sala controllo</w:t>
            </w:r>
          </w:p>
        </w:tc>
      </w:tr>
      <w:tr>
        <w:tc>
          <w:tcPr>
            <w:tcW w:w="755" w:type="dxa"/>
          </w:tcPr>
          <w:p>
            <w:pPr>
              <w:pStyle w:val="TableText"/>
            </w:pPr>
            <w:r>
              <w:t xml:space="preserve">Segnaletica e piano di emergenza</w:t>
            </w:r>
          </w:p>
        </w:tc>
        <w:tc>
          <w:tcPr>
            <w:tcW w:w="8883" w:type="dxa"/>
          </w:tcPr>
          <w:p>
            <w:pPr>
              <w:pStyle w:val="TableText"/>
            </w:pPr>
            <w:r>
              <w:t xml:space="preserve">procedure per i soccorritori (rischio elettrico DC residuo, gas tossici, riaccensione), scheda per i VVF</w:t>
            </w:r>
          </w:p>
        </w:tc>
      </w:tr>
      <w:tr>
        <w:tc>
          <w:tcPr>
            <w:tcW w:w="755" w:type="dxa"/>
          </w:tcPr>
          <w:p>
            <w:pPr>
              <w:pStyle w:val="TableText"/>
            </w:pPr>
            <w:r>
              <w:t xml:space="preserve">Accessi</w:t>
            </w:r>
          </w:p>
        </w:tc>
        <w:tc>
          <w:tcPr>
            <w:tcW w:w="8883" w:type="dxa"/>
          </w:tcPr>
          <w:p>
            <w:pPr>
              <w:pStyle w:val="TableText"/>
            </w:pPr>
            <w:r>
              <w:t xml:space="preserve">viabilità per i mezzi VVF fino a 10–15 m dall'area, idrante o riserva idrica secondo la valutazione del rischio</w:t>
            </w:r>
          </w:p>
        </w:tc>
      </w:tr>
    </w:tbl>
    <w:p>
      <w:pPr>
        <w:pStyle w:val="Normal"/>
        <w:spacing w:after="60"/>
      </w:pPr>
    </w:p>
    <w:p>
      <w:pPr>
        <w:pStyle w:val="Heading2"/>
      </w:pPr>
      <w:r>
        <w:t xml:space="preserve">8.5 Layout dell'area BESS</w:t>
      </w:r>
    </w:p>
    <w:p>
      <w:pPr>
        <w:pStyle w:val="ListParagraph"/>
      </w:pPr>
      <w:r>
        <w:t xml:space="preserve">•  </w:t>
      </w:r>
      <w:r>
        <w:t xml:space="preserve">Platea in c.a. su sottofondo drenante, quota +0,20 m sul piano campagna, con canaletta di raccolta delle acque di spegnimento verso un pozzetto a tenuta (le acque contaminate vanno smaltite come rifiuto).</w:t>
      </w:r>
    </w:p>
    <w:p>
      <w:pPr>
        <w:pStyle w:val="ListParagraph"/>
      </w:pPr>
      <w:r>
        <w:t xml:space="preserve">•  </w:t>
      </w:r>
      <w:r>
        <w:t xml:space="preserve">8 cabinet su una o due file, con passaggio di servizio ≥ 1,2 m sul fronte delle porte.</w:t>
      </w:r>
    </w:p>
    <w:p>
      <w:pPr>
        <w:pStyle w:val="ListParagraph"/>
      </w:pPr>
      <w:r>
        <w:t xml:space="preserve">•  </w:t>
      </w:r>
      <w:r>
        <w:t xml:space="preserve">Trasformatore BESS e quadro BT 400 V in un locale prefabbricato separato, a distanza dalle batterie.</w:t>
      </w:r>
    </w:p>
    <w:p>
      <w:pPr>
        <w:pStyle w:val="ListParagraph"/>
      </w:pPr>
      <w:r>
        <w:t xml:space="preserve">•  </w:t>
      </w:r>
      <w:r>
        <w:t xml:space="preserve">Recinzione dedicata con accesso controllato, illuminazione e videosorveglianza.</w:t>
      </w:r>
    </w:p>
    <w:p>
      <w:pPr>
        <w:pStyle w:val="ListParagraph"/>
      </w:pPr>
      <w:r>
        <w:t xml:space="preserve">•  </w:t>
      </w:r>
      <w:r>
        <w:t xml:space="preserve">Area di riserva per l'augmentation (≥ 2 posizioni).</w:t>
      </w:r>
    </w:p>
    <w:p>
      <w:pPr>
        <w:pStyle w:val="Heading2"/>
      </w:pPr>
      <w:r>
        <w:t xml:space="preserve">8.6 Fine vita e Regolamento UE 2023/1542</w:t>
      </w:r>
    </w:p>
    <w:p>
      <w:pPr>
        <w:pStyle w:val="Normal"/>
      </w:pPr>
      <w:r>
        <w:t xml:space="preserve">Le batterie del BESS sono "batterie industriali" con capacità superiore a 2 kWh. Si applicano quindi:</w:t>
      </w:r>
    </w:p>
    <w:p>
      <w:pPr>
        <w:pStyle w:val="ListParagraph"/>
      </w:pPr>
      <w:r>
        <w:t xml:space="preserve">•  </w:t>
      </w:r>
      <w:r>
        <w:t xml:space="preserve">dichiarazione dell'</w:t>
      </w:r>
      <w:r>
        <w:rPr>
          <w:b/>
        </w:rPr>
        <w:t xml:space="preserve">impronta di carbonio</w:t>
      </w:r>
      <w:r>
        <w:t xml:space="preserve">, secondo le scadenze del regolamento per le batterie industriali ricaricabili [da verificare l'applicabilità e le date degli atti delegati];</w:t>
      </w:r>
    </w:p>
    <w:p>
      <w:pPr>
        <w:pStyle w:val="ListParagraph"/>
      </w:pPr>
      <w:r>
        <w:t xml:space="preserve">•  </w:t>
      </w:r>
      <w:r>
        <w:rPr>
          <w:b/>
        </w:rPr>
        <w:t xml:space="preserve">passaporto della batteria</w:t>
      </w:r>
      <w:r>
        <w:t xml:space="preserve"> (dal 18/02/2027), con accesso tramite codice QR ai dati di composizione, prestazioni e SOH;</w:t>
      </w:r>
    </w:p>
    <w:p>
      <w:pPr>
        <w:pStyle w:val="ListParagraph"/>
      </w:pPr>
      <w:r>
        <w:t xml:space="preserve">•  </w:t>
      </w:r>
      <w:r>
        <w:t xml:space="preserve">obblighi di </w:t>
      </w:r>
      <w:r>
        <w:rPr>
          <w:b/>
        </w:rPr>
        <w:t xml:space="preserve">due diligence</w:t>
      </w:r>
      <w:r>
        <w:t xml:space="preserve"> sulle materie prime, secondo i tempi del regolamento [da verificare];</w:t>
      </w:r>
    </w:p>
    <w:p>
      <w:pPr>
        <w:pStyle w:val="ListParagraph"/>
      </w:pPr>
      <w:r>
        <w:t xml:space="preserve">•  </w:t>
      </w:r>
      <w:r>
        <w:rPr>
          <w:b/>
        </w:rPr>
        <w:t xml:space="preserve">responsabilità estesa del produttore</w:t>
      </w:r>
      <w:r>
        <w:t xml:space="preserve">: il fornitore ritira a fine vita; nel contratto vanno previsti ritiro e riciclo, a costo incluso o definito;</w:t>
      </w:r>
    </w:p>
    <w:p>
      <w:pPr>
        <w:pStyle w:val="ListParagraph"/>
      </w:pPr>
      <w:r>
        <w:t xml:space="preserve">•  </w:t>
      </w:r>
      <w:r>
        <w:t xml:space="preserve">accesso del proprietario ai dati del BMS per la stima del SOH (requisito utile anche per la seconda vita).</w:t>
      </w:r>
    </w:p>
    <w:p>
      <w:pPr>
        <w:pStyle w:val="Normal"/>
        <w:pBdr>
          <w:bottom w:val="single" w:sz="6" w:space="1" w:color="A0A8AE"/>
        </w:pBdr>
      </w:pPr>
    </w:p>
    <w:p>
      <w:pPr>
        <w:pStyle w:val="Heading1"/>
      </w:pPr>
      <w:r>
        <w:t xml:space="preserve">9. Impianto di terra, protezione dai fulmini e contro i contatti</w:t>
      </w:r>
    </w:p>
    <w:p>
      <w:pPr>
        <w:pStyle w:val="Heading2"/>
      </w:pPr>
      <w:r>
        <w:t xml:space="preserve">9.1 Impianto di terra</w:t>
      </w:r>
    </w:p>
    <w:p>
      <w:pPr>
        <w:pStyle w:val="ListParagraph"/>
      </w:pPr>
      <w:r>
        <w:t xml:space="preserve">•  </w:t>
      </w:r>
      <w:r>
        <w:rPr>
          <w:b/>
        </w:rPr>
        <w:t xml:space="preserve">Impianto di terra unico</w:t>
      </w:r>
      <w:r>
        <w:t xml:space="preserve"> per campo FV, cabina di trasformazione, area BESS e collegamento alla rete di terra dello stabilimento (cabina utente). Va dimensionato secondo CEI EN 50522 sulla corrente di guasto a terra e sul tempo di eliminazione comunicati dal distributore. Tensioni di contatto e di passo vanno verificate in cabina e nell'area BESS.</w:t>
      </w:r>
    </w:p>
    <w:p>
      <w:pPr>
        <w:pStyle w:val="ListParagraph"/>
      </w:pPr>
      <w:r>
        <w:t xml:space="preserve">•  </w:t>
      </w:r>
      <w:r>
        <w:t xml:space="preserve">Dispersore: corda di rame nudo 35 mm² (o 50 mm²) posata nello scavo dei cavidotti principali, ad anello attorno a cabine e area BESS, con picchetti nei punti di misura </w:t>
      </w:r>
      <w:r>
        <w:rPr>
          <w:b/>
        </w:rPr>
        <w:t xml:space="preserve">[verifica preliminare]</w:t>
      </w:r>
      <w:r>
        <w:t xml:space="preserve">.</w:t>
      </w:r>
    </w:p>
    <w:p>
      <w:pPr>
        <w:pStyle w:val="ListParagraph"/>
      </w:pPr>
      <w:r>
        <w:t xml:space="preserve">•  </w:t>
      </w:r>
      <w:r>
        <w:t xml:space="preserve">Strutture metalliche: collegamento equipotenziale delle file di strutture con conduttore 16 mm² Cu (o tramite continuità certificata delle strutture), almeno ogni 2 tavoli.</w:t>
      </w:r>
    </w:p>
    <w:p>
      <w:pPr>
        <w:pStyle w:val="ListParagraph"/>
      </w:pPr>
      <w:r>
        <w:t xml:space="preserve">•  </w:t>
      </w:r>
      <w:r>
        <w:t xml:space="preserve">Cornici dei moduli: messa a terra funzionale/protettiva secondo le istruzioni del costruttore dell'inverter (inverter senza trasformatore: le cornici sono collegate a terra).</w:t>
      </w:r>
    </w:p>
    <w:p>
      <w:pPr>
        <w:pStyle w:val="Heading2"/>
      </w:pPr>
      <w:r>
        <w:t xml:space="preserve">9.2 Protezione contro i contatti</w:t>
      </w:r>
    </w:p>
    <w:p>
      <w:pPr>
        <w:pStyle w:val="ListParagraph"/>
      </w:pPr>
      <w:r>
        <w:t xml:space="preserve">•  </w:t>
      </w:r>
      <w:r>
        <w:rPr>
          <w:b/>
        </w:rPr>
        <w:t xml:space="preserve">Lato DC</w:t>
      </w:r>
      <w:r>
        <w:t xml:space="preserve">: sistema IT flottante, componenti di classe II (moduli, cavi H1Z2Z2-K), controllo continuo dell'isolamento nell'inverter con allarme e arresto.</w:t>
      </w:r>
    </w:p>
    <w:p>
      <w:pPr>
        <w:pStyle w:val="ListParagraph"/>
      </w:pPr>
      <w:r>
        <w:t xml:space="preserve">•  </w:t>
      </w:r>
      <w:r>
        <w:rPr>
          <w:b/>
        </w:rPr>
        <w:t xml:space="preserve">Lato AC BT 800 V</w:t>
      </w:r>
      <w:r>
        <w:t xml:space="preserve">: sistema IT o TN secondo l'architettura dell'inverter; protezione con interruzione automatica dell'alimentazione coordinata con l'impianto di terra.</w:t>
      </w:r>
    </w:p>
    <w:p>
      <w:pPr>
        <w:pStyle w:val="ListParagraph"/>
      </w:pPr>
      <w:r>
        <w:t xml:space="preserve">•  </w:t>
      </w:r>
      <w:r>
        <w:rPr>
          <w:b/>
        </w:rPr>
        <w:t xml:space="preserve">Lato MT</w:t>
      </w:r>
      <w:r>
        <w:t xml:space="preserve">: tensioni di contatto ammissibili secondo CEI EN 50522.</w:t>
      </w:r>
    </w:p>
    <w:p>
      <w:pPr>
        <w:pStyle w:val="Heading2"/>
      </w:pPr>
      <w:r>
        <w:t xml:space="preserve">9.3 Protezione dai fulmini e dalle sovratensioni</w:t>
      </w:r>
    </w:p>
    <w:p>
      <w:pPr>
        <w:pStyle w:val="ListParagraph"/>
      </w:pPr>
      <w:r>
        <w:t xml:space="preserve">•  </w:t>
      </w:r>
      <w:r>
        <w:rPr>
          <w:b/>
        </w:rPr>
        <w:t xml:space="preserve">Valutazione del rischio</w:t>
      </w:r>
      <w:r>
        <w:t xml:space="preserve"> secondo CEI EN 62305-2 per cabina, area BESS e campo FV. Di norma un campo FV a terra non richiede un LPS esterno, salvo che la valutazione del rischio R1/R4 lo imponga.</w:t>
      </w:r>
    </w:p>
    <w:p>
      <w:pPr>
        <w:pStyle w:val="ListParagraph"/>
      </w:pPr>
      <w:r>
        <w:t xml:space="preserve">•  </w:t>
      </w:r>
      <w:r>
        <w:rPr>
          <w:b/>
        </w:rPr>
        <w:t xml:space="preserve">SPD</w:t>
      </w:r>
      <w:r>
        <w:t xml:space="preserve">: tipo 2 lato DC su ogni ingresso inverter (§ 6.2); tipo 1+2 sul quadro BT 800 V e sul quadro BT 400 V BESS; scaricatori MT a ossido di zinco sui trasformatori; SPD sulle linee dati in rame (RS485, Ethernet) agli ingressi della sala controllo.</w:t>
      </w:r>
    </w:p>
    <w:p>
      <w:pPr>
        <w:pStyle w:val="ListParagraph"/>
      </w:pPr>
      <w:r>
        <w:t xml:space="preserve">•  </w:t>
      </w:r>
      <w:r>
        <w:rPr>
          <w:b/>
        </w:rPr>
        <w:t xml:space="preserve">Ottimizzazione dei percorsi</w:t>
      </w:r>
      <w:r>
        <w:t xml:space="preserve">: polo positivo e negativo delle stringhe affiancati per ridurre l'area delle spire indotte.</w:t>
      </w:r>
    </w:p>
    <w:p>
      <w:pPr>
        <w:pStyle w:val="Normal"/>
        <w:pBdr>
          <w:bottom w:val="single" w:sz="6" w:space="1" w:color="A0A8AE"/>
        </w:pBdr>
      </w:pPr>
    </w:p>
    <w:p>
      <w:pPr>
        <w:pStyle w:val="Heading1"/>
      </w:pPr>
      <w:r>
        <w:t xml:space="preserve">10. Opere civili e strutturali</w:t>
      </w:r>
    </w:p>
    <w:p>
      <w:pPr>
        <w:pStyle w:val="Heading2"/>
      </w:pPr>
      <w:r>
        <w:t xml:space="preserve">10.1 Fondazioni</w:t>
      </w:r>
    </w:p>
    <w:p>
      <w:pPr>
        <w:pStyle w:val="ListParagraph"/>
      </w:pPr>
      <w:r>
        <w:t xml:space="preserve">•  </w:t>
      </w:r>
      <w:r>
        <w:rPr>
          <w:b/>
        </w:rPr>
        <w:t xml:space="preserve">Pali infissi</w:t>
      </w:r>
      <w:r>
        <w:t xml:space="preserve"> (profili C/Σ in acciaio zincato) o </w:t>
      </w:r>
      <w:r>
        <w:rPr>
          <w:b/>
        </w:rPr>
        <w:t xml:space="preserve">viti di fondazione</w:t>
      </w:r>
      <w:r>
        <w:t xml:space="preserve">, profondità tipica 1,5–2,5 m. La scelta e la lunghezza seguono le prove di estrazione in sito (pull-out test) e la relazione geotecnica.</w:t>
      </w:r>
    </w:p>
    <w:p>
      <w:pPr>
        <w:pStyle w:val="ListParagraph"/>
      </w:pPr>
      <w:r>
        <w:t xml:space="preserve">•  </w:t>
      </w:r>
      <w:r>
        <w:rPr>
          <w:b/>
        </w:rPr>
        <w:t xml:space="preserve">Protezione dalla corrosione</w:t>
      </w:r>
      <w:r>
        <w:t xml:space="preserve">: zincatura a caldo secondo UNI EN ISO 1461, spessore scelto sulla classe di corrosività del suolo (UNI EN ISO 9223 / ISO 14713). Va verificata la presenza di acque aggressive o di falda superficiale </w:t>
      </w:r>
      <w:r>
        <w:rPr>
          <w:b/>
        </w:rPr>
        <w:t xml:space="preserve">[da verificare]</w:t>
      </w:r>
      <w:r>
        <w:t xml:space="preserve">.</w:t>
      </w:r>
    </w:p>
    <w:p>
      <w:pPr>
        <w:pStyle w:val="ListParagraph"/>
      </w:pPr>
      <w:r>
        <w:t xml:space="preserve">•  </w:t>
      </w:r>
      <w:r>
        <w:t xml:space="preserve">Cabine prefabbricate su vasca di fondazione prefabbricata; platea in c.a. per l'area BESS (§ 8.5).</w:t>
      </w:r>
    </w:p>
    <w:p>
      <w:pPr>
        <w:pStyle w:val="Heading2"/>
      </w:pPr>
      <w:r>
        <w:t xml:space="preserve">10.2 Azioni di progetto (NTC 2018), verifica preliminare</w:t>
      </w:r>
    </w:p>
    <w:p>
      <w:pPr>
        <w:pStyle w:val="Normal"/>
      </w:pPr>
      <w:r>
        <w:rPr>
          <w:b/>
        </w:rPr>
        <w:t xml:space="preserve">Vento.</w:t>
      </w:r>
      <w:r>
        <w:t xml:space="preserve"> Lombardia, zona 1: vb,0 = 25 m/s, a0 = 1.000 m; con as ≈ 120 m &lt; a0 si ha vb = 25 m/s.</w:t>
      </w:r>
    </w:p>
    <w:p>
      <w:pPr>
        <w:pStyle w:val="ListParagraph"/>
      </w:pPr>
      <w:r>
        <w:t xml:space="preserve">•  </w:t>
      </w:r>
      <w:r>
        <w:t xml:space="preserve">Pressione cinetica di riferimento: qb = ½ × ρ × vb² = 0,5 × 1,25 × 25² = </w:t>
      </w:r>
      <w:r>
        <w:rPr>
          <w:b/>
        </w:rPr>
        <w:t xml:space="preserve">391 N/m²</w:t>
      </w:r>
      <w:r>
        <w:t xml:space="preserve">.</w:t>
      </w:r>
    </w:p>
    <w:p>
      <w:pPr>
        <w:pStyle w:val="ListParagraph"/>
      </w:pPr>
      <w:r>
        <w:t xml:space="preserve">•  </w:t>
      </w:r>
      <w:r>
        <w:t xml:space="preserve">Coefficiente di esposizione per categoria III (kr = 0,20; z0 = 0,10 m; zmin = 5 m), altezza della struttura inferiore a zmin: ce(zmin) = kr² × ct × ln(z/z0) × [7 + ct × ln(z/z0)] = 0,04 × 3,912 × 10,912 = </w:t>
      </w:r>
      <w:r>
        <w:rPr>
          <w:b/>
        </w:rPr>
        <w:t xml:space="preserve">1,71</w:t>
      </w:r>
      <w:r>
        <w:t xml:space="preserve">.</w:t>
      </w:r>
    </w:p>
    <w:p>
      <w:pPr>
        <w:pStyle w:val="ListParagraph"/>
      </w:pPr>
      <w:r>
        <w:t xml:space="preserve">•  </w:t>
      </w:r>
      <w:r>
        <w:t xml:space="preserve">Pressione di picco: qp = qb × ce = 391 × 1,71 ≈ </w:t>
      </w:r>
      <w:r>
        <w:rPr>
          <w:b/>
        </w:rPr>
        <w:t xml:space="preserve">667 N/m²</w:t>
      </w:r>
      <w:r>
        <w:t xml:space="preserve">.</w:t>
      </w:r>
    </w:p>
    <w:p>
      <w:pPr>
        <w:pStyle w:val="ListParagraph"/>
      </w:pPr>
      <w:r>
        <w:t xml:space="preserve">•  </w:t>
      </w:r>
      <w:r>
        <w:t xml:space="preserve">Le pressioni nette sui pannelli (coefficienti cp,net per tettoie isolate a una falda con 25° di inclinazione, CNR-DT 207 R1/2018 o prove in galleria del vento del costruttore) danno valori di progetto dell'ordine di ±0,8–1,5 kN/m² ai bordi </w:t>
      </w:r>
      <w:r>
        <w:rPr>
          <w:b/>
        </w:rPr>
        <w:t xml:space="preserve">[verifica preliminare: la classe di rugosità e la categoria di esposizione vanno confermate sul sito]</w:t>
      </w:r>
      <w:r>
        <w:t xml:space="preserve">.</w:t>
      </w:r>
    </w:p>
    <w:p>
      <w:pPr>
        <w:pStyle w:val="Normal"/>
      </w:pPr>
      <w:r>
        <w:rPr>
          <w:b/>
        </w:rPr>
        <w:t xml:space="preserve">Neve.</w:t>
      </w:r>
      <w:r>
        <w:t xml:space="preserve"> Provincia di Milano in zona I-Mediterranea: qsk = 1,50 kN/m² per as ≤ 200 m.</w:t>
      </w:r>
    </w:p>
    <w:p>
      <w:pPr>
        <w:pStyle w:val="ListParagraph"/>
      </w:pPr>
      <w:r>
        <w:t xml:space="preserve">•  </w:t>
      </w:r>
      <w:r>
        <w:t xml:space="preserve">Coefficiente di forma per falda a 25°: μ1 = 0,8.</w:t>
      </w:r>
    </w:p>
    <w:p>
      <w:pPr>
        <w:pStyle w:val="ListParagraph"/>
      </w:pPr>
      <w:r>
        <w:t xml:space="preserve">•  </w:t>
      </w:r>
      <w:r>
        <w:t xml:space="preserve">CE = 1, Ct = 1: qs = μ1 × qsk × CE × Ct = 0,8 × 1,50 = </w:t>
      </w:r>
      <w:r>
        <w:rPr>
          <w:b/>
        </w:rPr>
        <w:t xml:space="preserve">1,20 kN/m²</w:t>
      </w:r>
      <w:r>
        <w:t xml:space="preserve"> (proiezione orizzontale).</w:t>
      </w:r>
    </w:p>
    <w:p>
      <w:pPr>
        <w:pStyle w:val="Normal"/>
      </w:pPr>
      <w:r>
        <w:rPr>
          <w:b/>
        </w:rPr>
        <w:t xml:space="preserve">Peso proprio.</w:t>
      </w:r>
      <w:r>
        <w:t xml:space="preserve"> Moduli 12,2 kg/m² ≈ 0,12 kN/m², struttura ≈ 0,08–0,12 kN/m².</w:t>
      </w:r>
    </w:p>
    <w:p>
      <w:pPr>
        <w:pStyle w:val="Normal"/>
      </w:pPr>
      <w:r>
        <w:rPr>
          <w:b/>
        </w:rPr>
        <w:t xml:space="preserve">Sisma.</w:t>
      </w:r>
      <w:r>
        <w:t xml:space="preserve"> Zona 4, azioni sismiche non dimensionanti per strutture leggere [da verificare sulla zonazione vigente].</w:t>
      </w:r>
    </w:p>
    <w:p>
      <w:pPr>
        <w:pStyle w:val="Normal"/>
      </w:pPr>
      <w:r>
        <w:rPr>
          <w:b/>
        </w:rPr>
        <w:t xml:space="preserve">Combinazioni.</w:t>
      </w:r>
      <w:r>
        <w:t xml:space="preserve"> Combinazioni SLU/SLE secondo NTC 2018 § 2.5. La combinazione più gravosa per il palo è di solito il vento in depressione (sollevamento), che determina la lunghezza d'infissione.</w:t>
      </w:r>
    </w:p>
    <w:p>
      <w:pPr>
        <w:pStyle w:val="Heading2"/>
      </w:pPr>
      <w:r>
        <w:t xml:space="preserve">10.3 Viabilità, drenaggi, recinzione</w:t>
      </w:r>
    </w:p>
    <w:p>
      <w:pPr>
        <w:pStyle w:val="ListParagraph"/>
      </w:pPr>
      <w:r>
        <w:t xml:space="preserve">•  </w:t>
      </w:r>
      <w:r>
        <w:t xml:space="preserve">Viabilità interna in misto stabilizzato, larghezza 4 m, perimetrale e di accesso a cabine e area BESS, idonea ai mezzi VVF e di manutenzione.</w:t>
      </w:r>
    </w:p>
    <w:p>
      <w:pPr>
        <w:pStyle w:val="ListParagraph"/>
      </w:pPr>
      <w:r>
        <w:t xml:space="preserve">•  </w:t>
      </w:r>
      <w:r>
        <w:t xml:space="preserve">Cavidotti interrati in corrugato doppia parete, con pozzetti di ispezione ogni 30–50 m e ai cambi di direzione; nastro segnalatore.</w:t>
      </w:r>
    </w:p>
    <w:p>
      <w:pPr>
        <w:pStyle w:val="ListParagraph"/>
      </w:pPr>
      <w:r>
        <w:t xml:space="preserve">•  </w:t>
      </w:r>
      <w:r>
        <w:t xml:space="preserve">Drenaggi superficiali con fossi inerbiti. Invarianza idraulica secondo il regolamento regionale lombardo (R.R. 7/2017 e s.m.i.) [da verificare l'applicabilità al FV a terra su superficie permeabile]: il campo FV non impermeabilizza il suolo, mentre cabine, platee e viabilità in misto vanno contabilizzate.</w:t>
      </w:r>
    </w:p>
    <w:p>
      <w:pPr>
        <w:pStyle w:val="ListParagraph"/>
      </w:pPr>
      <w:r>
        <w:t xml:space="preserve">•  </w:t>
      </w:r>
      <w:r>
        <w:t xml:space="preserve">Recinzione metallica h = 2,0 m con sollevamento di 20 cm da terra per il passaggio della piccola fauna, mascheramento vegetale perimetrale, cancelli carrabili.</w:t>
      </w:r>
    </w:p>
    <w:p>
      <w:pPr>
        <w:pStyle w:val="ListParagraph"/>
      </w:pPr>
      <w:r>
        <w:t xml:space="preserve">•  </w:t>
      </w:r>
      <w:r>
        <w:t xml:space="preserve">Sistema antintrusione (barriere a infrarossi o cavo microfonico) e videosorveglianza con termocamere, collegati alla vigilanza.</w:t>
      </w:r>
    </w:p>
    <w:p>
      <w:pPr>
        <w:pStyle w:val="Normal"/>
        <w:pBdr>
          <w:bottom w:val="single" w:sz="6" w:space="1" w:color="A0A8AE"/>
        </w:pBdr>
      </w:pPr>
    </w:p>
    <w:p>
      <w:pPr>
        <w:pStyle w:val="Heading1"/>
      </w:pPr>
      <w:r>
        <w:t xml:space="preserve">11. Monitoraggio, SCADA, telecomunicazioni e misura</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602"/>
        <w:gridCol w:w="9036"/>
      </w:tblGrid>
      <w:tr>
        <w:trPr>
          <w:tblHeader/>
        </w:trPr>
        <w:tc>
          <w:tcPr>
            <w:tcW w:w="602" w:type="dxa"/>
            <w:shd w:val="clear" w:color="auto" w:fill="E3EAEC"/>
          </w:tcPr>
          <w:p>
            <w:pPr>
              <w:pStyle w:val="TableText"/>
            </w:pPr>
            <w:r>
              <w:rPr>
                <w:b/>
              </w:rPr>
              <w:t xml:space="preserve">Sottosistema</w:t>
            </w:r>
          </w:p>
        </w:tc>
        <w:tc>
          <w:tcPr>
            <w:tcW w:w="9036" w:type="dxa"/>
            <w:shd w:val="clear" w:color="auto" w:fill="E3EAEC"/>
          </w:tcPr>
          <w:p>
            <w:pPr>
              <w:pStyle w:val="TableText"/>
            </w:pPr>
            <w:r>
              <w:rPr>
                <w:b/>
              </w:rPr>
              <w:t xml:space="preserve">Descrizione</w:t>
            </w:r>
          </w:p>
        </w:tc>
      </w:tr>
      <w:tr>
        <w:tc>
          <w:tcPr>
            <w:tcW w:w="602" w:type="dxa"/>
          </w:tcPr>
          <w:p>
            <w:pPr>
              <w:pStyle w:val="TableText"/>
            </w:pPr>
            <w:r>
              <w:t xml:space="preserve">SCADA d'impianto</w:t>
            </w:r>
          </w:p>
        </w:tc>
        <w:tc>
          <w:tcPr>
            <w:tcW w:w="9036" w:type="dxa"/>
          </w:tcPr>
          <w:p>
            <w:pPr>
              <w:pStyle w:val="TableText"/>
            </w:pPr>
            <w:r>
              <w:t xml:space="preserve">Server in sala controllo (cabina FV) con HMI, storico dati ≥ 25 anni, interfaccia web, allarmi via e-mail/SMS</w:t>
            </w:r>
          </w:p>
        </w:tc>
      </w:tr>
      <w:tr>
        <w:tc>
          <w:tcPr>
            <w:tcW w:w="602" w:type="dxa"/>
          </w:tcPr>
          <w:p>
            <w:pPr>
              <w:pStyle w:val="TableText"/>
            </w:pPr>
            <w:r>
              <w:t xml:space="preserve">Acquisizione</w:t>
            </w:r>
          </w:p>
        </w:tc>
        <w:tc>
          <w:tcPr>
            <w:tcW w:w="9036" w:type="dxa"/>
          </w:tcPr>
          <w:p>
            <w:pPr>
              <w:pStyle w:val="TableText"/>
            </w:pPr>
            <w:r>
              <w:t xml:space="preserve">Inverter e PCS via Modbus TCP o SunSpec; relè di protezione via IEC 61850; contatori via Modbus/M-Bus</w:t>
            </w:r>
          </w:p>
        </w:tc>
      </w:tr>
      <w:tr>
        <w:tc>
          <w:tcPr>
            <w:tcW w:w="602" w:type="dxa"/>
          </w:tcPr>
          <w:p>
            <w:pPr>
              <w:pStyle w:val="TableText"/>
            </w:pPr>
            <w:r>
              <w:t xml:space="preserve">Stazione meteo</w:t>
            </w:r>
          </w:p>
        </w:tc>
        <w:tc>
          <w:tcPr>
            <w:tcW w:w="9036" w:type="dxa"/>
          </w:tcPr>
          <w:p>
            <w:pPr>
              <w:pStyle w:val="TableText"/>
            </w:pPr>
            <w:r>
              <w:t xml:space="preserve">2 piranometri di classe A (ISO 9060) sul piano dei moduli, 1 piranometro orizzontale, 1 albedometro (retro bifacciale), sonde di temperatura modulo (≥ 4), temperatura ambiente, vento</w:t>
            </w:r>
          </w:p>
        </w:tc>
      </w:tr>
      <w:tr>
        <w:tc>
          <w:tcPr>
            <w:tcW w:w="602" w:type="dxa"/>
          </w:tcPr>
          <w:p>
            <w:pPr>
              <w:pStyle w:val="TableText"/>
            </w:pPr>
            <w:r>
              <w:t xml:space="preserve">KPI calcolati</w:t>
            </w:r>
          </w:p>
        </w:tc>
        <w:tc>
          <w:tcPr>
            <w:tcW w:w="9036" w:type="dxa"/>
          </w:tcPr>
          <w:p>
            <w:pPr>
              <w:pStyle w:val="TableText"/>
            </w:pPr>
            <w:r>
              <w:t xml:space="preserve">PR corretto per la temperatura, disponibilità tecnica e contrattuale, energia, perdite per clipping e limitazione, SOC/SOH BESS, cicli</w:t>
            </w:r>
          </w:p>
        </w:tc>
      </w:tr>
      <w:tr>
        <w:tc>
          <w:tcPr>
            <w:tcW w:w="602" w:type="dxa"/>
          </w:tcPr>
          <w:p>
            <w:pPr>
              <w:pStyle w:val="TableText"/>
            </w:pPr>
            <w:r>
              <w:t xml:space="preserve">Rete di comunicazione</w:t>
            </w:r>
          </w:p>
        </w:tc>
        <w:tc>
          <w:tcPr>
            <w:tcW w:w="9036" w:type="dxa"/>
          </w:tcPr>
          <w:p>
            <w:pPr>
              <w:pStyle w:val="TableText"/>
            </w:pPr>
            <w:r>
              <w:t xml:space="preserve">anello in fibra ottica monomodale tra cabina, inverter (tramite smart logger) e area BESS; ridondanza su cabina utente</w:t>
            </w:r>
          </w:p>
        </w:tc>
      </w:tr>
      <w:tr>
        <w:tc>
          <w:tcPr>
            <w:tcW w:w="602" w:type="dxa"/>
          </w:tcPr>
          <w:p>
            <w:pPr>
              <w:pStyle w:val="TableText"/>
            </w:pPr>
            <w:r>
              <w:t xml:space="preserve">Telecontrollo</w:t>
            </w:r>
          </w:p>
        </w:tc>
        <w:tc>
          <w:tcPr>
            <w:tcW w:w="9036" w:type="dxa"/>
          </w:tcPr>
          <w:p>
            <w:pPr>
              <w:pStyle w:val="TableText"/>
            </w:pPr>
            <w:r>
              <w:t xml:space="preserve">collegamento con il distributore per teledistacco e regolazione (CCI); connessione con l'aggregatore se il BESS partecipa a MSD tramite UVA</w:t>
            </w:r>
          </w:p>
        </w:tc>
      </w:tr>
      <w:tr>
        <w:tc>
          <w:tcPr>
            <w:tcW w:w="602" w:type="dxa"/>
          </w:tcPr>
          <w:p>
            <w:pPr>
              <w:pStyle w:val="TableText"/>
            </w:pPr>
            <w:r>
              <w:t xml:space="preserve">Cybersecurity</w:t>
            </w:r>
          </w:p>
        </w:tc>
        <w:tc>
          <w:tcPr>
            <w:tcW w:w="9036" w:type="dxa"/>
          </w:tcPr>
          <w:p>
            <w:pPr>
              <w:pStyle w:val="TableText"/>
            </w:pPr>
            <w:r>
              <w:t xml:space="preserve">architettura a zone e condotti secondo IEC 62443 (zona OT separata dalla rete aziendale con firewall, accessi remoti tramite VPN con autenticazione a due fattori, gestione delle patch, registrazione degli accessi)</w:t>
            </w:r>
          </w:p>
        </w:tc>
      </w:tr>
      <w:tr>
        <w:tc>
          <w:tcPr>
            <w:tcW w:w="602" w:type="dxa"/>
          </w:tcPr>
          <w:p>
            <w:pPr>
              <w:pStyle w:val="TableText"/>
            </w:pPr>
            <w:r>
              <w:t xml:space="preserve">Misura</w:t>
            </w:r>
          </w:p>
        </w:tc>
        <w:tc>
          <w:tcPr>
            <w:tcW w:w="9036" w:type="dxa"/>
          </w:tcPr>
          <w:p>
            <w:pPr>
              <w:pStyle w:val="TableText"/>
            </w:pPr>
            <w:r>
              <w:t xml:space="preserve">M1 al punto di scambio (distributore); M2 della produzione FV ai fini GSE (RID/FER X) se richiesta; misure interne su BESS (energia caricata/scaricata) per il controllo delle prestazioni. Sotto il profilo fiscale (ADM) va verificato il regime di esenzione dell'energia autoconsumata e l'eventuale denuncia di officina elettrica [da verificare]</w:t>
            </w:r>
          </w:p>
        </w:tc>
      </w:tr>
    </w:tbl>
    <w:p>
      <w:pPr>
        <w:pStyle w:val="Normal"/>
        <w:spacing w:after="60"/>
      </w:pPr>
    </w:p>
    <w:p>
      <w:pPr>
        <w:pStyle w:val="Normal"/>
        <w:pBdr>
          <w:bottom w:val="single" w:sz="6" w:space="1" w:color="A0A8AE"/>
        </w:pBdr>
      </w:pPr>
    </w:p>
    <w:p>
      <w:pPr>
        <w:pStyle w:val="Heading1"/>
      </w:pPr>
      <w:r>
        <w:t xml:space="preserve">12. Prevenzione incendi e sicurezza</w:t>
      </w:r>
    </w:p>
    <w:p>
      <w:pPr>
        <w:pStyle w:val="Heading2"/>
      </w:pPr>
      <w:r>
        <w:t xml:space="preserve">12.1 Inquadramento rispetto al DPR 151/2011</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354"/>
        <w:gridCol w:w="2007"/>
        <w:gridCol w:w="6278"/>
      </w:tblGrid>
      <w:tr>
        <w:trPr>
          <w:tblHeader/>
        </w:trPr>
        <w:tc>
          <w:tcPr>
            <w:tcW w:w="1354" w:type="dxa"/>
            <w:shd w:val="clear" w:color="auto" w:fill="E3EAEC"/>
          </w:tcPr>
          <w:p>
            <w:pPr>
              <w:pStyle w:val="TableText"/>
            </w:pPr>
            <w:r>
              <w:rPr>
                <w:b/>
              </w:rPr>
              <w:t xml:space="preserve">Elemento</w:t>
            </w:r>
          </w:p>
        </w:tc>
        <w:tc>
          <w:tcPr>
            <w:tcW w:w="2007" w:type="dxa"/>
            <w:shd w:val="clear" w:color="auto" w:fill="E3EAEC"/>
          </w:tcPr>
          <w:p>
            <w:pPr>
              <w:pStyle w:val="TableText"/>
            </w:pPr>
            <w:r>
              <w:rPr>
                <w:b/>
              </w:rPr>
              <w:t xml:space="preserve">Possibile attività soggetta</w:t>
            </w:r>
          </w:p>
        </w:tc>
        <w:tc>
          <w:tcPr>
            <w:tcW w:w="6278" w:type="dxa"/>
            <w:shd w:val="clear" w:color="auto" w:fill="E3EAEC"/>
          </w:tcPr>
          <w:p>
            <w:pPr>
              <w:pStyle w:val="TableText"/>
            </w:pPr>
            <w:r>
              <w:rPr>
                <w:b/>
              </w:rPr>
              <w:t xml:space="preserve">Valutazione preliminare</w:t>
            </w:r>
          </w:p>
        </w:tc>
      </w:tr>
      <w:tr>
        <w:tc>
          <w:tcPr>
            <w:tcW w:w="1354" w:type="dxa"/>
          </w:tcPr>
          <w:p>
            <w:pPr>
              <w:pStyle w:val="TableText"/>
            </w:pPr>
            <w:r>
              <w:t xml:space="preserve">Trasformatore TR-FV 3.150 kVA in liquido isolante</w:t>
            </w:r>
          </w:p>
        </w:tc>
        <w:tc>
          <w:tcPr>
            <w:tcW w:w="2007" w:type="dxa"/>
          </w:tcPr>
          <w:p>
            <w:pPr>
              <w:pStyle w:val="TableText"/>
            </w:pPr>
            <w:r>
              <w:t xml:space="preserve">Attività 48 (macchine elettriche fisse con liquidi isolanti combustibili oltre 1 m³)</w:t>
            </w:r>
          </w:p>
        </w:tc>
        <w:tc>
          <w:tcPr>
            <w:tcW w:w="6278" w:type="dxa"/>
          </w:tcPr>
          <w:p>
            <w:pPr>
              <w:pStyle w:val="TableText"/>
            </w:pPr>
            <w:r>
              <w:t xml:space="preserve">Probabilmente soggetta se in olio. Con olio estere naturale vale la stessa regola sulla quantità; un trasformatore secco esclude l'attività [da verificare la quantità di liquido col costruttore]</w:t>
            </w:r>
          </w:p>
        </w:tc>
      </w:tr>
      <w:tr>
        <w:tc>
          <w:tcPr>
            <w:tcW w:w="1354" w:type="dxa"/>
          </w:tcPr>
          <w:p>
            <w:pPr>
              <w:pStyle w:val="TableText"/>
            </w:pPr>
            <w:r>
              <w:t xml:space="preserve">Trasformatore TR-BESS 1.250 kVA</w:t>
            </w:r>
          </w:p>
        </w:tc>
        <w:tc>
          <w:tcPr>
            <w:tcW w:w="2007" w:type="dxa"/>
          </w:tcPr>
          <w:p>
            <w:pPr>
              <w:pStyle w:val="TableText"/>
            </w:pPr>
            <w:r>
              <w:t xml:space="preserve">Attività 48 se il liquido supera 1 m³</w:t>
            </w:r>
          </w:p>
        </w:tc>
        <w:tc>
          <w:tcPr>
            <w:tcW w:w="6278" w:type="dxa"/>
          </w:tcPr>
          <w:p>
            <w:pPr>
              <w:pStyle w:val="TableText"/>
            </w:pPr>
            <w:r>
              <w:t xml:space="preserve">Di norma sotto la soglia [da verificare]</w:t>
            </w:r>
          </w:p>
        </w:tc>
      </w:tr>
      <w:tr>
        <w:tc>
          <w:tcPr>
            <w:tcW w:w="1354" w:type="dxa"/>
          </w:tcPr>
          <w:p>
            <w:pPr>
              <w:pStyle w:val="TableText"/>
            </w:pPr>
            <w:r>
              <w:t xml:space="preserve">Campo FV a terra</w:t>
            </w:r>
          </w:p>
        </w:tc>
        <w:tc>
          <w:tcPr>
            <w:tcW w:w="2007" w:type="dxa"/>
          </w:tcPr>
          <w:p>
            <w:pPr>
              <w:pStyle w:val="TableText"/>
            </w:pPr>
            <w:r>
              <w:t xml:space="preserve">Non è un'attività soggetta in sé</w:t>
            </w:r>
          </w:p>
        </w:tc>
        <w:tc>
          <w:tcPr>
            <w:tcW w:w="6278" w:type="dxa"/>
          </w:tcPr>
          <w:p>
            <w:pPr>
              <w:pStyle w:val="TableText"/>
            </w:pPr>
            <w:r>
              <w:t xml:space="preserve">Si applica la guida VVF 2012 per l'interferenza con le attività soggette dello stabilimento, se il campo è vicino a edifici soggetti</w:t>
            </w:r>
          </w:p>
        </w:tc>
      </w:tr>
      <w:tr>
        <w:tc>
          <w:tcPr>
            <w:tcW w:w="1354" w:type="dxa"/>
          </w:tcPr>
          <w:p>
            <w:pPr>
              <w:pStyle w:val="TableText"/>
            </w:pPr>
            <w:r>
              <w:t xml:space="preserve">BESS</w:t>
            </w:r>
          </w:p>
        </w:tc>
        <w:tc>
          <w:tcPr>
            <w:tcW w:w="2007" w:type="dxa"/>
          </w:tcPr>
          <w:p>
            <w:pPr>
              <w:pStyle w:val="TableText"/>
            </w:pPr>
            <w:r>
              <w:t xml:space="preserve">Non è elencato esplicitamente nell'allegato I del DPR 151/2011</w:t>
            </w:r>
          </w:p>
        </w:tc>
        <w:tc>
          <w:tcPr>
            <w:tcW w:w="6278" w:type="dxa"/>
          </w:tcPr>
          <w:p>
            <w:pPr>
              <w:pStyle w:val="TableText"/>
            </w:pPr>
            <w:r>
              <w:t xml:space="preserve">Va fatta una valutazione del rischio secondo il Codice di prevenzione incendi (DM 03/08/2015) e, se lo stabilimento è già soggetto, un aggiornamento della SCIA o una valutazione di progetto. Conviene un confronto preventivo col Comando provinciale VVF [da verificare]</w:t>
            </w:r>
          </w:p>
        </w:tc>
      </w:tr>
      <w:tr>
        <w:tc>
          <w:tcPr>
            <w:tcW w:w="1354" w:type="dxa"/>
          </w:tcPr>
          <w:p>
            <w:pPr>
              <w:pStyle w:val="TableText"/>
            </w:pPr>
            <w:r>
              <w:t xml:space="preserve">Gruppo elettrogeno (se previsto per i servizi ausiliari)</w:t>
            </w:r>
          </w:p>
        </w:tc>
        <w:tc>
          <w:tcPr>
            <w:tcW w:w="2007" w:type="dxa"/>
          </w:tcPr>
          <w:p>
            <w:pPr>
              <w:pStyle w:val="TableText"/>
            </w:pPr>
            <w:r>
              <w:t xml:space="preserve">Attività 49 se oltre 25 kW</w:t>
            </w:r>
          </w:p>
        </w:tc>
        <w:tc>
          <w:tcPr>
            <w:tcW w:w="6278" w:type="dxa"/>
          </w:tcPr>
          <w:p>
            <w:pPr>
              <w:pStyle w:val="TableText"/>
            </w:pPr>
            <w:r>
              <w:t xml:space="preserve">Non previsto</w:t>
            </w:r>
          </w:p>
        </w:tc>
      </w:tr>
    </w:tbl>
    <w:p>
      <w:pPr>
        <w:pStyle w:val="Normal"/>
        <w:spacing w:after="60"/>
      </w:pPr>
    </w:p>
    <w:p>
      <w:pPr>
        <w:pStyle w:val="Heading2"/>
      </w:pPr>
      <w:r>
        <w:t xml:space="preserve">12.2 Misure generali</w:t>
      </w:r>
    </w:p>
    <w:p>
      <w:pPr>
        <w:pStyle w:val="ListParagraph"/>
      </w:pPr>
      <w:r>
        <w:t xml:space="preserve">•  </w:t>
      </w:r>
      <w:r>
        <w:t xml:space="preserve">Distanze di sicurezza tra trasformatori in olio, area BESS, edifici e depositi dello stabilimento, oppure separazioni REI.</w:t>
      </w:r>
    </w:p>
    <w:p>
      <w:pPr>
        <w:pStyle w:val="ListParagraph"/>
      </w:pPr>
      <w:r>
        <w:t xml:space="preserve">•  </w:t>
      </w:r>
      <w:r>
        <w:t xml:space="preserve">Vasca di raccolta dell'olio sotto i trasformatori in liquido, dimensionata sull'intero volume.</w:t>
      </w:r>
    </w:p>
    <w:p>
      <w:pPr>
        <w:pStyle w:val="ListParagraph"/>
      </w:pPr>
      <w:r>
        <w:t xml:space="preserve">•  </w:t>
      </w:r>
      <w:r>
        <w:t xml:space="preserve">Estintori portatili a CO₂ in cabina; segnaletica di sicurezza (rischio elettrico, presenza di tensione DC anche a interruttori aperti).</w:t>
      </w:r>
    </w:p>
    <w:p>
      <w:pPr>
        <w:pStyle w:val="ListParagraph"/>
      </w:pPr>
      <w:r>
        <w:t xml:space="preserve">•  </w:t>
      </w:r>
      <w:r>
        <w:t xml:space="preserve">Sgancio di emergenza dell'impianto FV dal fronte di accesso, secondo la guida VVF 2012 (comando dei DDI e degli interruttori BT).</w:t>
      </w:r>
    </w:p>
    <w:p>
      <w:pPr>
        <w:pStyle w:val="ListParagraph"/>
      </w:pPr>
      <w:r>
        <w:t xml:space="preserve">•  </w:t>
      </w:r>
      <w:r>
        <w:t xml:space="preserve">Piano di emergenza aggiornato, formazione degli addetti e informazione alle squadre di soccorso.</w:t>
      </w:r>
    </w:p>
    <w:p>
      <w:pPr>
        <w:pStyle w:val="Heading2"/>
      </w:pPr>
      <w:r>
        <w:t xml:space="preserve">12.3 Sicurezza in cantiere e in esercizio</w:t>
      </w:r>
    </w:p>
    <w:p>
      <w:pPr>
        <w:pStyle w:val="ListParagraph"/>
      </w:pPr>
      <w:r>
        <w:t xml:space="preserve">•  </w:t>
      </w:r>
      <w:r>
        <w:t xml:space="preserve">PSC e fascicolo dell'opera secondo DLgs 81/2008, Titolo IV.</w:t>
      </w:r>
    </w:p>
    <w:p>
      <w:pPr>
        <w:pStyle w:val="ListParagraph"/>
      </w:pPr>
      <w:r>
        <w:t xml:space="preserve">•  </w:t>
      </w:r>
      <w:r>
        <w:t xml:space="preserve">Lavori elettrici secondo CEI 11-27 (PES/PAV/PEI); procedure specifiche per lavori su parti DC in tensione e sulle batterie.</w:t>
      </w:r>
    </w:p>
    <w:p>
      <w:pPr>
        <w:pStyle w:val="ListParagraph"/>
      </w:pPr>
      <w:r>
        <w:t xml:space="preserve">•  </w:t>
      </w:r>
      <w:r>
        <w:t xml:space="preserve">Valutazione del rischio di arco elettrico sui quadri BT ad alta corrente di cortocircuito (circa 40 kA a 800 V).</w:t>
      </w:r>
    </w:p>
    <w:p>
      <w:pPr>
        <w:pStyle w:val="Normal"/>
        <w:pBdr>
          <w:bottom w:val="single" w:sz="6" w:space="1" w:color="A0A8AE"/>
        </w:pBdr>
      </w:pPr>
    </w:p>
    <w:p>
      <w:pPr>
        <w:pStyle w:val="Heading1"/>
      </w:pPr>
      <w:r>
        <w:t xml:space="preserve">13. Iter autorizzativo e connessione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700"/>
        <w:gridCol w:w="7021"/>
        <w:gridCol w:w="1917"/>
      </w:tblGrid>
      <w:tr>
        <w:trPr>
          <w:tblHeader/>
        </w:trPr>
        <w:tc>
          <w:tcPr>
            <w:tcW w:w="700" w:type="dxa"/>
            <w:shd w:val="clear" w:color="auto" w:fill="E3EAEC"/>
          </w:tcPr>
          <w:p>
            <w:pPr>
              <w:pStyle w:val="TableText"/>
            </w:pPr>
            <w:r>
              <w:rPr>
                <w:b/>
              </w:rPr>
              <w:t xml:space="preserve">Fase</w:t>
            </w:r>
          </w:p>
        </w:tc>
        <w:tc>
          <w:tcPr>
            <w:tcW w:w="7021" w:type="dxa"/>
            <w:shd w:val="clear" w:color="auto" w:fill="E3EAEC"/>
          </w:tcPr>
          <w:p>
            <w:pPr>
              <w:pStyle w:val="TableText"/>
            </w:pPr>
            <w:r>
              <w:rPr>
                <w:b/>
              </w:rPr>
              <w:t xml:space="preserve">Contenuto</w:t>
            </w:r>
          </w:p>
        </w:tc>
        <w:tc>
          <w:tcPr>
            <w:tcW w:w="1917" w:type="dxa"/>
            <w:shd w:val="clear" w:color="auto" w:fill="E3EAEC"/>
          </w:tcPr>
          <w:p>
            <w:pPr>
              <w:pStyle w:val="TableText"/>
            </w:pPr>
            <w:r>
              <w:rPr>
                <w:b/>
              </w:rPr>
              <w:t xml:space="preserve">Riferimento</w:t>
            </w:r>
          </w:p>
        </w:tc>
      </w:tr>
      <w:tr>
        <w:tc>
          <w:tcPr>
            <w:tcW w:w="700" w:type="dxa"/>
          </w:tcPr>
          <w:p>
            <w:pPr>
              <w:pStyle w:val="TableText"/>
            </w:pPr>
            <w:r>
              <w:t xml:space="preserve">Inquadramento urbanistico</w:t>
            </w:r>
          </w:p>
        </w:tc>
        <w:tc>
          <w:tcPr>
            <w:tcW w:w="7021" w:type="dxa"/>
          </w:tcPr>
          <w:p>
            <w:pPr>
              <w:pStyle w:val="TableText"/>
            </w:pPr>
            <w:r>
              <w:t xml:space="preserve">Verifica di area idonea (aree industriali, aree di pertinenza dello stabilimento, aree entro una certa distanza da insediamenti produttivi), vincoli paesaggistici e ambientali</w:t>
            </w:r>
          </w:p>
        </w:tc>
        <w:tc>
          <w:tcPr>
            <w:tcW w:w="1917" w:type="dxa"/>
          </w:tcPr>
          <w:p>
            <w:pPr>
              <w:pStyle w:val="TableText"/>
            </w:pPr>
            <w:r>
              <w:t xml:space="preserve">DLgs 190/2024 e s.m.i.; dettagli in </w:t>
            </w:r>
            <w:r>
              <w:rPr>
                <w:rFonts w:ascii="Consolas" w:hAnsi="Consolas" w:cs="Consolas"/>
              </w:rPr>
              <w:t xml:space="preserve">03_Contributi_Incentivi_UE_IT.md</w:t>
            </w:r>
            <w:r>
              <w:t xml:space="preserve"> § 6</w:t>
            </w:r>
          </w:p>
        </w:tc>
      </w:tr>
      <w:tr>
        <w:tc>
          <w:tcPr>
            <w:tcW w:w="700" w:type="dxa"/>
          </w:tcPr>
          <w:p>
            <w:pPr>
              <w:pStyle w:val="TableText"/>
            </w:pPr>
            <w:r>
              <w:t xml:space="preserve">Titolo abilitativo</w:t>
            </w:r>
          </w:p>
        </w:tc>
        <w:tc>
          <w:tcPr>
            <w:tcW w:w="7021" w:type="dxa"/>
          </w:tcPr>
          <w:p>
            <w:pPr>
              <w:pStyle w:val="TableText"/>
            </w:pPr>
            <w:r>
              <w:t xml:space="preserve">Per FV a terra in area idonea industriale di questa taglia di norma PAS (procedura abilitativa semplificata) o regime di edilizia libera secondo le soglie del Testo unico FER; il BESS asservito segue di norma il regime dell'impianto FV [da verificare le soglie vigenti]</w:t>
            </w:r>
          </w:p>
        </w:tc>
        <w:tc>
          <w:tcPr>
            <w:tcW w:w="1917" w:type="dxa"/>
          </w:tcPr>
          <w:p>
            <w:pPr>
              <w:pStyle w:val="TableText"/>
            </w:pPr>
            <w:r>
              <w:t xml:space="preserve">DLgs 190/2024, allegati A/B/C</w:t>
            </w:r>
          </w:p>
        </w:tc>
      </w:tr>
      <w:tr>
        <w:tc>
          <w:tcPr>
            <w:tcW w:w="700" w:type="dxa"/>
          </w:tcPr>
          <w:p>
            <w:pPr>
              <w:pStyle w:val="TableText"/>
            </w:pPr>
            <w:r>
              <w:t xml:space="preserve">Connessione</w:t>
            </w:r>
          </w:p>
        </w:tc>
        <w:tc>
          <w:tcPr>
            <w:tcW w:w="7021" w:type="dxa"/>
          </w:tcPr>
          <w:p>
            <w:pPr>
              <w:pStyle w:val="TableText"/>
            </w:pPr>
            <w:r>
              <w:t xml:space="preserve">Domanda di modifica della connessione esistente (utente attivo, nuova potenza in immissione 3.000 kW) al distributore secondo il TICA: preventivo (STMG/STMD), accettazione, realizzazione degli impianti di utenza per la connessione, regolamento di esercizio</w:t>
            </w:r>
          </w:p>
        </w:tc>
        <w:tc>
          <w:tcPr>
            <w:tcW w:w="1917" w:type="dxa"/>
          </w:tcPr>
          <w:p>
            <w:pPr>
              <w:pStyle w:val="TableText"/>
            </w:pPr>
            <w:r>
              <w:t xml:space="preserve">Delibera ARERA TICA e s.m.i.</w:t>
            </w:r>
          </w:p>
        </w:tc>
      </w:tr>
      <w:tr>
        <w:tc>
          <w:tcPr>
            <w:tcW w:w="700" w:type="dxa"/>
          </w:tcPr>
          <w:p>
            <w:pPr>
              <w:pStyle w:val="TableText"/>
            </w:pPr>
            <w:r>
              <w:t xml:space="preserve">Registrazione</w:t>
            </w:r>
          </w:p>
        </w:tc>
        <w:tc>
          <w:tcPr>
            <w:tcW w:w="7021" w:type="dxa"/>
          </w:tcPr>
          <w:p>
            <w:pPr>
              <w:pStyle w:val="TableText"/>
            </w:pPr>
            <w:r>
              <w:t xml:space="preserve">Registrazione dell'impianto su GAUDÌ (Terna) per FV e BESS</w:t>
            </w:r>
          </w:p>
        </w:tc>
        <w:tc>
          <w:tcPr>
            <w:tcW w:w="1917" w:type="dxa"/>
          </w:tcPr>
          <w:p>
            <w:pPr>
              <w:pStyle w:val="TableText"/>
            </w:pPr>
            <w:r>
              <w:t xml:space="preserve"/>
            </w:r>
          </w:p>
        </w:tc>
      </w:tr>
      <w:tr>
        <w:tc>
          <w:tcPr>
            <w:tcW w:w="700" w:type="dxa"/>
          </w:tcPr>
          <w:p>
            <w:pPr>
              <w:pStyle w:val="TableText"/>
            </w:pPr>
            <w:r>
              <w:t xml:space="preserve">Regime commerciale</w:t>
            </w:r>
          </w:p>
        </w:tc>
        <w:tc>
          <w:tcPr>
            <w:tcW w:w="7021" w:type="dxa"/>
          </w:tcPr>
          <w:p>
            <w:pPr>
              <w:pStyle w:val="TableText"/>
            </w:pPr>
            <w:r>
              <w:t xml:space="preserve">RID per l'energia immessa, oppure FER X (energia immessa) se conveniente; contratto di dispacciamento</w:t>
            </w:r>
          </w:p>
        </w:tc>
        <w:tc>
          <w:tcPr>
            <w:tcW w:w="1917" w:type="dxa"/>
          </w:tcPr>
          <w:p>
            <w:pPr>
              <w:pStyle w:val="TableText"/>
            </w:pPr>
            <w:r>
              <w:t xml:space="preserve">GSE</w:t>
            </w:r>
          </w:p>
        </w:tc>
      </w:tr>
      <w:tr>
        <w:tc>
          <w:tcPr>
            <w:tcW w:w="700" w:type="dxa"/>
          </w:tcPr>
          <w:p>
            <w:pPr>
              <w:pStyle w:val="TableText"/>
            </w:pPr>
            <w:r>
              <w:t xml:space="preserve">Prevenzione incendi</w:t>
            </w:r>
          </w:p>
        </w:tc>
        <w:tc>
          <w:tcPr>
            <w:tcW w:w="7021" w:type="dxa"/>
          </w:tcPr>
          <w:p>
            <w:pPr>
              <w:pStyle w:val="TableText"/>
            </w:pPr>
            <w:r>
              <w:t xml:space="preserve">Valutazione del rischio, eventuale SCIA o valutazione del progetto (§ 12)</w:t>
            </w:r>
          </w:p>
        </w:tc>
        <w:tc>
          <w:tcPr>
            <w:tcW w:w="1917" w:type="dxa"/>
          </w:tcPr>
          <w:p>
            <w:pPr>
              <w:pStyle w:val="TableText"/>
            </w:pPr>
            <w:r>
              <w:t xml:space="preserve">DPR 151/2011</w:t>
            </w:r>
          </w:p>
        </w:tc>
      </w:tr>
      <w:tr>
        <w:tc>
          <w:tcPr>
            <w:tcW w:w="700" w:type="dxa"/>
          </w:tcPr>
          <w:p>
            <w:pPr>
              <w:pStyle w:val="TableText"/>
            </w:pPr>
            <w:r>
              <w:t xml:space="preserve">Fiscale (ADM)</w:t>
            </w:r>
          </w:p>
        </w:tc>
        <w:tc>
          <w:tcPr>
            <w:tcW w:w="7021" w:type="dxa"/>
          </w:tcPr>
          <w:p>
            <w:pPr>
              <w:pStyle w:val="TableText"/>
            </w:pPr>
            <w:r>
              <w:t xml:space="preserve">Verifica del regime per l'autoconsumo e la produzione; eventuale licenza di officina elettrica</w:t>
            </w:r>
          </w:p>
        </w:tc>
        <w:tc>
          <w:tcPr>
            <w:tcW w:w="1917" w:type="dxa"/>
          </w:tcPr>
          <w:p>
            <w:pPr>
              <w:pStyle w:val="TableText"/>
            </w:pPr>
            <w:r>
              <w:t xml:space="preserve">DLgs 504/1995 (TUA) [da verificare]</w:t>
            </w:r>
          </w:p>
        </w:tc>
      </w:tr>
      <w:tr>
        <w:tc>
          <w:tcPr>
            <w:tcW w:w="700" w:type="dxa"/>
          </w:tcPr>
          <w:p>
            <w:pPr>
              <w:pStyle w:val="TableText"/>
            </w:pPr>
            <w:r>
              <w:t xml:space="preserve">Incentivi</w:t>
            </w:r>
          </w:p>
        </w:tc>
        <w:tc>
          <w:tcPr>
            <w:tcW w:w="7021" w:type="dxa"/>
          </w:tcPr>
          <w:p>
            <w:pPr>
              <w:pStyle w:val="TableText"/>
            </w:pPr>
            <w:r>
              <w:t xml:space="preserve">Requisiti tecnici e documentali (es. moduli ENEA B/C e perizia per l'iper-ammortamento)</w:t>
            </w:r>
          </w:p>
        </w:tc>
        <w:tc>
          <w:tcPr>
            <w:tcW w:w="1917" w:type="dxa"/>
          </w:tcPr>
          <w:p>
            <w:pPr>
              <w:pStyle w:val="TableText"/>
            </w:pPr>
            <w:r>
              <w:rPr>
                <w:rFonts w:ascii="Consolas" w:hAnsi="Consolas" w:cs="Consolas"/>
              </w:rPr>
              <w:t xml:space="preserve">03_Contributi_Incentivi_UE_IT.md</w:t>
            </w:r>
          </w:p>
        </w:tc>
      </w:tr>
    </w:tbl>
    <w:p>
      <w:pPr>
        <w:pStyle w:val="Normal"/>
        <w:spacing w:after="60"/>
      </w:pPr>
    </w:p>
    <w:p>
      <w:pPr>
        <w:pStyle w:val="Normal"/>
        <w:pBdr>
          <w:bottom w:val="single" w:sz="6" w:space="1" w:color="A0A8AE"/>
        </w:pBdr>
      </w:pPr>
    </w:p>
    <w:p>
      <w:pPr>
        <w:pStyle w:val="Heading1"/>
      </w:pPr>
      <w:r>
        <w:t xml:space="preserve">14. Collaudi e messa in servizio</w:t>
      </w:r>
    </w:p>
    <w:p>
      <w:pPr>
        <w:pStyle w:val="Heading2"/>
      </w:pPr>
      <w:r>
        <w:t xml:space="preserve">14.1 Fornitura in fabbrica (FAT)</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946"/>
        <w:gridCol w:w="8692"/>
      </w:tblGrid>
      <w:tr>
        <w:trPr>
          <w:tblHeader/>
        </w:trPr>
        <w:tc>
          <w:tcPr>
            <w:tcW w:w="946" w:type="dxa"/>
            <w:shd w:val="clear" w:color="auto" w:fill="E3EAEC"/>
          </w:tcPr>
          <w:p>
            <w:pPr>
              <w:pStyle w:val="TableText"/>
            </w:pPr>
            <w:r>
              <w:rPr>
                <w:b/>
              </w:rPr>
              <w:t xml:space="preserve">Componente</w:t>
            </w:r>
          </w:p>
        </w:tc>
        <w:tc>
          <w:tcPr>
            <w:tcW w:w="8692" w:type="dxa"/>
            <w:shd w:val="clear" w:color="auto" w:fill="E3EAEC"/>
          </w:tcPr>
          <w:p>
            <w:pPr>
              <w:pStyle w:val="TableText"/>
            </w:pPr>
            <w:r>
              <w:rPr>
                <w:b/>
              </w:rPr>
              <w:t xml:space="preserve">Prove</w:t>
            </w:r>
          </w:p>
        </w:tc>
      </w:tr>
      <w:tr>
        <w:tc>
          <w:tcPr>
            <w:tcW w:w="946" w:type="dxa"/>
          </w:tcPr>
          <w:p>
            <w:pPr>
              <w:pStyle w:val="TableText"/>
            </w:pPr>
            <w:r>
              <w:t xml:space="preserve">Moduli</w:t>
            </w:r>
          </w:p>
        </w:tc>
        <w:tc>
          <w:tcPr>
            <w:tcW w:w="8692" w:type="dxa"/>
          </w:tcPr>
          <w:p>
            <w:pPr>
              <w:pStyle w:val="TableText"/>
            </w:pPr>
            <w:r>
              <w:t xml:space="preserve">Flash test con report per numero di serie, elettroluminescenza (EL) a campione, verifica delle tolleranze di potenza; ispezione di pre-spedizione</w:t>
            </w:r>
          </w:p>
        </w:tc>
      </w:tr>
      <w:tr>
        <w:tc>
          <w:tcPr>
            <w:tcW w:w="946" w:type="dxa"/>
          </w:tcPr>
          <w:p>
            <w:pPr>
              <w:pStyle w:val="TableText"/>
            </w:pPr>
            <w:r>
              <w:t xml:space="preserve">Inverter / PCS</w:t>
            </w:r>
          </w:p>
        </w:tc>
        <w:tc>
          <w:tcPr>
            <w:tcW w:w="8692" w:type="dxa"/>
          </w:tcPr>
          <w:p>
            <w:pPr>
              <w:pStyle w:val="TableText"/>
            </w:pPr>
            <w:r>
              <w:t xml:space="preserve">Prove di tipo e certificati CEI 0-16 (allegato prove dei convertitori); FAT a campione</w:t>
            </w:r>
          </w:p>
        </w:tc>
      </w:tr>
      <w:tr>
        <w:tc>
          <w:tcPr>
            <w:tcW w:w="946" w:type="dxa"/>
          </w:tcPr>
          <w:p>
            <w:pPr>
              <w:pStyle w:val="TableText"/>
            </w:pPr>
            <w:r>
              <w:t xml:space="preserve">Trasformatori</w:t>
            </w:r>
          </w:p>
        </w:tc>
        <w:tc>
          <w:tcPr>
            <w:tcW w:w="8692" w:type="dxa"/>
          </w:tcPr>
          <w:p>
            <w:pPr>
              <w:pStyle w:val="TableText"/>
            </w:pPr>
            <w:r>
              <w:t xml:space="preserve">Prove di accettazione CEI EN 60076 (rapporto, perdite a vuoto e a carico, ucc, tensione applicata e indotta)</w:t>
            </w:r>
          </w:p>
        </w:tc>
      </w:tr>
      <w:tr>
        <w:tc>
          <w:tcPr>
            <w:tcW w:w="946" w:type="dxa"/>
          </w:tcPr>
          <w:p>
            <w:pPr>
              <w:pStyle w:val="TableText"/>
            </w:pPr>
            <w:r>
              <w:t xml:space="preserve">Quadri MT/BT</w:t>
            </w:r>
          </w:p>
        </w:tc>
        <w:tc>
          <w:tcPr>
            <w:tcW w:w="8692" w:type="dxa"/>
          </w:tcPr>
          <w:p>
            <w:pPr>
              <w:pStyle w:val="TableText"/>
            </w:pPr>
            <w:r>
              <w:t xml:space="preserve">Prove di accettazione secondo la norma di prodotto</w:t>
            </w:r>
          </w:p>
        </w:tc>
      </w:tr>
      <w:tr>
        <w:tc>
          <w:tcPr>
            <w:tcW w:w="946" w:type="dxa"/>
          </w:tcPr>
          <w:p>
            <w:pPr>
              <w:pStyle w:val="TableText"/>
            </w:pPr>
            <w:r>
              <w:t xml:space="preserve">BESS</w:t>
            </w:r>
          </w:p>
        </w:tc>
        <w:tc>
          <w:tcPr>
            <w:tcW w:w="8692" w:type="dxa"/>
          </w:tcPr>
          <w:p>
            <w:pPr>
              <w:pStyle w:val="TableText"/>
            </w:pPr>
            <w:r>
              <w:t xml:space="preserve">FAT secondo IEC 62933-2-1: capacità, RTE, risposta del PCS, funzioni BMS, rilevazione e spegnimento incendio, comunicazioni</w:t>
            </w:r>
          </w:p>
        </w:tc>
      </w:tr>
    </w:tbl>
    <w:p>
      <w:pPr>
        <w:pStyle w:val="Normal"/>
        <w:spacing w:after="60"/>
      </w:pPr>
    </w:p>
    <w:p>
      <w:pPr>
        <w:pStyle w:val="Heading2"/>
      </w:pPr>
      <w:r>
        <w:t xml:space="preserve">14.2 In sito (SAT e messa in servizio)</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702"/>
        <w:gridCol w:w="7533"/>
        <w:gridCol w:w="1403"/>
      </w:tblGrid>
      <w:tr>
        <w:trPr>
          <w:tblHeader/>
        </w:trPr>
        <w:tc>
          <w:tcPr>
            <w:tcW w:w="702" w:type="dxa"/>
            <w:shd w:val="clear" w:color="auto" w:fill="E3EAEC"/>
          </w:tcPr>
          <w:p>
            <w:pPr>
              <w:pStyle w:val="TableText"/>
            </w:pPr>
            <w:r>
              <w:rPr>
                <w:b/>
              </w:rPr>
              <w:t xml:space="preserve">Fase</w:t>
            </w:r>
          </w:p>
        </w:tc>
        <w:tc>
          <w:tcPr>
            <w:tcW w:w="7533" w:type="dxa"/>
            <w:shd w:val="clear" w:color="auto" w:fill="E3EAEC"/>
          </w:tcPr>
          <w:p>
            <w:pPr>
              <w:pStyle w:val="TableText"/>
            </w:pPr>
            <w:r>
              <w:rPr>
                <w:b/>
              </w:rPr>
              <w:t xml:space="preserve">Prove</w:t>
            </w:r>
          </w:p>
        </w:tc>
        <w:tc>
          <w:tcPr>
            <w:tcW w:w="1403" w:type="dxa"/>
            <w:shd w:val="clear" w:color="auto" w:fill="E3EAEC"/>
          </w:tcPr>
          <w:p>
            <w:pPr>
              <w:pStyle w:val="TableText"/>
            </w:pPr>
            <w:r>
              <w:rPr>
                <w:b/>
              </w:rPr>
              <w:t xml:space="preserve">Riferimento</w:t>
            </w:r>
          </w:p>
        </w:tc>
      </w:tr>
      <w:tr>
        <w:tc>
          <w:tcPr>
            <w:tcW w:w="702" w:type="dxa"/>
          </w:tcPr>
          <w:p>
            <w:pPr>
              <w:pStyle w:val="TableText"/>
            </w:pPr>
            <w:r>
              <w:t xml:space="preserve">Campo FV</w:t>
            </w:r>
          </w:p>
        </w:tc>
        <w:tc>
          <w:tcPr>
            <w:tcW w:w="7533" w:type="dxa"/>
          </w:tcPr>
          <w:p>
            <w:pPr>
              <w:pStyle w:val="TableText"/>
            </w:pPr>
            <w:r>
              <w:t xml:space="preserve">Continuità dei conduttori di protezione, polarità, Voc e Isc di stringa (confronto con valori attesi corretti per irraggiamento e temperatura), resistenza d'isolamento, curve I-V a campione, termografia</w:t>
            </w:r>
          </w:p>
        </w:tc>
        <w:tc>
          <w:tcPr>
            <w:tcW w:w="1403" w:type="dxa"/>
          </w:tcPr>
          <w:p>
            <w:pPr>
              <w:pStyle w:val="TableText"/>
            </w:pPr>
            <w:r>
              <w:t xml:space="preserve">CEI EN IEC 62446-1 (categoria 1 e 2)</w:t>
            </w:r>
          </w:p>
        </w:tc>
      </w:tr>
      <w:tr>
        <w:tc>
          <w:tcPr>
            <w:tcW w:w="702" w:type="dxa"/>
          </w:tcPr>
          <w:p>
            <w:pPr>
              <w:pStyle w:val="TableText"/>
            </w:pPr>
            <w:r>
              <w:t xml:space="preserve">Cavi MT</w:t>
            </w:r>
          </w:p>
        </w:tc>
        <w:tc>
          <w:tcPr>
            <w:tcW w:w="7533" w:type="dxa"/>
          </w:tcPr>
          <w:p>
            <w:pPr>
              <w:pStyle w:val="TableText"/>
            </w:pPr>
            <w:r>
              <w:t xml:space="preserve">Prove di tensione in c.a. a frequenza molto bassa (VLF) o c.a. dopo la posa, prova della guaina</w:t>
            </w:r>
          </w:p>
        </w:tc>
        <w:tc>
          <w:tcPr>
            <w:tcW w:w="1403" w:type="dxa"/>
          </w:tcPr>
          <w:p>
            <w:pPr>
              <w:pStyle w:val="TableText"/>
            </w:pPr>
            <w:r>
              <w:t xml:space="preserve">CEI 20-13 / IEC 60502</w:t>
            </w:r>
          </w:p>
        </w:tc>
      </w:tr>
      <w:tr>
        <w:tc>
          <w:tcPr>
            <w:tcW w:w="702" w:type="dxa"/>
          </w:tcPr>
          <w:p>
            <w:pPr>
              <w:pStyle w:val="TableText"/>
            </w:pPr>
            <w:r>
              <w:t xml:space="preserve">Impianto di terra</w:t>
            </w:r>
          </w:p>
        </w:tc>
        <w:tc>
          <w:tcPr>
            <w:tcW w:w="7533" w:type="dxa"/>
          </w:tcPr>
          <w:p>
            <w:pPr>
              <w:pStyle w:val="TableText"/>
            </w:pPr>
            <w:r>
              <w:t xml:space="preserve">Misura della resistenza di terra, tensioni di contatto e di passo</w:t>
            </w:r>
          </w:p>
        </w:tc>
        <w:tc>
          <w:tcPr>
            <w:tcW w:w="1403" w:type="dxa"/>
          </w:tcPr>
          <w:p>
            <w:pPr>
              <w:pStyle w:val="TableText"/>
            </w:pPr>
            <w:r>
              <w:t xml:space="preserve">CEI EN 50522</w:t>
            </w:r>
          </w:p>
        </w:tc>
      </w:tr>
      <w:tr>
        <w:tc>
          <w:tcPr>
            <w:tcW w:w="702" w:type="dxa"/>
          </w:tcPr>
          <w:p>
            <w:pPr>
              <w:pStyle w:val="TableText"/>
            </w:pPr>
            <w:r>
              <w:t xml:space="preserve">Protezioni</w:t>
            </w:r>
          </w:p>
        </w:tc>
        <w:tc>
          <w:tcPr>
            <w:tcW w:w="7533" w:type="dxa"/>
          </w:tcPr>
          <w:p>
            <w:pPr>
              <w:pStyle w:val="TableText"/>
            </w:pPr>
            <w:r>
              <w:t xml:space="preserve">Verifica del SPI con cassetta prova relè, prova del DDI e del rincalzo, verifica delle tarature del SPG</w:t>
            </w:r>
          </w:p>
        </w:tc>
        <w:tc>
          <w:tcPr>
            <w:tcW w:w="1403" w:type="dxa"/>
          </w:tcPr>
          <w:p>
            <w:pPr>
              <w:pStyle w:val="TableText"/>
            </w:pPr>
            <w:r>
              <w:t xml:space="preserve">CEI 0-16</w:t>
            </w:r>
          </w:p>
        </w:tc>
      </w:tr>
      <w:tr>
        <w:tc>
          <w:tcPr>
            <w:tcW w:w="702" w:type="dxa"/>
          </w:tcPr>
          <w:p>
            <w:pPr>
              <w:pStyle w:val="TableText"/>
            </w:pPr>
            <w:r>
              <w:t xml:space="preserve">CCI</w:t>
            </w:r>
          </w:p>
        </w:tc>
        <w:tc>
          <w:tcPr>
            <w:tcW w:w="7533" w:type="dxa"/>
          </w:tcPr>
          <w:p>
            <w:pPr>
              <w:pStyle w:val="TableText"/>
            </w:pPr>
            <w:r>
              <w:t xml:space="preserve">Prova della limitazione di immissione e della regolazione P/Q, prove con il distributore</w:t>
            </w:r>
          </w:p>
        </w:tc>
        <w:tc>
          <w:tcPr>
            <w:tcW w:w="1403" w:type="dxa"/>
          </w:tcPr>
          <w:p>
            <w:pPr>
              <w:pStyle w:val="TableText"/>
            </w:pPr>
            <w:r>
              <w:t xml:space="preserve">CEI 0-16</w:t>
            </w:r>
          </w:p>
        </w:tc>
      </w:tr>
      <w:tr>
        <w:tc>
          <w:tcPr>
            <w:tcW w:w="702" w:type="dxa"/>
          </w:tcPr>
          <w:p>
            <w:pPr>
              <w:pStyle w:val="TableText"/>
            </w:pPr>
            <w:r>
              <w:t xml:space="preserve">BESS</w:t>
            </w:r>
          </w:p>
        </w:tc>
        <w:tc>
          <w:tcPr>
            <w:tcW w:w="7533" w:type="dxa"/>
          </w:tcPr>
          <w:p>
            <w:pPr>
              <w:pStyle w:val="TableText"/>
            </w:pPr>
            <w:r>
              <w:t xml:space="preserve">SAT: capacità iniziale (prova di scarica a potenza nominale), RTE, tempi di risposta, logiche EMS, prove antincendio e di sgancio di emergenza</w:t>
            </w:r>
          </w:p>
        </w:tc>
        <w:tc>
          <w:tcPr>
            <w:tcW w:w="1403" w:type="dxa"/>
          </w:tcPr>
          <w:p>
            <w:pPr>
              <w:pStyle w:val="TableText"/>
            </w:pPr>
            <w:r>
              <w:t xml:space="preserve">IEC 62933-2-1</w:t>
            </w:r>
          </w:p>
        </w:tc>
      </w:tr>
      <w:tr>
        <w:tc>
          <w:tcPr>
            <w:tcW w:w="702" w:type="dxa"/>
          </w:tcPr>
          <w:p>
            <w:pPr>
              <w:pStyle w:val="TableText"/>
            </w:pPr>
            <w:r>
              <w:t xml:space="preserve">SCADA</w:t>
            </w:r>
          </w:p>
        </w:tc>
        <w:tc>
          <w:tcPr>
            <w:tcW w:w="7533" w:type="dxa"/>
          </w:tcPr>
          <w:p>
            <w:pPr>
              <w:pStyle w:val="TableText"/>
            </w:pPr>
            <w:r>
              <w:t xml:space="preserve">Prove punto-punto della lista I/O, allarmi, archiviazione</w:t>
            </w:r>
          </w:p>
        </w:tc>
        <w:tc>
          <w:tcPr>
            <w:tcW w:w="1403" w:type="dxa"/>
          </w:tcPr>
          <w:p>
            <w:pPr>
              <w:pStyle w:val="TableText"/>
            </w:pPr>
            <w:r>
              <w:t xml:space="preserve"/>
            </w:r>
          </w:p>
        </w:tc>
      </w:tr>
    </w:tbl>
    <w:p>
      <w:pPr>
        <w:pStyle w:val="Normal"/>
        <w:spacing w:after="60"/>
      </w:pPr>
    </w:p>
    <w:p>
      <w:pPr>
        <w:pStyle w:val="Heading2"/>
      </w:pPr>
      <w:r>
        <w:t xml:space="preserve">14.3 Prova prestazionale</w:t>
      </w:r>
    </w:p>
    <w:p>
      <w:pPr>
        <w:pStyle w:val="ListParagraph"/>
      </w:pPr>
      <w:r>
        <w:t xml:space="preserve">•  </w:t>
      </w:r>
      <w:r>
        <w:rPr>
          <w:b/>
        </w:rPr>
        <w:t xml:space="preserve">Test di PR</w:t>
      </w:r>
      <w:r>
        <w:t xml:space="preserve"> su 7–14 giorni consecutivi con irraggiamento sufficiente, PR corretto per la temperatura (metodo IEC 61724-1 / NREL) confrontato col PR garantito dall'EPC.</w:t>
      </w:r>
    </w:p>
    <w:p>
      <w:pPr>
        <w:pStyle w:val="ListParagraph"/>
      </w:pPr>
      <w:r>
        <w:t xml:space="preserve">•  </w:t>
      </w:r>
      <w:r>
        <w:rPr>
          <w:b/>
        </w:rPr>
        <w:t xml:space="preserve">Prova di disponibilità</w:t>
      </w:r>
      <w:r>
        <w:t xml:space="preserve"> e test di affidabilità di 72–240 h.</w:t>
      </w:r>
    </w:p>
    <w:p>
      <w:pPr>
        <w:pStyle w:val="ListParagraph"/>
      </w:pPr>
      <w:r>
        <w:t xml:space="preserve">•  </w:t>
      </w:r>
      <w:r>
        <w:rPr>
          <w:b/>
        </w:rPr>
        <w:t xml:space="preserve">Collaudo finale</w:t>
      </w:r>
      <w:r>
        <w:t xml:space="preserve"> dopo 12 o 24 mesi sul PR annuale garantito.</w:t>
      </w:r>
    </w:p>
    <w:p>
      <w:pPr>
        <w:pStyle w:val="Normal"/>
        <w:pBdr>
          <w:bottom w:val="single" w:sz="6" w:space="1" w:color="A0A8AE"/>
        </w:pBdr>
      </w:pPr>
    </w:p>
    <w:p>
      <w:pPr>
        <w:pStyle w:val="Heading1"/>
      </w:pPr>
      <w:r>
        <w:t xml:space="preserve">15. Piano di manutenzione</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3640"/>
        <w:gridCol w:w="1333"/>
        <w:gridCol w:w="4665"/>
      </w:tblGrid>
      <w:tr>
        <w:trPr>
          <w:tblHeader/>
        </w:trPr>
        <w:tc>
          <w:tcPr>
            <w:tcW w:w="3640" w:type="dxa"/>
            <w:shd w:val="clear" w:color="auto" w:fill="E3EAEC"/>
          </w:tcPr>
          <w:p>
            <w:pPr>
              <w:pStyle w:val="TableText"/>
            </w:pPr>
            <w:r>
              <w:rPr>
                <w:b/>
              </w:rPr>
              <w:t xml:space="preserve">Attività</w:t>
            </w:r>
          </w:p>
        </w:tc>
        <w:tc>
          <w:tcPr>
            <w:tcW w:w="1333" w:type="dxa"/>
            <w:shd w:val="clear" w:color="auto" w:fill="E3EAEC"/>
          </w:tcPr>
          <w:p>
            <w:pPr>
              <w:pStyle w:val="TableText"/>
            </w:pPr>
            <w:r>
              <w:rPr>
                <w:b/>
              </w:rPr>
              <w:t xml:space="preserve">Componente</w:t>
            </w:r>
          </w:p>
        </w:tc>
        <w:tc>
          <w:tcPr>
            <w:tcW w:w="4665" w:type="dxa"/>
            <w:shd w:val="clear" w:color="auto" w:fill="E3EAEC"/>
          </w:tcPr>
          <w:p>
            <w:pPr>
              <w:pStyle w:val="TableText"/>
            </w:pPr>
            <w:r>
              <w:rPr>
                <w:b/>
              </w:rPr>
              <w:t xml:space="preserve">Frequenza</w:t>
            </w:r>
          </w:p>
        </w:tc>
      </w:tr>
      <w:tr>
        <w:tc>
          <w:tcPr>
            <w:tcW w:w="3640" w:type="dxa"/>
          </w:tcPr>
          <w:p>
            <w:pPr>
              <w:pStyle w:val="TableText"/>
            </w:pPr>
            <w:r>
              <w:t xml:space="preserve">Ispezione visiva di moduli, strutture, cavi, cassette</w:t>
            </w:r>
          </w:p>
        </w:tc>
        <w:tc>
          <w:tcPr>
            <w:tcW w:w="1333" w:type="dxa"/>
          </w:tcPr>
          <w:p>
            <w:pPr>
              <w:pStyle w:val="TableText"/>
            </w:pPr>
            <w:r>
              <w:t xml:space="preserve">Campo FV</w:t>
            </w:r>
          </w:p>
        </w:tc>
        <w:tc>
          <w:tcPr>
            <w:tcW w:w="4665" w:type="dxa"/>
          </w:tcPr>
          <w:p>
            <w:pPr>
              <w:pStyle w:val="TableText"/>
            </w:pPr>
            <w:r>
              <w:t xml:space="preserve">semestrale</w:t>
            </w:r>
          </w:p>
        </w:tc>
      </w:tr>
      <w:tr>
        <w:tc>
          <w:tcPr>
            <w:tcW w:w="3640" w:type="dxa"/>
          </w:tcPr>
          <w:p>
            <w:pPr>
              <w:pStyle w:val="TableText"/>
            </w:pPr>
            <w:r>
              <w:t xml:space="preserve">Lavaggio dei moduli (acqua demineralizzata, senza detergenti)</w:t>
            </w:r>
          </w:p>
        </w:tc>
        <w:tc>
          <w:tcPr>
            <w:tcW w:w="1333" w:type="dxa"/>
          </w:tcPr>
          <w:p>
            <w:pPr>
              <w:pStyle w:val="TableText"/>
            </w:pPr>
            <w:r>
              <w:t xml:space="preserve">Campo FV</w:t>
            </w:r>
          </w:p>
        </w:tc>
        <w:tc>
          <w:tcPr>
            <w:tcW w:w="4665" w:type="dxa"/>
          </w:tcPr>
          <w:p>
            <w:pPr>
              <w:pStyle w:val="TableText"/>
            </w:pPr>
            <w:r>
              <w:t xml:space="preserve">2 volte/anno, più dopo eventi di polvere sahariana</w:t>
            </w:r>
          </w:p>
        </w:tc>
      </w:tr>
      <w:tr>
        <w:tc>
          <w:tcPr>
            <w:tcW w:w="3640" w:type="dxa"/>
          </w:tcPr>
          <w:p>
            <w:pPr>
              <w:pStyle w:val="TableText"/>
            </w:pPr>
            <w:r>
              <w:t xml:space="preserve">Termografia (anche da drone)</w:t>
            </w:r>
          </w:p>
        </w:tc>
        <w:tc>
          <w:tcPr>
            <w:tcW w:w="1333" w:type="dxa"/>
          </w:tcPr>
          <w:p>
            <w:pPr>
              <w:pStyle w:val="TableText"/>
            </w:pPr>
            <w:r>
              <w:t xml:space="preserve">Campo FV, quadri BT</w:t>
            </w:r>
          </w:p>
        </w:tc>
        <w:tc>
          <w:tcPr>
            <w:tcW w:w="4665" w:type="dxa"/>
          </w:tcPr>
          <w:p>
            <w:pPr>
              <w:pStyle w:val="TableText"/>
            </w:pPr>
            <w:r>
              <w:t xml:space="preserve">annuale</w:t>
            </w:r>
          </w:p>
        </w:tc>
      </w:tr>
      <w:tr>
        <w:tc>
          <w:tcPr>
            <w:tcW w:w="3640" w:type="dxa"/>
          </w:tcPr>
          <w:p>
            <w:pPr>
              <w:pStyle w:val="TableText"/>
            </w:pPr>
            <w:r>
              <w:t xml:space="preserve">Curve I-V a campione</w:t>
            </w:r>
          </w:p>
        </w:tc>
        <w:tc>
          <w:tcPr>
            <w:tcW w:w="1333" w:type="dxa"/>
          </w:tcPr>
          <w:p>
            <w:pPr>
              <w:pStyle w:val="TableText"/>
            </w:pPr>
            <w:r>
              <w:t xml:space="preserve">Stringhe</w:t>
            </w:r>
          </w:p>
        </w:tc>
        <w:tc>
          <w:tcPr>
            <w:tcW w:w="4665" w:type="dxa"/>
          </w:tcPr>
          <w:p>
            <w:pPr>
              <w:pStyle w:val="TableText"/>
            </w:pPr>
            <w:r>
              <w:t xml:space="preserve">ogni 2 anni o su anomalia di produzione</w:t>
            </w:r>
          </w:p>
        </w:tc>
      </w:tr>
      <w:tr>
        <w:tc>
          <w:tcPr>
            <w:tcW w:w="3640" w:type="dxa"/>
          </w:tcPr>
          <w:p>
            <w:pPr>
              <w:pStyle w:val="TableText"/>
            </w:pPr>
            <w:r>
              <w:t xml:space="preserve">Sfalcio dell'erba / pascolo</w:t>
            </w:r>
          </w:p>
        </w:tc>
        <w:tc>
          <w:tcPr>
            <w:tcW w:w="1333" w:type="dxa"/>
          </w:tcPr>
          <w:p>
            <w:pPr>
              <w:pStyle w:val="TableText"/>
            </w:pPr>
            <w:r>
              <w:t xml:space="preserve">Area FV</w:t>
            </w:r>
          </w:p>
        </w:tc>
        <w:tc>
          <w:tcPr>
            <w:tcW w:w="4665" w:type="dxa"/>
          </w:tcPr>
          <w:p>
            <w:pPr>
              <w:pStyle w:val="TableText"/>
            </w:pPr>
            <w:r>
              <w:t xml:space="preserve">3–5 volte/anno</w:t>
            </w:r>
          </w:p>
        </w:tc>
      </w:tr>
      <w:tr>
        <w:tc>
          <w:tcPr>
            <w:tcW w:w="3640" w:type="dxa"/>
          </w:tcPr>
          <w:p>
            <w:pPr>
              <w:pStyle w:val="TableText"/>
            </w:pPr>
            <w:r>
              <w:t xml:space="preserve">Controllo del serraggio e della corrosione</w:t>
            </w:r>
          </w:p>
        </w:tc>
        <w:tc>
          <w:tcPr>
            <w:tcW w:w="1333" w:type="dxa"/>
          </w:tcPr>
          <w:p>
            <w:pPr>
              <w:pStyle w:val="TableText"/>
            </w:pPr>
            <w:r>
              <w:t xml:space="preserve">Strutture, morsetti</w:t>
            </w:r>
          </w:p>
        </w:tc>
        <w:tc>
          <w:tcPr>
            <w:tcW w:w="4665" w:type="dxa"/>
          </w:tcPr>
          <w:p>
            <w:pPr>
              <w:pStyle w:val="TableText"/>
            </w:pPr>
            <w:r>
              <w:t xml:space="preserve">annuale (serraggio a campione)</w:t>
            </w:r>
          </w:p>
        </w:tc>
      </w:tr>
      <w:tr>
        <w:tc>
          <w:tcPr>
            <w:tcW w:w="3640" w:type="dxa"/>
          </w:tcPr>
          <w:p>
            <w:pPr>
              <w:pStyle w:val="TableText"/>
            </w:pPr>
            <w:r>
              <w:t xml:space="preserve">Pulizia filtri, ventole, verifica allarmi, aggiornamento firmware</w:t>
            </w:r>
          </w:p>
        </w:tc>
        <w:tc>
          <w:tcPr>
            <w:tcW w:w="1333" w:type="dxa"/>
          </w:tcPr>
          <w:p>
            <w:pPr>
              <w:pStyle w:val="TableText"/>
            </w:pPr>
            <w:r>
              <w:t xml:space="preserve">Inverter</w:t>
            </w:r>
          </w:p>
        </w:tc>
        <w:tc>
          <w:tcPr>
            <w:tcW w:w="4665" w:type="dxa"/>
          </w:tcPr>
          <w:p>
            <w:pPr>
              <w:pStyle w:val="TableText"/>
            </w:pPr>
            <w:r>
              <w:t xml:space="preserve">annuale</w:t>
            </w:r>
          </w:p>
        </w:tc>
      </w:tr>
      <w:tr>
        <w:tc>
          <w:tcPr>
            <w:tcW w:w="3640" w:type="dxa"/>
          </w:tcPr>
          <w:p>
            <w:pPr>
              <w:pStyle w:val="TableText"/>
            </w:pPr>
            <w:r>
              <w:t xml:space="preserve">Prove del SPI con cassetta prova relè</w:t>
            </w:r>
          </w:p>
        </w:tc>
        <w:tc>
          <w:tcPr>
            <w:tcW w:w="1333" w:type="dxa"/>
          </w:tcPr>
          <w:p>
            <w:pPr>
              <w:pStyle w:val="TableText"/>
            </w:pPr>
            <w:r>
              <w:t xml:space="preserve">Protezioni</w:t>
            </w:r>
          </w:p>
        </w:tc>
        <w:tc>
          <w:tcPr>
            <w:tcW w:w="4665" w:type="dxa"/>
          </w:tcPr>
          <w:p>
            <w:pPr>
              <w:pStyle w:val="TableText"/>
            </w:pPr>
            <w:r>
              <w:t xml:space="preserve">secondo CEI 0-16 (periodicità prevista dalla norma) [da verificare]</w:t>
            </w:r>
          </w:p>
        </w:tc>
      </w:tr>
      <w:tr>
        <w:tc>
          <w:tcPr>
            <w:tcW w:w="3640" w:type="dxa"/>
          </w:tcPr>
          <w:p>
            <w:pPr>
              <w:pStyle w:val="TableText"/>
            </w:pPr>
            <w:r>
              <w:t xml:space="preserve">Manutenzione quadri MT/BT (serraggi, termografia, prove interruttori)</w:t>
            </w:r>
          </w:p>
        </w:tc>
        <w:tc>
          <w:tcPr>
            <w:tcW w:w="1333" w:type="dxa"/>
          </w:tcPr>
          <w:p>
            <w:pPr>
              <w:pStyle w:val="TableText"/>
            </w:pPr>
            <w:r>
              <w:t xml:space="preserve">Cabina</w:t>
            </w:r>
          </w:p>
        </w:tc>
        <w:tc>
          <w:tcPr>
            <w:tcW w:w="4665" w:type="dxa"/>
          </w:tcPr>
          <w:p>
            <w:pPr>
              <w:pStyle w:val="TableText"/>
            </w:pPr>
            <w:r>
              <w:t xml:space="preserve">annuale</w:t>
            </w:r>
          </w:p>
        </w:tc>
      </w:tr>
      <w:tr>
        <w:tc>
          <w:tcPr>
            <w:tcW w:w="3640" w:type="dxa"/>
          </w:tcPr>
          <w:p>
            <w:pPr>
              <w:pStyle w:val="TableText"/>
            </w:pPr>
            <w:r>
              <w:t xml:space="preserve">Analisi dell'olio (DGA, rigidità)</w:t>
            </w:r>
          </w:p>
        </w:tc>
        <w:tc>
          <w:tcPr>
            <w:tcW w:w="1333" w:type="dxa"/>
          </w:tcPr>
          <w:p>
            <w:pPr>
              <w:pStyle w:val="TableText"/>
            </w:pPr>
            <w:r>
              <w:t xml:space="preserve">Trasformatori in liquido</w:t>
            </w:r>
          </w:p>
        </w:tc>
        <w:tc>
          <w:tcPr>
            <w:tcW w:w="4665" w:type="dxa"/>
          </w:tcPr>
          <w:p>
            <w:pPr>
              <w:pStyle w:val="TableText"/>
            </w:pPr>
            <w:r>
              <w:t xml:space="preserve">ogni 2–3 anni</w:t>
            </w:r>
          </w:p>
        </w:tc>
      </w:tr>
      <w:tr>
        <w:tc>
          <w:tcPr>
            <w:tcW w:w="3640" w:type="dxa"/>
          </w:tcPr>
          <w:p>
            <w:pPr>
              <w:pStyle w:val="TableText"/>
            </w:pPr>
            <w:r>
              <w:t xml:space="preserve">Misura della resistenza di terra</w:t>
            </w:r>
          </w:p>
        </w:tc>
        <w:tc>
          <w:tcPr>
            <w:tcW w:w="1333" w:type="dxa"/>
          </w:tcPr>
          <w:p>
            <w:pPr>
              <w:pStyle w:val="TableText"/>
            </w:pPr>
            <w:r>
              <w:t xml:space="preserve">Impianto di terra</w:t>
            </w:r>
          </w:p>
        </w:tc>
        <w:tc>
          <w:tcPr>
            <w:tcW w:w="4665" w:type="dxa"/>
          </w:tcPr>
          <w:p>
            <w:pPr>
              <w:pStyle w:val="TableText"/>
            </w:pPr>
            <w:r>
              <w:t xml:space="preserve">ogni 2 anni (verifica periodica DPR 462/2001, ogni 2 o 5 anni secondo la classificazione)</w:t>
            </w:r>
          </w:p>
        </w:tc>
      </w:tr>
      <w:tr>
        <w:tc>
          <w:tcPr>
            <w:tcW w:w="3640" w:type="dxa"/>
          </w:tcPr>
          <w:p>
            <w:pPr>
              <w:pStyle w:val="TableText"/>
            </w:pPr>
            <w:r>
              <w:t xml:space="preserve">Verifica di HVAC, filtri, sensori gas/fumo, impianto di estinzione</w:t>
            </w:r>
          </w:p>
        </w:tc>
        <w:tc>
          <w:tcPr>
            <w:tcW w:w="1333" w:type="dxa"/>
          </w:tcPr>
          <w:p>
            <w:pPr>
              <w:pStyle w:val="TableText"/>
            </w:pPr>
            <w:r>
              <w:t xml:space="preserve">BESS</w:t>
            </w:r>
          </w:p>
        </w:tc>
        <w:tc>
          <w:tcPr>
            <w:tcW w:w="4665" w:type="dxa"/>
          </w:tcPr>
          <w:p>
            <w:pPr>
              <w:pStyle w:val="TableText"/>
            </w:pPr>
            <w:r>
              <w:t xml:space="preserve">semestrale</w:t>
            </w:r>
          </w:p>
        </w:tc>
      </w:tr>
      <w:tr>
        <w:tc>
          <w:tcPr>
            <w:tcW w:w="3640" w:type="dxa"/>
          </w:tcPr>
          <w:p>
            <w:pPr>
              <w:pStyle w:val="TableText"/>
            </w:pPr>
            <w:r>
              <w:t xml:space="preserve">Prova di capacità (stima del SOH)</w:t>
            </w:r>
          </w:p>
        </w:tc>
        <w:tc>
          <w:tcPr>
            <w:tcW w:w="1333" w:type="dxa"/>
          </w:tcPr>
          <w:p>
            <w:pPr>
              <w:pStyle w:val="TableText"/>
            </w:pPr>
            <w:r>
              <w:t xml:space="preserve">BESS</w:t>
            </w:r>
          </w:p>
        </w:tc>
        <w:tc>
          <w:tcPr>
            <w:tcW w:w="4665" w:type="dxa"/>
          </w:tcPr>
          <w:p>
            <w:pPr>
              <w:pStyle w:val="TableText"/>
            </w:pPr>
            <w:r>
              <w:t xml:space="preserve">annuale</w:t>
            </w:r>
          </w:p>
        </w:tc>
      </w:tr>
      <w:tr>
        <w:tc>
          <w:tcPr>
            <w:tcW w:w="3640" w:type="dxa"/>
          </w:tcPr>
          <w:p>
            <w:pPr>
              <w:pStyle w:val="TableText"/>
            </w:pPr>
            <w:r>
              <w:t xml:space="preserve">Bilanciamento celle, aggiornamento BMS/EMS</w:t>
            </w:r>
          </w:p>
        </w:tc>
        <w:tc>
          <w:tcPr>
            <w:tcW w:w="1333" w:type="dxa"/>
          </w:tcPr>
          <w:p>
            <w:pPr>
              <w:pStyle w:val="TableText"/>
            </w:pPr>
            <w:r>
              <w:t xml:space="preserve">BESS</w:t>
            </w:r>
          </w:p>
        </w:tc>
        <w:tc>
          <w:tcPr>
            <w:tcW w:w="4665" w:type="dxa"/>
          </w:tcPr>
          <w:p>
            <w:pPr>
              <w:pStyle w:val="TableText"/>
            </w:pPr>
            <w:r>
              <w:t xml:space="preserve">secondo il fornitore</w:t>
            </w:r>
          </w:p>
        </w:tc>
      </w:tr>
      <w:tr>
        <w:tc>
          <w:tcPr>
            <w:tcW w:w="3640" w:type="dxa"/>
          </w:tcPr>
          <w:p>
            <w:pPr>
              <w:pStyle w:val="TableText"/>
            </w:pPr>
            <w:r>
              <w:t xml:space="preserve">Verifica degli SPD</w:t>
            </w:r>
          </w:p>
        </w:tc>
        <w:tc>
          <w:tcPr>
            <w:tcW w:w="1333" w:type="dxa"/>
          </w:tcPr>
          <w:p>
            <w:pPr>
              <w:pStyle w:val="TableText"/>
            </w:pPr>
            <w:r>
              <w:t xml:space="preserve">Quadri</w:t>
            </w:r>
          </w:p>
        </w:tc>
        <w:tc>
          <w:tcPr>
            <w:tcW w:w="4665" w:type="dxa"/>
          </w:tcPr>
          <w:p>
            <w:pPr>
              <w:pStyle w:val="TableText"/>
            </w:pPr>
            <w:r>
              <w:t xml:space="preserve">annuale e dopo eventi atmosferici</w:t>
            </w:r>
          </w:p>
        </w:tc>
      </w:tr>
      <w:tr>
        <w:tc>
          <w:tcPr>
            <w:tcW w:w="3640" w:type="dxa"/>
          </w:tcPr>
          <w:p>
            <w:pPr>
              <w:pStyle w:val="TableText"/>
            </w:pPr>
            <w:r>
              <w:t xml:space="preserve">Manutenzione di videosorveglianza, antintrusione, recinzione</w:t>
            </w:r>
          </w:p>
        </w:tc>
        <w:tc>
          <w:tcPr>
            <w:tcW w:w="1333" w:type="dxa"/>
          </w:tcPr>
          <w:p>
            <w:pPr>
              <w:pStyle w:val="TableText"/>
            </w:pPr>
            <w:r>
              <w:t xml:space="preserve">Sicurezza</w:t>
            </w:r>
          </w:p>
        </w:tc>
        <w:tc>
          <w:tcPr>
            <w:tcW w:w="4665" w:type="dxa"/>
          </w:tcPr>
          <w:p>
            <w:pPr>
              <w:pStyle w:val="TableText"/>
            </w:pPr>
            <w:r>
              <w:t xml:space="preserve">semestrale</w:t>
            </w:r>
          </w:p>
        </w:tc>
      </w:tr>
      <w:tr>
        <w:tc>
          <w:tcPr>
            <w:tcW w:w="3640" w:type="dxa"/>
          </w:tcPr>
          <w:p>
            <w:pPr>
              <w:pStyle w:val="TableText"/>
            </w:pPr>
            <w:r>
              <w:t xml:space="preserve">Revisione delle prestazioni (PR, disponibilità, perdite)</w:t>
            </w:r>
          </w:p>
        </w:tc>
        <w:tc>
          <w:tcPr>
            <w:tcW w:w="1333" w:type="dxa"/>
          </w:tcPr>
          <w:p>
            <w:pPr>
              <w:pStyle w:val="TableText"/>
            </w:pPr>
            <w:r>
              <w:t xml:space="preserve">Impianto</w:t>
            </w:r>
          </w:p>
        </w:tc>
        <w:tc>
          <w:tcPr>
            <w:tcW w:w="4665" w:type="dxa"/>
          </w:tcPr>
          <w:p>
            <w:pPr>
              <w:pStyle w:val="TableText"/>
            </w:pPr>
            <w:r>
              <w:t xml:space="preserve">mensile (rapporto O&amp;M)</w:t>
            </w:r>
          </w:p>
        </w:tc>
      </w:tr>
      <w:tr>
        <w:tc>
          <w:tcPr>
            <w:tcW w:w="3640" w:type="dxa"/>
          </w:tcPr>
          <w:p>
            <w:pPr>
              <w:pStyle w:val="TableText"/>
            </w:pPr>
            <w:r>
              <w:t xml:space="preserve">Sostituzione inverter</w:t>
            </w:r>
          </w:p>
        </w:tc>
        <w:tc>
          <w:tcPr>
            <w:tcW w:w="1333" w:type="dxa"/>
          </w:tcPr>
          <w:p>
            <w:pPr>
              <w:pStyle w:val="TableText"/>
            </w:pPr>
            <w:r>
              <w:t xml:space="preserve">Inverter</w:t>
            </w:r>
          </w:p>
        </w:tc>
        <w:tc>
          <w:tcPr>
            <w:tcW w:w="4665" w:type="dxa"/>
          </w:tcPr>
          <w:p>
            <w:pPr>
              <w:pStyle w:val="TableText"/>
            </w:pPr>
            <w:r>
              <w:t xml:space="preserve">prevista all'anno 13</w:t>
            </w:r>
          </w:p>
        </w:tc>
      </w:tr>
      <w:tr>
        <w:tc>
          <w:tcPr>
            <w:tcW w:w="3640" w:type="dxa"/>
          </w:tcPr>
          <w:p>
            <w:pPr>
              <w:pStyle w:val="TableText"/>
            </w:pPr>
            <w:r>
              <w:t xml:space="preserve">Augmentation</w:t>
            </w:r>
          </w:p>
        </w:tc>
        <w:tc>
          <w:tcPr>
            <w:tcW w:w="1333" w:type="dxa"/>
          </w:tcPr>
          <w:p>
            <w:pPr>
              <w:pStyle w:val="TableText"/>
            </w:pPr>
            <w:r>
              <w:t xml:space="preserve">BESS</w:t>
            </w:r>
          </w:p>
        </w:tc>
        <w:tc>
          <w:tcPr>
            <w:tcW w:w="4665" w:type="dxa"/>
          </w:tcPr>
          <w:p>
            <w:pPr>
              <w:pStyle w:val="TableText"/>
            </w:pPr>
            <w:r>
              <w:t xml:space="preserve">prevista all'anno 15 (SOH &lt; 80 %)</w:t>
            </w:r>
          </w:p>
        </w:tc>
      </w:tr>
    </w:tbl>
    <w:p>
      <w:pPr>
        <w:pStyle w:val="Normal"/>
        <w:spacing w:after="60"/>
      </w:pPr>
    </w:p>
    <w:p>
      <w:pPr>
        <w:pStyle w:val="Normal"/>
        <w:pBdr>
          <w:bottom w:val="single" w:sz="6" w:space="1" w:color="A0A8AE"/>
        </w:pBdr>
      </w:pPr>
    </w:p>
    <w:p>
      <w:pPr>
        <w:pStyle w:val="Heading1"/>
      </w:pPr>
      <w:r>
        <w:t xml:space="preserve">16. Elenco elaborati (MDR)</w:t>
      </w:r>
    </w:p>
    <w:p>
      <w:pPr>
        <w:pStyle w:val="Normal"/>
      </w:pPr>
      <w:r>
        <w:t xml:space="preserve">Elenco generato dal simulatore (funzione </w:t>
      </w:r>
      <w:r>
        <w:rPr>
          <w:rFonts w:ascii="Consolas" w:hAnsi="Consolas" w:cs="Consolas"/>
        </w:rPr>
        <w:t xml:space="preserve">mdr</w:t>
      </w:r>
      <w:r>
        <w:t xml:space="preserve"> in </w:t>
      </w:r>
      <w:r>
        <w:rPr>
          <w:rFonts w:ascii="Consolas" w:hAnsi="Consolas" w:cs="Consolas"/>
        </w:rPr>
        <w:t xml:space="preserve">js/engine.js</w:t>
      </w:r>
      <w:r>
        <w:t xml:space="preserve">). Discipline: G generale, C civile, E elettrica, I strumentazione e automazione, P permessi, K economica, Q qualità e collaudi.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267"/>
        <w:gridCol w:w="731"/>
        <w:gridCol w:w="7017"/>
        <w:gridCol w:w="624"/>
      </w:tblGrid>
      <w:tr>
        <w:trPr>
          <w:tblHeader/>
        </w:trPr>
        <w:tc>
          <w:tcPr>
            <w:tcW w:w="1267" w:type="dxa"/>
            <w:shd w:val="clear" w:color="auto" w:fill="E3EAEC"/>
          </w:tcPr>
          <w:p>
            <w:pPr>
              <w:pStyle w:val="TableText"/>
            </w:pPr>
            <w:r>
              <w:rPr>
                <w:b/>
              </w:rPr>
              <w:t xml:space="preserve">Codice</w:t>
            </w:r>
          </w:p>
        </w:tc>
        <w:tc>
          <w:tcPr>
            <w:tcW w:w="731" w:type="dxa"/>
            <w:shd w:val="clear" w:color="auto" w:fill="E3EAEC"/>
          </w:tcPr>
          <w:p>
            <w:pPr>
              <w:pStyle w:val="TableText"/>
            </w:pPr>
            <w:r>
              <w:rPr>
                <w:b/>
              </w:rPr>
              <w:t xml:space="preserve">Disc.</w:t>
            </w:r>
          </w:p>
        </w:tc>
        <w:tc>
          <w:tcPr>
            <w:tcW w:w="7017" w:type="dxa"/>
            <w:shd w:val="clear" w:color="auto" w:fill="E3EAEC"/>
          </w:tcPr>
          <w:p>
            <w:pPr>
              <w:pStyle w:val="TableText"/>
            </w:pPr>
            <w:r>
              <w:rPr>
                <w:b/>
              </w:rPr>
              <w:t xml:space="preserve">Titolo</w:t>
            </w:r>
          </w:p>
        </w:tc>
        <w:tc>
          <w:tcPr>
            <w:tcW w:w="624" w:type="dxa"/>
            <w:shd w:val="clear" w:color="auto" w:fill="E3EAEC"/>
          </w:tcPr>
          <w:p>
            <w:pPr>
              <w:pStyle w:val="TableText"/>
            </w:pPr>
            <w:r>
              <w:rPr>
                <w:b/>
              </w:rPr>
              <w:t xml:space="preserve">Rev.</w:t>
            </w:r>
          </w:p>
        </w:tc>
      </w:tr>
      <w:tr>
        <w:tc>
          <w:tcPr>
            <w:tcW w:w="1267" w:type="dxa"/>
          </w:tcPr>
          <w:p>
            <w:pPr>
              <w:pStyle w:val="TableText"/>
            </w:pPr>
            <w:r>
              <w:t xml:space="preserve">FVB-GEN-001</w:t>
            </w:r>
          </w:p>
        </w:tc>
        <w:tc>
          <w:tcPr>
            <w:tcW w:w="731" w:type="dxa"/>
          </w:tcPr>
          <w:p>
            <w:pPr>
              <w:pStyle w:val="TableText"/>
            </w:pPr>
            <w:r>
              <w:t xml:space="preserve">G</w:t>
            </w:r>
          </w:p>
        </w:tc>
        <w:tc>
          <w:tcPr>
            <w:tcW w:w="7017" w:type="dxa"/>
          </w:tcPr>
          <w:p>
            <w:pPr>
              <w:pStyle w:val="TableText"/>
            </w:pPr>
            <w:r>
              <w:t xml:space="preserve">Relazione tecnica generale e Basis of Design</w:t>
            </w:r>
          </w:p>
        </w:tc>
        <w:tc>
          <w:tcPr>
            <w:tcW w:w="624" w:type="dxa"/>
          </w:tcPr>
          <w:p>
            <w:pPr>
              <w:pStyle w:val="TableText"/>
            </w:pPr>
            <w:r>
              <w:t xml:space="preserve">A</w:t>
            </w:r>
          </w:p>
        </w:tc>
      </w:tr>
      <w:tr>
        <w:tc>
          <w:tcPr>
            <w:tcW w:w="1267" w:type="dxa"/>
          </w:tcPr>
          <w:p>
            <w:pPr>
              <w:pStyle w:val="TableText"/>
            </w:pPr>
            <w:r>
              <w:t xml:space="preserve">FVB-GEN-002</w:t>
            </w:r>
          </w:p>
        </w:tc>
        <w:tc>
          <w:tcPr>
            <w:tcW w:w="731" w:type="dxa"/>
          </w:tcPr>
          <w:p>
            <w:pPr>
              <w:pStyle w:val="TableText"/>
            </w:pPr>
            <w:r>
              <w:t xml:space="preserve">G</w:t>
            </w:r>
          </w:p>
        </w:tc>
        <w:tc>
          <w:tcPr>
            <w:tcW w:w="7017" w:type="dxa"/>
          </w:tcPr>
          <w:p>
            <w:pPr>
              <w:pStyle w:val="TableText"/>
            </w:pPr>
            <w:r>
              <w:t xml:space="preserve">Elenco elaborati (MDR)</w:t>
            </w:r>
          </w:p>
        </w:tc>
        <w:tc>
          <w:tcPr>
            <w:tcW w:w="624" w:type="dxa"/>
          </w:tcPr>
          <w:p>
            <w:pPr>
              <w:pStyle w:val="TableText"/>
            </w:pPr>
            <w:r>
              <w:t xml:space="preserve">A</w:t>
            </w:r>
          </w:p>
        </w:tc>
      </w:tr>
      <w:tr>
        <w:tc>
          <w:tcPr>
            <w:tcW w:w="1267" w:type="dxa"/>
          </w:tcPr>
          <w:p>
            <w:pPr>
              <w:pStyle w:val="TableText"/>
            </w:pPr>
            <w:r>
              <w:t xml:space="preserve">FVB-GEN-003</w:t>
            </w:r>
          </w:p>
        </w:tc>
        <w:tc>
          <w:tcPr>
            <w:tcW w:w="731" w:type="dxa"/>
          </w:tcPr>
          <w:p>
            <w:pPr>
              <w:pStyle w:val="TableText"/>
            </w:pPr>
            <w:r>
              <w:t xml:space="preserve">G</w:t>
            </w:r>
          </w:p>
        </w:tc>
        <w:tc>
          <w:tcPr>
            <w:tcW w:w="7017" w:type="dxa"/>
          </w:tcPr>
          <w:p>
            <w:pPr>
              <w:pStyle w:val="TableText"/>
            </w:pPr>
            <w:r>
              <w:t xml:space="preserve">Cronoprogramma di progetto</w:t>
            </w:r>
          </w:p>
        </w:tc>
        <w:tc>
          <w:tcPr>
            <w:tcW w:w="624" w:type="dxa"/>
          </w:tcPr>
          <w:p>
            <w:pPr>
              <w:pStyle w:val="TableText"/>
            </w:pPr>
            <w:r>
              <w:t xml:space="preserve">A</w:t>
            </w:r>
          </w:p>
        </w:tc>
      </w:tr>
      <w:tr>
        <w:tc>
          <w:tcPr>
            <w:tcW w:w="1267" w:type="dxa"/>
          </w:tcPr>
          <w:p>
            <w:pPr>
              <w:pStyle w:val="TableText"/>
            </w:pPr>
            <w:r>
              <w:t xml:space="preserve">FVB-GEN-004</w:t>
            </w:r>
          </w:p>
        </w:tc>
        <w:tc>
          <w:tcPr>
            <w:tcW w:w="731" w:type="dxa"/>
          </w:tcPr>
          <w:p>
            <w:pPr>
              <w:pStyle w:val="TableText"/>
            </w:pPr>
            <w:r>
              <w:t xml:space="preserve">G</w:t>
            </w:r>
          </w:p>
        </w:tc>
        <w:tc>
          <w:tcPr>
            <w:tcW w:w="7017" w:type="dxa"/>
          </w:tcPr>
          <w:p>
            <w:pPr>
              <w:pStyle w:val="TableText"/>
            </w:pPr>
            <w:r>
              <w:t xml:space="preserve">Piano di sicurezza e coordinamento (PSC)</w:t>
            </w:r>
          </w:p>
        </w:tc>
        <w:tc>
          <w:tcPr>
            <w:tcW w:w="624" w:type="dxa"/>
          </w:tcPr>
          <w:p>
            <w:pPr>
              <w:pStyle w:val="TableText"/>
            </w:pPr>
            <w:r>
              <w:t xml:space="preserve">A</w:t>
            </w:r>
          </w:p>
        </w:tc>
      </w:tr>
      <w:tr>
        <w:tc>
          <w:tcPr>
            <w:tcW w:w="1267" w:type="dxa"/>
          </w:tcPr>
          <w:p>
            <w:pPr>
              <w:pStyle w:val="TableText"/>
            </w:pPr>
            <w:r>
              <w:t xml:space="preserve">FVB-GEN-005</w:t>
            </w:r>
          </w:p>
        </w:tc>
        <w:tc>
          <w:tcPr>
            <w:tcW w:w="731" w:type="dxa"/>
          </w:tcPr>
          <w:p>
            <w:pPr>
              <w:pStyle w:val="TableText"/>
            </w:pPr>
            <w:r>
              <w:t xml:space="preserve">G</w:t>
            </w:r>
          </w:p>
        </w:tc>
        <w:tc>
          <w:tcPr>
            <w:tcW w:w="7017" w:type="dxa"/>
          </w:tcPr>
          <w:p>
            <w:pPr>
              <w:pStyle w:val="TableText"/>
            </w:pPr>
            <w:r>
              <w:t xml:space="preserve">Piano di manutenzione dell'opera</w:t>
            </w:r>
          </w:p>
        </w:tc>
        <w:tc>
          <w:tcPr>
            <w:tcW w:w="624" w:type="dxa"/>
          </w:tcPr>
          <w:p>
            <w:pPr>
              <w:pStyle w:val="TableText"/>
            </w:pPr>
            <w:r>
              <w:t xml:space="preserve">A</w:t>
            </w:r>
          </w:p>
        </w:tc>
      </w:tr>
      <w:tr>
        <w:tc>
          <w:tcPr>
            <w:tcW w:w="1267" w:type="dxa"/>
          </w:tcPr>
          <w:p>
            <w:pPr>
              <w:pStyle w:val="TableText"/>
            </w:pPr>
            <w:r>
              <w:t xml:space="preserve">FVB-CIV-006</w:t>
            </w:r>
          </w:p>
        </w:tc>
        <w:tc>
          <w:tcPr>
            <w:tcW w:w="731" w:type="dxa"/>
          </w:tcPr>
          <w:p>
            <w:pPr>
              <w:pStyle w:val="TableText"/>
            </w:pPr>
            <w:r>
              <w:t xml:space="preserve">C</w:t>
            </w:r>
          </w:p>
        </w:tc>
        <w:tc>
          <w:tcPr>
            <w:tcW w:w="7017" w:type="dxa"/>
          </w:tcPr>
          <w:p>
            <w:pPr>
              <w:pStyle w:val="TableText"/>
            </w:pPr>
            <w:r>
              <w:t xml:space="preserve">Inquadramento territoriale e vincoli (aree idonee)</w:t>
            </w:r>
          </w:p>
        </w:tc>
        <w:tc>
          <w:tcPr>
            <w:tcW w:w="624" w:type="dxa"/>
          </w:tcPr>
          <w:p>
            <w:pPr>
              <w:pStyle w:val="TableText"/>
            </w:pPr>
            <w:r>
              <w:t xml:space="preserve">A</w:t>
            </w:r>
          </w:p>
        </w:tc>
      </w:tr>
      <w:tr>
        <w:tc>
          <w:tcPr>
            <w:tcW w:w="1267" w:type="dxa"/>
          </w:tcPr>
          <w:p>
            <w:pPr>
              <w:pStyle w:val="TableText"/>
            </w:pPr>
            <w:r>
              <w:t xml:space="preserve">FVB-CIV-007</w:t>
            </w:r>
          </w:p>
        </w:tc>
        <w:tc>
          <w:tcPr>
            <w:tcW w:w="731" w:type="dxa"/>
          </w:tcPr>
          <w:p>
            <w:pPr>
              <w:pStyle w:val="TableText"/>
            </w:pPr>
            <w:r>
              <w:t xml:space="preserve">C</w:t>
            </w:r>
          </w:p>
        </w:tc>
        <w:tc>
          <w:tcPr>
            <w:tcW w:w="7017" w:type="dxa"/>
          </w:tcPr>
          <w:p>
            <w:pPr>
              <w:pStyle w:val="TableText"/>
            </w:pPr>
            <w:r>
              <w:t xml:space="preserve">Planimetria generale / layout di impianto</w:t>
            </w:r>
          </w:p>
        </w:tc>
        <w:tc>
          <w:tcPr>
            <w:tcW w:w="624" w:type="dxa"/>
          </w:tcPr>
          <w:p>
            <w:pPr>
              <w:pStyle w:val="TableText"/>
            </w:pPr>
            <w:r>
              <w:t xml:space="preserve">A</w:t>
            </w:r>
          </w:p>
        </w:tc>
      </w:tr>
      <w:tr>
        <w:tc>
          <w:tcPr>
            <w:tcW w:w="1267" w:type="dxa"/>
          </w:tcPr>
          <w:p>
            <w:pPr>
              <w:pStyle w:val="TableText"/>
            </w:pPr>
            <w:r>
              <w:t xml:space="preserve">FVB-CIV-008</w:t>
            </w:r>
          </w:p>
        </w:tc>
        <w:tc>
          <w:tcPr>
            <w:tcW w:w="731" w:type="dxa"/>
          </w:tcPr>
          <w:p>
            <w:pPr>
              <w:pStyle w:val="TableText"/>
            </w:pPr>
            <w:r>
              <w:t xml:space="preserve">C</w:t>
            </w:r>
          </w:p>
        </w:tc>
        <w:tc>
          <w:tcPr>
            <w:tcW w:w="7017" w:type="dxa"/>
          </w:tcPr>
          <w:p>
            <w:pPr>
              <w:pStyle w:val="TableText"/>
            </w:pPr>
            <w:r>
              <w:t xml:space="preserve">Relazione geologica e geotecnica</w:t>
            </w:r>
          </w:p>
        </w:tc>
        <w:tc>
          <w:tcPr>
            <w:tcW w:w="624" w:type="dxa"/>
          </w:tcPr>
          <w:p>
            <w:pPr>
              <w:pStyle w:val="TableText"/>
            </w:pPr>
            <w:r>
              <w:t xml:space="preserve">A</w:t>
            </w:r>
          </w:p>
        </w:tc>
      </w:tr>
      <w:tr>
        <w:tc>
          <w:tcPr>
            <w:tcW w:w="1267" w:type="dxa"/>
          </w:tcPr>
          <w:p>
            <w:pPr>
              <w:pStyle w:val="TableText"/>
            </w:pPr>
            <w:r>
              <w:t xml:space="preserve">FVB-CIV-009</w:t>
            </w:r>
          </w:p>
        </w:tc>
        <w:tc>
          <w:tcPr>
            <w:tcW w:w="731" w:type="dxa"/>
          </w:tcPr>
          <w:p>
            <w:pPr>
              <w:pStyle w:val="TableText"/>
            </w:pPr>
            <w:r>
              <w:t xml:space="preserve">C</w:t>
            </w:r>
          </w:p>
        </w:tc>
        <w:tc>
          <w:tcPr>
            <w:tcW w:w="7017" w:type="dxa"/>
          </w:tcPr>
          <w:p>
            <w:pPr>
              <w:pStyle w:val="TableText"/>
            </w:pPr>
            <w:r>
              <w:t xml:space="preserve">Relazione idraulica e invarianza idraulica</w:t>
            </w:r>
          </w:p>
        </w:tc>
        <w:tc>
          <w:tcPr>
            <w:tcW w:w="624" w:type="dxa"/>
          </w:tcPr>
          <w:p>
            <w:pPr>
              <w:pStyle w:val="TableText"/>
            </w:pPr>
            <w:r>
              <w:t xml:space="preserve">A</w:t>
            </w:r>
          </w:p>
        </w:tc>
      </w:tr>
      <w:tr>
        <w:tc>
          <w:tcPr>
            <w:tcW w:w="1267" w:type="dxa"/>
          </w:tcPr>
          <w:p>
            <w:pPr>
              <w:pStyle w:val="TableText"/>
            </w:pPr>
            <w:r>
              <w:t xml:space="preserve">FVB-CIV-010</w:t>
            </w:r>
          </w:p>
        </w:tc>
        <w:tc>
          <w:tcPr>
            <w:tcW w:w="731" w:type="dxa"/>
          </w:tcPr>
          <w:p>
            <w:pPr>
              <w:pStyle w:val="TableText"/>
            </w:pPr>
            <w:r>
              <w:t xml:space="preserve">C</w:t>
            </w:r>
          </w:p>
        </w:tc>
        <w:tc>
          <w:tcPr>
            <w:tcW w:w="7017" w:type="dxa"/>
          </w:tcPr>
          <w:p>
            <w:pPr>
              <w:pStyle w:val="TableText"/>
            </w:pPr>
            <w:r>
              <w:t xml:space="preserve">Calcolo strutture di sostegno e fondazioni (NTC 2018)</w:t>
            </w:r>
          </w:p>
        </w:tc>
        <w:tc>
          <w:tcPr>
            <w:tcW w:w="624" w:type="dxa"/>
          </w:tcPr>
          <w:p>
            <w:pPr>
              <w:pStyle w:val="TableText"/>
            </w:pPr>
            <w:r>
              <w:t xml:space="preserve">A</w:t>
            </w:r>
          </w:p>
        </w:tc>
      </w:tr>
      <w:tr>
        <w:tc>
          <w:tcPr>
            <w:tcW w:w="1267" w:type="dxa"/>
          </w:tcPr>
          <w:p>
            <w:pPr>
              <w:pStyle w:val="TableText"/>
            </w:pPr>
            <w:r>
              <w:t xml:space="preserve">FVB-CIV-011</w:t>
            </w:r>
          </w:p>
        </w:tc>
        <w:tc>
          <w:tcPr>
            <w:tcW w:w="731" w:type="dxa"/>
          </w:tcPr>
          <w:p>
            <w:pPr>
              <w:pStyle w:val="TableText"/>
            </w:pPr>
            <w:r>
              <w:t xml:space="preserve">C</w:t>
            </w:r>
          </w:p>
        </w:tc>
        <w:tc>
          <w:tcPr>
            <w:tcW w:w="7017" w:type="dxa"/>
          </w:tcPr>
          <w:p>
            <w:pPr>
              <w:pStyle w:val="TableText"/>
            </w:pPr>
            <w:r>
              <w:t xml:space="preserve">Viabilità, recinzione, cancelli, drenaggi</w:t>
            </w:r>
          </w:p>
        </w:tc>
        <w:tc>
          <w:tcPr>
            <w:tcW w:w="624" w:type="dxa"/>
          </w:tcPr>
          <w:p>
            <w:pPr>
              <w:pStyle w:val="TableText"/>
            </w:pPr>
            <w:r>
              <w:t xml:space="preserve">A</w:t>
            </w:r>
          </w:p>
        </w:tc>
      </w:tr>
      <w:tr>
        <w:tc>
          <w:tcPr>
            <w:tcW w:w="1267" w:type="dxa"/>
          </w:tcPr>
          <w:p>
            <w:pPr>
              <w:pStyle w:val="TableText"/>
            </w:pPr>
            <w:r>
              <w:t xml:space="preserve">FVB-ELE-012</w:t>
            </w:r>
          </w:p>
        </w:tc>
        <w:tc>
          <w:tcPr>
            <w:tcW w:w="731" w:type="dxa"/>
          </w:tcPr>
          <w:p>
            <w:pPr>
              <w:pStyle w:val="TableText"/>
            </w:pPr>
            <w:r>
              <w:t xml:space="preserve">E</w:t>
            </w:r>
          </w:p>
        </w:tc>
        <w:tc>
          <w:tcPr>
            <w:tcW w:w="7017" w:type="dxa"/>
          </w:tcPr>
          <w:p>
            <w:pPr>
              <w:pStyle w:val="TableText"/>
            </w:pPr>
            <w:r>
              <w:t xml:space="preserve">Schema unifilare generale MT/BT</w:t>
            </w:r>
          </w:p>
        </w:tc>
        <w:tc>
          <w:tcPr>
            <w:tcW w:w="624" w:type="dxa"/>
          </w:tcPr>
          <w:p>
            <w:pPr>
              <w:pStyle w:val="TableText"/>
            </w:pPr>
            <w:r>
              <w:t xml:space="preserve">A</w:t>
            </w:r>
          </w:p>
        </w:tc>
      </w:tr>
      <w:tr>
        <w:tc>
          <w:tcPr>
            <w:tcW w:w="1267" w:type="dxa"/>
          </w:tcPr>
          <w:p>
            <w:pPr>
              <w:pStyle w:val="TableText"/>
            </w:pPr>
            <w:r>
              <w:t xml:space="preserve">FVB-ELE-013</w:t>
            </w:r>
          </w:p>
        </w:tc>
        <w:tc>
          <w:tcPr>
            <w:tcW w:w="731" w:type="dxa"/>
          </w:tcPr>
          <w:p>
            <w:pPr>
              <w:pStyle w:val="TableText"/>
            </w:pPr>
            <w:r>
              <w:t xml:space="preserve">E</w:t>
            </w:r>
          </w:p>
        </w:tc>
        <w:tc>
          <w:tcPr>
            <w:tcW w:w="7017" w:type="dxa"/>
          </w:tcPr>
          <w:p>
            <w:pPr>
              <w:pStyle w:val="TableText"/>
            </w:pPr>
            <w:r>
              <w:t xml:space="preserve">Schemi di stringa e cablaggio DC</w:t>
            </w:r>
          </w:p>
        </w:tc>
        <w:tc>
          <w:tcPr>
            <w:tcW w:w="624" w:type="dxa"/>
          </w:tcPr>
          <w:p>
            <w:pPr>
              <w:pStyle w:val="TableText"/>
            </w:pPr>
            <w:r>
              <w:t xml:space="preserve">A</w:t>
            </w:r>
          </w:p>
        </w:tc>
      </w:tr>
      <w:tr>
        <w:tc>
          <w:tcPr>
            <w:tcW w:w="1267" w:type="dxa"/>
          </w:tcPr>
          <w:p>
            <w:pPr>
              <w:pStyle w:val="TableText"/>
            </w:pPr>
            <w:r>
              <w:t xml:space="preserve">FVB-ELE-014</w:t>
            </w:r>
          </w:p>
        </w:tc>
        <w:tc>
          <w:tcPr>
            <w:tcW w:w="731" w:type="dxa"/>
          </w:tcPr>
          <w:p>
            <w:pPr>
              <w:pStyle w:val="TableText"/>
            </w:pPr>
            <w:r>
              <w:t xml:space="preserve">E</w:t>
            </w:r>
          </w:p>
        </w:tc>
        <w:tc>
          <w:tcPr>
            <w:tcW w:w="7017" w:type="dxa"/>
          </w:tcPr>
          <w:p>
            <w:pPr>
              <w:pStyle w:val="TableText"/>
            </w:pPr>
            <w:r>
              <w:t xml:space="preserve">Dimensionamento cavi DC/AC e cadute di tensione</w:t>
            </w:r>
          </w:p>
        </w:tc>
        <w:tc>
          <w:tcPr>
            <w:tcW w:w="624" w:type="dxa"/>
          </w:tcPr>
          <w:p>
            <w:pPr>
              <w:pStyle w:val="TableText"/>
            </w:pPr>
            <w:r>
              <w:t xml:space="preserve">A</w:t>
            </w:r>
          </w:p>
        </w:tc>
      </w:tr>
      <w:tr>
        <w:tc>
          <w:tcPr>
            <w:tcW w:w="1267" w:type="dxa"/>
          </w:tcPr>
          <w:p>
            <w:pPr>
              <w:pStyle w:val="TableText"/>
            </w:pPr>
            <w:r>
              <w:t xml:space="preserve">FVB-ELE-015</w:t>
            </w:r>
          </w:p>
        </w:tc>
        <w:tc>
          <w:tcPr>
            <w:tcW w:w="731" w:type="dxa"/>
          </w:tcPr>
          <w:p>
            <w:pPr>
              <w:pStyle w:val="TableText"/>
            </w:pPr>
            <w:r>
              <w:t xml:space="preserve">E</w:t>
            </w:r>
          </w:p>
        </w:tc>
        <w:tc>
          <w:tcPr>
            <w:tcW w:w="7017" w:type="dxa"/>
          </w:tcPr>
          <w:p>
            <w:pPr>
              <w:pStyle w:val="TableText"/>
            </w:pPr>
            <w:r>
              <w:t xml:space="preserve">Calcolo correnti di cortocircuito e selettività</w:t>
            </w:r>
          </w:p>
        </w:tc>
        <w:tc>
          <w:tcPr>
            <w:tcW w:w="624" w:type="dxa"/>
          </w:tcPr>
          <w:p>
            <w:pPr>
              <w:pStyle w:val="TableText"/>
            </w:pPr>
            <w:r>
              <w:t xml:space="preserve">A</w:t>
            </w:r>
          </w:p>
        </w:tc>
      </w:tr>
      <w:tr>
        <w:tc>
          <w:tcPr>
            <w:tcW w:w="1267" w:type="dxa"/>
          </w:tcPr>
          <w:p>
            <w:pPr>
              <w:pStyle w:val="TableText"/>
            </w:pPr>
            <w:r>
              <w:t xml:space="preserve">FVB-ELE-016</w:t>
            </w:r>
          </w:p>
        </w:tc>
        <w:tc>
          <w:tcPr>
            <w:tcW w:w="731" w:type="dxa"/>
          </w:tcPr>
          <w:p>
            <w:pPr>
              <w:pStyle w:val="TableText"/>
            </w:pPr>
            <w:r>
              <w:t xml:space="preserve">E</w:t>
            </w:r>
          </w:p>
        </w:tc>
        <w:tc>
          <w:tcPr>
            <w:tcW w:w="7017" w:type="dxa"/>
          </w:tcPr>
          <w:p>
            <w:pPr>
              <w:pStyle w:val="TableText"/>
            </w:pPr>
            <w:r>
              <w:t xml:space="preserve">Impianto di terra e protezione contro i fulmini (CEI EN 62305)</w:t>
            </w:r>
          </w:p>
        </w:tc>
        <w:tc>
          <w:tcPr>
            <w:tcW w:w="624" w:type="dxa"/>
          </w:tcPr>
          <w:p>
            <w:pPr>
              <w:pStyle w:val="TableText"/>
            </w:pPr>
            <w:r>
              <w:t xml:space="preserve">A</w:t>
            </w:r>
          </w:p>
        </w:tc>
      </w:tr>
      <w:tr>
        <w:tc>
          <w:tcPr>
            <w:tcW w:w="1267" w:type="dxa"/>
          </w:tcPr>
          <w:p>
            <w:pPr>
              <w:pStyle w:val="TableText"/>
            </w:pPr>
            <w:r>
              <w:t xml:space="preserve">FVB-ELE-017</w:t>
            </w:r>
          </w:p>
        </w:tc>
        <w:tc>
          <w:tcPr>
            <w:tcW w:w="731" w:type="dxa"/>
          </w:tcPr>
          <w:p>
            <w:pPr>
              <w:pStyle w:val="TableText"/>
            </w:pPr>
            <w:r>
              <w:t xml:space="preserve">E</w:t>
            </w:r>
          </w:p>
        </w:tc>
        <w:tc>
          <w:tcPr>
            <w:tcW w:w="7017" w:type="dxa"/>
          </w:tcPr>
          <w:p>
            <w:pPr>
              <w:pStyle w:val="TableText"/>
            </w:pPr>
            <w:r>
              <w:t xml:space="preserve">Cabina di consegna/utente: layout e apparecchiature (CEI 0-16)</w:t>
            </w:r>
          </w:p>
        </w:tc>
        <w:tc>
          <w:tcPr>
            <w:tcW w:w="624" w:type="dxa"/>
          </w:tcPr>
          <w:p>
            <w:pPr>
              <w:pStyle w:val="TableText"/>
            </w:pPr>
            <w:r>
              <w:t xml:space="preserve">A</w:t>
            </w:r>
          </w:p>
        </w:tc>
      </w:tr>
      <w:tr>
        <w:tc>
          <w:tcPr>
            <w:tcW w:w="1267" w:type="dxa"/>
          </w:tcPr>
          <w:p>
            <w:pPr>
              <w:pStyle w:val="TableText"/>
            </w:pPr>
            <w:r>
              <w:t xml:space="preserve">FVB-ELE-018</w:t>
            </w:r>
          </w:p>
        </w:tc>
        <w:tc>
          <w:tcPr>
            <w:tcW w:w="731" w:type="dxa"/>
          </w:tcPr>
          <w:p>
            <w:pPr>
              <w:pStyle w:val="TableText"/>
            </w:pPr>
            <w:r>
              <w:t xml:space="preserve">E</w:t>
            </w:r>
          </w:p>
        </w:tc>
        <w:tc>
          <w:tcPr>
            <w:tcW w:w="7017" w:type="dxa"/>
          </w:tcPr>
          <w:p>
            <w:pPr>
              <w:pStyle w:val="TableText"/>
            </w:pPr>
            <w:r>
              <w:t xml:space="preserve">Tarature SPG/SPI e regolamento di esercizio</w:t>
            </w:r>
          </w:p>
        </w:tc>
        <w:tc>
          <w:tcPr>
            <w:tcW w:w="624" w:type="dxa"/>
          </w:tcPr>
          <w:p>
            <w:pPr>
              <w:pStyle w:val="TableText"/>
            </w:pPr>
            <w:r>
              <w:t xml:space="preserve">A</w:t>
            </w:r>
          </w:p>
        </w:tc>
      </w:tr>
      <w:tr>
        <w:tc>
          <w:tcPr>
            <w:tcW w:w="1267" w:type="dxa"/>
          </w:tcPr>
          <w:p>
            <w:pPr>
              <w:pStyle w:val="TableText"/>
            </w:pPr>
            <w:r>
              <w:t xml:space="preserve">FVB-ELE-019</w:t>
            </w:r>
          </w:p>
        </w:tc>
        <w:tc>
          <w:tcPr>
            <w:tcW w:w="731" w:type="dxa"/>
          </w:tcPr>
          <w:p>
            <w:pPr>
              <w:pStyle w:val="TableText"/>
            </w:pPr>
            <w:r>
              <w:t xml:space="preserve">E</w:t>
            </w:r>
          </w:p>
        </w:tc>
        <w:tc>
          <w:tcPr>
            <w:tcW w:w="7017" w:type="dxa"/>
          </w:tcPr>
          <w:p>
            <w:pPr>
              <w:pStyle w:val="TableText"/>
            </w:pPr>
            <w:r>
              <w:t xml:space="preserve">Specifica tecnica moduli FV</w:t>
            </w:r>
          </w:p>
        </w:tc>
        <w:tc>
          <w:tcPr>
            <w:tcW w:w="624" w:type="dxa"/>
          </w:tcPr>
          <w:p>
            <w:pPr>
              <w:pStyle w:val="TableText"/>
            </w:pPr>
            <w:r>
              <w:t xml:space="preserve">A</w:t>
            </w:r>
          </w:p>
        </w:tc>
      </w:tr>
      <w:tr>
        <w:tc>
          <w:tcPr>
            <w:tcW w:w="1267" w:type="dxa"/>
          </w:tcPr>
          <w:p>
            <w:pPr>
              <w:pStyle w:val="TableText"/>
            </w:pPr>
            <w:r>
              <w:t xml:space="preserve">FVB-ELE-020</w:t>
            </w:r>
          </w:p>
        </w:tc>
        <w:tc>
          <w:tcPr>
            <w:tcW w:w="731" w:type="dxa"/>
          </w:tcPr>
          <w:p>
            <w:pPr>
              <w:pStyle w:val="TableText"/>
            </w:pPr>
            <w:r>
              <w:t xml:space="preserve">E</w:t>
            </w:r>
          </w:p>
        </w:tc>
        <w:tc>
          <w:tcPr>
            <w:tcW w:w="7017" w:type="dxa"/>
          </w:tcPr>
          <w:p>
            <w:pPr>
              <w:pStyle w:val="TableText"/>
            </w:pPr>
            <w:r>
              <w:t xml:space="preserve">Specifica tecnica inverter</w:t>
            </w:r>
          </w:p>
        </w:tc>
        <w:tc>
          <w:tcPr>
            <w:tcW w:w="624" w:type="dxa"/>
          </w:tcPr>
          <w:p>
            <w:pPr>
              <w:pStyle w:val="TableText"/>
            </w:pPr>
            <w:r>
              <w:t xml:space="preserve">A</w:t>
            </w:r>
          </w:p>
        </w:tc>
      </w:tr>
      <w:tr>
        <w:tc>
          <w:tcPr>
            <w:tcW w:w="1267" w:type="dxa"/>
          </w:tcPr>
          <w:p>
            <w:pPr>
              <w:pStyle w:val="TableText"/>
            </w:pPr>
            <w:r>
              <w:t xml:space="preserve">FVB-ELE-021</w:t>
            </w:r>
          </w:p>
        </w:tc>
        <w:tc>
          <w:tcPr>
            <w:tcW w:w="731" w:type="dxa"/>
          </w:tcPr>
          <w:p>
            <w:pPr>
              <w:pStyle w:val="TableText"/>
            </w:pPr>
            <w:r>
              <w:t xml:space="preserve">E</w:t>
            </w:r>
          </w:p>
        </w:tc>
        <w:tc>
          <w:tcPr>
            <w:tcW w:w="7017" w:type="dxa"/>
          </w:tcPr>
          <w:p>
            <w:pPr>
              <w:pStyle w:val="TableText"/>
            </w:pPr>
            <w:r>
              <w:t xml:space="preserve">Specifica tecnica trasformatori MT/BT</w:t>
            </w:r>
          </w:p>
        </w:tc>
        <w:tc>
          <w:tcPr>
            <w:tcW w:w="624" w:type="dxa"/>
          </w:tcPr>
          <w:p>
            <w:pPr>
              <w:pStyle w:val="TableText"/>
            </w:pPr>
            <w:r>
              <w:t xml:space="preserve">A</w:t>
            </w:r>
          </w:p>
        </w:tc>
      </w:tr>
      <w:tr>
        <w:tc>
          <w:tcPr>
            <w:tcW w:w="1267" w:type="dxa"/>
          </w:tcPr>
          <w:p>
            <w:pPr>
              <w:pStyle w:val="TableText"/>
            </w:pPr>
            <w:r>
              <w:t xml:space="preserve">FVB-ELE-022</w:t>
            </w:r>
          </w:p>
        </w:tc>
        <w:tc>
          <w:tcPr>
            <w:tcW w:w="731" w:type="dxa"/>
          </w:tcPr>
          <w:p>
            <w:pPr>
              <w:pStyle w:val="TableText"/>
            </w:pPr>
            <w:r>
              <w:t xml:space="preserve">E</w:t>
            </w:r>
          </w:p>
        </w:tc>
        <w:tc>
          <w:tcPr>
            <w:tcW w:w="7017" w:type="dxa"/>
          </w:tcPr>
          <w:p>
            <w:pPr>
              <w:pStyle w:val="TableText"/>
            </w:pPr>
            <w:r>
              <w:t xml:space="preserve">Elenco cavi e percorsi</w:t>
            </w:r>
          </w:p>
        </w:tc>
        <w:tc>
          <w:tcPr>
            <w:tcW w:w="624" w:type="dxa"/>
          </w:tcPr>
          <w:p>
            <w:pPr>
              <w:pStyle w:val="TableText"/>
            </w:pPr>
            <w:r>
              <w:t xml:space="preserve">A</w:t>
            </w:r>
          </w:p>
        </w:tc>
      </w:tr>
      <w:tr>
        <w:tc>
          <w:tcPr>
            <w:tcW w:w="1267" w:type="dxa"/>
          </w:tcPr>
          <w:p>
            <w:pPr>
              <w:pStyle w:val="TableText"/>
            </w:pPr>
            <w:r>
              <w:t xml:space="preserve">FVB-ELE-023</w:t>
            </w:r>
          </w:p>
        </w:tc>
        <w:tc>
          <w:tcPr>
            <w:tcW w:w="731" w:type="dxa"/>
          </w:tcPr>
          <w:p>
            <w:pPr>
              <w:pStyle w:val="TableText"/>
            </w:pPr>
            <w:r>
              <w:t xml:space="preserve">E</w:t>
            </w:r>
          </w:p>
        </w:tc>
        <w:tc>
          <w:tcPr>
            <w:tcW w:w="7017" w:type="dxa"/>
          </w:tcPr>
          <w:p>
            <w:pPr>
              <w:pStyle w:val="TableText"/>
            </w:pPr>
            <w:r>
              <w:t xml:space="preserve">Impianto di illuminazione, videosorveglianza e antintrusione</w:t>
            </w:r>
          </w:p>
        </w:tc>
        <w:tc>
          <w:tcPr>
            <w:tcW w:w="624" w:type="dxa"/>
          </w:tcPr>
          <w:p>
            <w:pPr>
              <w:pStyle w:val="TableText"/>
            </w:pPr>
            <w:r>
              <w:t xml:space="preserve">A</w:t>
            </w:r>
          </w:p>
        </w:tc>
      </w:tr>
      <w:tr>
        <w:tc>
          <w:tcPr>
            <w:tcW w:w="1267" w:type="dxa"/>
          </w:tcPr>
          <w:p>
            <w:pPr>
              <w:pStyle w:val="TableText"/>
            </w:pPr>
            <w:r>
              <w:t xml:space="preserve">FVB-AUT-024</w:t>
            </w:r>
          </w:p>
        </w:tc>
        <w:tc>
          <w:tcPr>
            <w:tcW w:w="731" w:type="dxa"/>
          </w:tcPr>
          <w:p>
            <w:pPr>
              <w:pStyle w:val="TableText"/>
            </w:pPr>
            <w:r>
              <w:t xml:space="preserve">I</w:t>
            </w:r>
          </w:p>
        </w:tc>
        <w:tc>
          <w:tcPr>
            <w:tcW w:w="7017" w:type="dxa"/>
          </w:tcPr>
          <w:p>
            <w:pPr>
              <w:pStyle w:val="TableText"/>
            </w:pPr>
            <w:r>
              <w:t xml:space="preserve">Architettura SCADA / monitoraggio / EMS</w:t>
            </w:r>
          </w:p>
        </w:tc>
        <w:tc>
          <w:tcPr>
            <w:tcW w:w="624" w:type="dxa"/>
          </w:tcPr>
          <w:p>
            <w:pPr>
              <w:pStyle w:val="TableText"/>
            </w:pPr>
            <w:r>
              <w:t xml:space="preserve">A</w:t>
            </w:r>
          </w:p>
        </w:tc>
      </w:tr>
      <w:tr>
        <w:tc>
          <w:tcPr>
            <w:tcW w:w="1267" w:type="dxa"/>
          </w:tcPr>
          <w:p>
            <w:pPr>
              <w:pStyle w:val="TableText"/>
            </w:pPr>
            <w:r>
              <w:t xml:space="preserve">FVB-AUT-025</w:t>
            </w:r>
          </w:p>
        </w:tc>
        <w:tc>
          <w:tcPr>
            <w:tcW w:w="731" w:type="dxa"/>
          </w:tcPr>
          <w:p>
            <w:pPr>
              <w:pStyle w:val="TableText"/>
            </w:pPr>
            <w:r>
              <w:t xml:space="preserve">I</w:t>
            </w:r>
          </w:p>
        </w:tc>
        <w:tc>
          <w:tcPr>
            <w:tcW w:w="7017" w:type="dxa"/>
          </w:tcPr>
          <w:p>
            <w:pPr>
              <w:pStyle w:val="TableText"/>
            </w:pPr>
            <w:r>
              <w:t xml:space="preserve">Lista I/O e protocolli (Modbus TCP, IEC 61850)</w:t>
            </w:r>
          </w:p>
        </w:tc>
        <w:tc>
          <w:tcPr>
            <w:tcW w:w="624" w:type="dxa"/>
          </w:tcPr>
          <w:p>
            <w:pPr>
              <w:pStyle w:val="TableText"/>
            </w:pPr>
            <w:r>
              <w:t xml:space="preserve">A</w:t>
            </w:r>
          </w:p>
        </w:tc>
      </w:tr>
      <w:tr>
        <w:tc>
          <w:tcPr>
            <w:tcW w:w="1267" w:type="dxa"/>
          </w:tcPr>
          <w:p>
            <w:pPr>
              <w:pStyle w:val="TableText"/>
            </w:pPr>
            <w:r>
              <w:t xml:space="preserve">FVB-AUT-026</w:t>
            </w:r>
          </w:p>
        </w:tc>
        <w:tc>
          <w:tcPr>
            <w:tcW w:w="731" w:type="dxa"/>
          </w:tcPr>
          <w:p>
            <w:pPr>
              <w:pStyle w:val="TableText"/>
            </w:pPr>
            <w:r>
              <w:t xml:space="preserve">I</w:t>
            </w:r>
          </w:p>
        </w:tc>
        <w:tc>
          <w:tcPr>
            <w:tcW w:w="7017" w:type="dxa"/>
          </w:tcPr>
          <w:p>
            <w:pPr>
              <w:pStyle w:val="TableText"/>
            </w:pPr>
            <w:r>
              <w:t xml:space="preserve">Controllore centrale di impianto (CCI) – CEI 0-16 All. O/T</w:t>
            </w:r>
          </w:p>
        </w:tc>
        <w:tc>
          <w:tcPr>
            <w:tcW w:w="624" w:type="dxa"/>
          </w:tcPr>
          <w:p>
            <w:pPr>
              <w:pStyle w:val="TableText"/>
            </w:pPr>
            <w:r>
              <w:t xml:space="preserve">A</w:t>
            </w:r>
          </w:p>
        </w:tc>
      </w:tr>
      <w:tr>
        <w:tc>
          <w:tcPr>
            <w:tcW w:w="1267" w:type="dxa"/>
          </w:tcPr>
          <w:p>
            <w:pPr>
              <w:pStyle w:val="TableText"/>
            </w:pPr>
            <w:r>
              <w:t xml:space="preserve">FVB-PRM-027</w:t>
            </w:r>
          </w:p>
        </w:tc>
        <w:tc>
          <w:tcPr>
            <w:tcW w:w="731" w:type="dxa"/>
          </w:tcPr>
          <w:p>
            <w:pPr>
              <w:pStyle w:val="TableText"/>
            </w:pPr>
            <w:r>
              <w:t xml:space="preserve">P</w:t>
            </w:r>
          </w:p>
        </w:tc>
        <w:tc>
          <w:tcPr>
            <w:tcW w:w="7017" w:type="dxa"/>
          </w:tcPr>
          <w:p>
            <w:pPr>
              <w:pStyle w:val="TableText"/>
            </w:pPr>
            <w:r>
              <w:t xml:space="preserve">Pratica di connessione (TICA) e STMG/STMD</w:t>
            </w:r>
          </w:p>
        </w:tc>
        <w:tc>
          <w:tcPr>
            <w:tcW w:w="624" w:type="dxa"/>
          </w:tcPr>
          <w:p>
            <w:pPr>
              <w:pStyle w:val="TableText"/>
            </w:pPr>
            <w:r>
              <w:t xml:space="preserve">A</w:t>
            </w:r>
          </w:p>
        </w:tc>
      </w:tr>
      <w:tr>
        <w:tc>
          <w:tcPr>
            <w:tcW w:w="1267" w:type="dxa"/>
          </w:tcPr>
          <w:p>
            <w:pPr>
              <w:pStyle w:val="TableText"/>
            </w:pPr>
            <w:r>
              <w:t xml:space="preserve">FVB-PRM-028</w:t>
            </w:r>
          </w:p>
        </w:tc>
        <w:tc>
          <w:tcPr>
            <w:tcW w:w="731" w:type="dxa"/>
          </w:tcPr>
          <w:p>
            <w:pPr>
              <w:pStyle w:val="TableText"/>
            </w:pPr>
            <w:r>
              <w:t xml:space="preserve">P</w:t>
            </w:r>
          </w:p>
        </w:tc>
        <w:tc>
          <w:tcPr>
            <w:tcW w:w="7017" w:type="dxa"/>
          </w:tcPr>
          <w:p>
            <w:pPr>
              <w:pStyle w:val="TableText"/>
            </w:pPr>
            <w:r>
              <w:t xml:space="preserve">Titolo autorizzativo (PAS / edilizia libera / AU)</w:t>
            </w:r>
          </w:p>
        </w:tc>
        <w:tc>
          <w:tcPr>
            <w:tcW w:w="624" w:type="dxa"/>
          </w:tcPr>
          <w:p>
            <w:pPr>
              <w:pStyle w:val="TableText"/>
            </w:pPr>
            <w:r>
              <w:t xml:space="preserve">A</w:t>
            </w:r>
          </w:p>
        </w:tc>
      </w:tr>
      <w:tr>
        <w:tc>
          <w:tcPr>
            <w:tcW w:w="1267" w:type="dxa"/>
          </w:tcPr>
          <w:p>
            <w:pPr>
              <w:pStyle w:val="TableText"/>
            </w:pPr>
            <w:r>
              <w:t xml:space="preserve">FVB-PRM-029</w:t>
            </w:r>
          </w:p>
        </w:tc>
        <w:tc>
          <w:tcPr>
            <w:tcW w:w="731" w:type="dxa"/>
          </w:tcPr>
          <w:p>
            <w:pPr>
              <w:pStyle w:val="TableText"/>
            </w:pPr>
            <w:r>
              <w:t xml:space="preserve">P</w:t>
            </w:r>
          </w:p>
        </w:tc>
        <w:tc>
          <w:tcPr>
            <w:tcW w:w="7017" w:type="dxa"/>
          </w:tcPr>
          <w:p>
            <w:pPr>
              <w:pStyle w:val="TableText"/>
            </w:pPr>
            <w:r>
              <w:t xml:space="preserve">Pratica prevenzione incendi / valutazione VVF</w:t>
            </w:r>
          </w:p>
        </w:tc>
        <w:tc>
          <w:tcPr>
            <w:tcW w:w="624" w:type="dxa"/>
          </w:tcPr>
          <w:p>
            <w:pPr>
              <w:pStyle w:val="TableText"/>
            </w:pPr>
            <w:r>
              <w:t xml:space="preserve">A</w:t>
            </w:r>
          </w:p>
        </w:tc>
      </w:tr>
      <w:tr>
        <w:tc>
          <w:tcPr>
            <w:tcW w:w="1267" w:type="dxa"/>
          </w:tcPr>
          <w:p>
            <w:pPr>
              <w:pStyle w:val="TableText"/>
            </w:pPr>
            <w:r>
              <w:t xml:space="preserve">FVB-PRM-030</w:t>
            </w:r>
          </w:p>
        </w:tc>
        <w:tc>
          <w:tcPr>
            <w:tcW w:w="731" w:type="dxa"/>
          </w:tcPr>
          <w:p>
            <w:pPr>
              <w:pStyle w:val="TableText"/>
            </w:pPr>
            <w:r>
              <w:t xml:space="preserve">P</w:t>
            </w:r>
          </w:p>
        </w:tc>
        <w:tc>
          <w:tcPr>
            <w:tcW w:w="7017" w:type="dxa"/>
          </w:tcPr>
          <w:p>
            <w:pPr>
              <w:pStyle w:val="TableText"/>
            </w:pPr>
            <w:r>
              <w:t xml:space="preserve">Pratiche GSE (RID/FER X) e Terna GAUDÌ</w:t>
            </w:r>
          </w:p>
        </w:tc>
        <w:tc>
          <w:tcPr>
            <w:tcW w:w="624" w:type="dxa"/>
          </w:tcPr>
          <w:p>
            <w:pPr>
              <w:pStyle w:val="TableText"/>
            </w:pPr>
            <w:r>
              <w:t xml:space="preserve">A</w:t>
            </w:r>
          </w:p>
        </w:tc>
      </w:tr>
      <w:tr>
        <w:tc>
          <w:tcPr>
            <w:tcW w:w="1267" w:type="dxa"/>
          </w:tcPr>
          <w:p>
            <w:pPr>
              <w:pStyle w:val="TableText"/>
            </w:pPr>
            <w:r>
              <w:t xml:space="preserve">FVB-ECO-031</w:t>
            </w:r>
          </w:p>
        </w:tc>
        <w:tc>
          <w:tcPr>
            <w:tcW w:w="731" w:type="dxa"/>
          </w:tcPr>
          <w:p>
            <w:pPr>
              <w:pStyle w:val="TableText"/>
            </w:pPr>
            <w:r>
              <w:t xml:space="preserve">K</w:t>
            </w:r>
          </w:p>
        </w:tc>
        <w:tc>
          <w:tcPr>
            <w:tcW w:w="7017" w:type="dxa"/>
          </w:tcPr>
          <w:p>
            <w:pPr>
              <w:pStyle w:val="TableText"/>
            </w:pPr>
            <w:r>
              <w:t xml:space="preserve">Computo metrico estimativo e stima CAPEX</w:t>
            </w:r>
          </w:p>
        </w:tc>
        <w:tc>
          <w:tcPr>
            <w:tcW w:w="624" w:type="dxa"/>
          </w:tcPr>
          <w:p>
            <w:pPr>
              <w:pStyle w:val="TableText"/>
            </w:pPr>
            <w:r>
              <w:t xml:space="preserve">A</w:t>
            </w:r>
          </w:p>
        </w:tc>
      </w:tr>
      <w:tr>
        <w:tc>
          <w:tcPr>
            <w:tcW w:w="1267" w:type="dxa"/>
          </w:tcPr>
          <w:p>
            <w:pPr>
              <w:pStyle w:val="TableText"/>
            </w:pPr>
            <w:r>
              <w:t xml:space="preserve">FVB-ECO-032</w:t>
            </w:r>
          </w:p>
        </w:tc>
        <w:tc>
          <w:tcPr>
            <w:tcW w:w="731" w:type="dxa"/>
          </w:tcPr>
          <w:p>
            <w:pPr>
              <w:pStyle w:val="TableText"/>
            </w:pPr>
            <w:r>
              <w:t xml:space="preserve">K</w:t>
            </w:r>
          </w:p>
        </w:tc>
        <w:tc>
          <w:tcPr>
            <w:tcW w:w="7017" w:type="dxa"/>
          </w:tcPr>
          <w:p>
            <w:pPr>
              <w:pStyle w:val="TableText"/>
            </w:pPr>
            <w:r>
              <w:t xml:space="preserve">Piano economico-finanziario e analisi incentivi</w:t>
            </w:r>
          </w:p>
        </w:tc>
        <w:tc>
          <w:tcPr>
            <w:tcW w:w="624" w:type="dxa"/>
          </w:tcPr>
          <w:p>
            <w:pPr>
              <w:pStyle w:val="TableText"/>
            </w:pPr>
            <w:r>
              <w:t xml:space="preserve">A</w:t>
            </w:r>
          </w:p>
        </w:tc>
      </w:tr>
      <w:tr>
        <w:tc>
          <w:tcPr>
            <w:tcW w:w="1267" w:type="dxa"/>
          </w:tcPr>
          <w:p>
            <w:pPr>
              <w:pStyle w:val="TableText"/>
            </w:pPr>
            <w:r>
              <w:t xml:space="preserve">FVB-COM-033</w:t>
            </w:r>
          </w:p>
        </w:tc>
        <w:tc>
          <w:tcPr>
            <w:tcW w:w="731" w:type="dxa"/>
          </w:tcPr>
          <w:p>
            <w:pPr>
              <w:pStyle w:val="TableText"/>
            </w:pPr>
            <w:r>
              <w:t xml:space="preserve">Q</w:t>
            </w:r>
          </w:p>
        </w:tc>
        <w:tc>
          <w:tcPr>
            <w:tcW w:w="7017" w:type="dxa"/>
          </w:tcPr>
          <w:p>
            <w:pPr>
              <w:pStyle w:val="TableText"/>
            </w:pPr>
            <w:r>
              <w:t xml:space="preserve">Piano di collaudo e messa in servizio (CEI EN 62446-1)</w:t>
            </w:r>
          </w:p>
        </w:tc>
        <w:tc>
          <w:tcPr>
            <w:tcW w:w="624" w:type="dxa"/>
          </w:tcPr>
          <w:p>
            <w:pPr>
              <w:pStyle w:val="TableText"/>
            </w:pPr>
            <w:r>
              <w:t xml:space="preserve">A</w:t>
            </w:r>
          </w:p>
        </w:tc>
      </w:tr>
      <w:tr>
        <w:tc>
          <w:tcPr>
            <w:tcW w:w="1267" w:type="dxa"/>
          </w:tcPr>
          <w:p>
            <w:pPr>
              <w:pStyle w:val="TableText"/>
            </w:pPr>
            <w:r>
              <w:t xml:space="preserve">FVB-COM-034</w:t>
            </w:r>
          </w:p>
        </w:tc>
        <w:tc>
          <w:tcPr>
            <w:tcW w:w="731" w:type="dxa"/>
          </w:tcPr>
          <w:p>
            <w:pPr>
              <w:pStyle w:val="TableText"/>
            </w:pPr>
            <w:r>
              <w:t xml:space="preserve">Q</w:t>
            </w:r>
          </w:p>
        </w:tc>
        <w:tc>
          <w:tcPr>
            <w:tcW w:w="7017" w:type="dxa"/>
          </w:tcPr>
          <w:p>
            <w:pPr>
              <w:pStyle w:val="TableText"/>
            </w:pPr>
            <w:r>
              <w:t xml:space="preserve">Verifiche prestazionali (PR) e collaudo funzionale</w:t>
            </w:r>
          </w:p>
        </w:tc>
        <w:tc>
          <w:tcPr>
            <w:tcW w:w="624" w:type="dxa"/>
          </w:tcPr>
          <w:p>
            <w:pPr>
              <w:pStyle w:val="TableText"/>
            </w:pPr>
            <w:r>
              <w:t xml:space="preserve">A</w:t>
            </w:r>
          </w:p>
        </w:tc>
      </w:tr>
      <w:tr>
        <w:tc>
          <w:tcPr>
            <w:tcW w:w="1267" w:type="dxa"/>
          </w:tcPr>
          <w:p>
            <w:pPr>
              <w:pStyle w:val="TableText"/>
            </w:pPr>
            <w:r>
              <w:t xml:space="preserve">FVB-BES-035</w:t>
            </w:r>
          </w:p>
        </w:tc>
        <w:tc>
          <w:tcPr>
            <w:tcW w:w="731" w:type="dxa"/>
          </w:tcPr>
          <w:p>
            <w:pPr>
              <w:pStyle w:val="TableText"/>
            </w:pPr>
            <w:r>
              <w:t xml:space="preserve">E</w:t>
            </w:r>
          </w:p>
        </w:tc>
        <w:tc>
          <w:tcPr>
            <w:tcW w:w="7017" w:type="dxa"/>
          </w:tcPr>
          <w:p>
            <w:pPr>
              <w:pStyle w:val="TableText"/>
            </w:pPr>
            <w:r>
              <w:t xml:space="preserve">Specifica tecnica BESS (IEC 62933, IEC 62619, UL 9540A)</w:t>
            </w:r>
          </w:p>
        </w:tc>
        <w:tc>
          <w:tcPr>
            <w:tcW w:w="624" w:type="dxa"/>
          </w:tcPr>
          <w:p>
            <w:pPr>
              <w:pStyle w:val="TableText"/>
            </w:pPr>
            <w:r>
              <w:t xml:space="preserve">A</w:t>
            </w:r>
          </w:p>
        </w:tc>
      </w:tr>
      <w:tr>
        <w:tc>
          <w:tcPr>
            <w:tcW w:w="1267" w:type="dxa"/>
          </w:tcPr>
          <w:p>
            <w:pPr>
              <w:pStyle w:val="TableText"/>
            </w:pPr>
            <w:r>
              <w:t xml:space="preserve">FVB-BES-036</w:t>
            </w:r>
          </w:p>
        </w:tc>
        <w:tc>
          <w:tcPr>
            <w:tcW w:w="731" w:type="dxa"/>
          </w:tcPr>
          <w:p>
            <w:pPr>
              <w:pStyle w:val="TableText"/>
            </w:pPr>
            <w:r>
              <w:t xml:space="preserve">E</w:t>
            </w:r>
          </w:p>
        </w:tc>
        <w:tc>
          <w:tcPr>
            <w:tcW w:w="7017" w:type="dxa"/>
          </w:tcPr>
          <w:p>
            <w:pPr>
              <w:pStyle w:val="TableText"/>
            </w:pPr>
            <w:r>
              <w:t xml:space="preserve">Schema unifilare BESS e PCS</w:t>
            </w:r>
          </w:p>
        </w:tc>
        <w:tc>
          <w:tcPr>
            <w:tcW w:w="624" w:type="dxa"/>
          </w:tcPr>
          <w:p>
            <w:pPr>
              <w:pStyle w:val="TableText"/>
            </w:pPr>
            <w:r>
              <w:t xml:space="preserve">A</w:t>
            </w:r>
          </w:p>
        </w:tc>
      </w:tr>
      <w:tr>
        <w:tc>
          <w:tcPr>
            <w:tcW w:w="1267" w:type="dxa"/>
          </w:tcPr>
          <w:p>
            <w:pPr>
              <w:pStyle w:val="TableText"/>
            </w:pPr>
            <w:r>
              <w:t xml:space="preserve">FVB-BES-037</w:t>
            </w:r>
          </w:p>
        </w:tc>
        <w:tc>
          <w:tcPr>
            <w:tcW w:w="731" w:type="dxa"/>
          </w:tcPr>
          <w:p>
            <w:pPr>
              <w:pStyle w:val="TableText"/>
            </w:pPr>
            <w:r>
              <w:t xml:space="preserve">E</w:t>
            </w:r>
          </w:p>
        </w:tc>
        <w:tc>
          <w:tcPr>
            <w:tcW w:w="7017" w:type="dxa"/>
          </w:tcPr>
          <w:p>
            <w:pPr>
              <w:pStyle w:val="TableText"/>
            </w:pPr>
            <w:r>
              <w:t xml:space="preserve">Relazione di sicurezza BESS e analisi rischio incendio/thermal runaway</w:t>
            </w:r>
          </w:p>
        </w:tc>
        <w:tc>
          <w:tcPr>
            <w:tcW w:w="624" w:type="dxa"/>
          </w:tcPr>
          <w:p>
            <w:pPr>
              <w:pStyle w:val="TableText"/>
            </w:pPr>
            <w:r>
              <w:t xml:space="preserve">A</w:t>
            </w:r>
          </w:p>
        </w:tc>
      </w:tr>
      <w:tr>
        <w:tc>
          <w:tcPr>
            <w:tcW w:w="1267" w:type="dxa"/>
          </w:tcPr>
          <w:p>
            <w:pPr>
              <w:pStyle w:val="TableText"/>
            </w:pPr>
            <w:r>
              <w:t xml:space="preserve">FVB-BES-038</w:t>
            </w:r>
          </w:p>
        </w:tc>
        <w:tc>
          <w:tcPr>
            <w:tcW w:w="731" w:type="dxa"/>
          </w:tcPr>
          <w:p>
            <w:pPr>
              <w:pStyle w:val="TableText"/>
            </w:pPr>
            <w:r>
              <w:t xml:space="preserve">C</w:t>
            </w:r>
          </w:p>
        </w:tc>
        <w:tc>
          <w:tcPr>
            <w:tcW w:w="7017" w:type="dxa"/>
          </w:tcPr>
          <w:p>
            <w:pPr>
              <w:pStyle w:val="TableText"/>
            </w:pPr>
            <w:r>
              <w:t xml:space="preserve">Layout area BESS, distanze e fondazioni</w:t>
            </w:r>
          </w:p>
        </w:tc>
        <w:tc>
          <w:tcPr>
            <w:tcW w:w="624" w:type="dxa"/>
          </w:tcPr>
          <w:p>
            <w:pPr>
              <w:pStyle w:val="TableText"/>
            </w:pPr>
            <w:r>
              <w:t xml:space="preserve">A</w:t>
            </w:r>
          </w:p>
        </w:tc>
      </w:tr>
      <w:tr>
        <w:tc>
          <w:tcPr>
            <w:tcW w:w="1267" w:type="dxa"/>
          </w:tcPr>
          <w:p>
            <w:pPr>
              <w:pStyle w:val="TableText"/>
            </w:pPr>
            <w:r>
              <w:t xml:space="preserve">FVB-BES-039</w:t>
            </w:r>
          </w:p>
        </w:tc>
        <w:tc>
          <w:tcPr>
            <w:tcW w:w="731" w:type="dxa"/>
          </w:tcPr>
          <w:p>
            <w:pPr>
              <w:pStyle w:val="TableText"/>
            </w:pPr>
            <w:r>
              <w:t xml:space="preserve">I</w:t>
            </w:r>
          </w:p>
        </w:tc>
        <w:tc>
          <w:tcPr>
            <w:tcW w:w="7017" w:type="dxa"/>
          </w:tcPr>
          <w:p>
            <w:pPr>
              <w:pStyle w:val="TableText"/>
            </w:pPr>
            <w:r>
              <w:t xml:space="preserve">Logiche EMS: autoconsumo, arbitraggio, peak shaving</w:t>
            </w:r>
          </w:p>
        </w:tc>
        <w:tc>
          <w:tcPr>
            <w:tcW w:w="624" w:type="dxa"/>
          </w:tcPr>
          <w:p>
            <w:pPr>
              <w:pStyle w:val="TableText"/>
            </w:pPr>
            <w:r>
              <w:t xml:space="preserve">A</w:t>
            </w:r>
          </w:p>
        </w:tc>
      </w:tr>
      <w:tr>
        <w:tc>
          <w:tcPr>
            <w:tcW w:w="1267" w:type="dxa"/>
          </w:tcPr>
          <w:p>
            <w:pPr>
              <w:pStyle w:val="TableText"/>
            </w:pPr>
            <w:r>
              <w:t xml:space="preserve">FVB-BES-040</w:t>
            </w:r>
          </w:p>
        </w:tc>
        <w:tc>
          <w:tcPr>
            <w:tcW w:w="731" w:type="dxa"/>
          </w:tcPr>
          <w:p>
            <w:pPr>
              <w:pStyle w:val="TableText"/>
            </w:pPr>
            <w:r>
              <w:t xml:space="preserve">Q</w:t>
            </w:r>
          </w:p>
        </w:tc>
        <w:tc>
          <w:tcPr>
            <w:tcW w:w="7017" w:type="dxa"/>
          </w:tcPr>
          <w:p>
            <w:pPr>
              <w:pStyle w:val="TableText"/>
            </w:pPr>
            <w:r>
              <w:t xml:space="preserve">Piano di prove FAT/SAT del BESS</w:t>
            </w:r>
          </w:p>
        </w:tc>
        <w:tc>
          <w:tcPr>
            <w:tcW w:w="624" w:type="dxa"/>
          </w:tcPr>
          <w:p>
            <w:pPr>
              <w:pStyle w:val="TableText"/>
            </w:pPr>
            <w:r>
              <w:t xml:space="preserve">A</w:t>
            </w:r>
          </w:p>
        </w:tc>
      </w:tr>
    </w:tbl>
    <w:p>
      <w:pPr>
        <w:pStyle w:val="Normal"/>
        <w:spacing w:after="60"/>
      </w:pPr>
    </w:p>
    <w:p>
      <w:pPr>
        <w:pStyle w:val="Normal"/>
      </w:pPr>
      <w:r>
        <w:t xml:space="preserve">Il riferimento "CEI 0-16 All. O/T" nel titolo FVB-AUT-026 va allineato alla numerazione degli allegati dell'edizione vigente della norma [da verificare].</w:t>
      </w:r>
    </w:p>
    <w:p>
      <w:pPr>
        <w:pStyle w:val="Normal"/>
        <w:pBdr>
          <w:bottom w:val="single" w:sz="6" w:space="1" w:color="A0A8AE"/>
        </w:pBdr>
      </w:pPr>
    </w:p>
    <w:p>
      <w:pPr>
        <w:pStyle w:val="Heading1"/>
      </w:pPr>
      <w:r>
        <w:t xml:space="preserve">17. Rischi tecnici e punti aperti</w:t>
      </w:r>
    </w:p>
    <w:tbl>
      <w:tblPr>
        <w:tblW w:w="5000" w:type="pct"/>
        <w:tblBorders>
          <w:top w:val="single" w:sz="4" w:space="0" w:color="A0A8AE"/>
          <w:left w:val="single" w:sz="4" w:space="0" w:color="A0A8AE"/>
          <w:bottom w:val="single" w:sz="4" w:space="0" w:color="A0A8AE"/>
          <w:right w:val="single" w:sz="4" w:space="0" w:color="A0A8AE"/>
          <w:insideH w:val="single" w:sz="4" w:space="0" w:color="A0A8AE"/>
          <w:insideV w:val="single" w:sz="4" w:space="0" w:color="A0A8AE"/>
        </w:tblBorders>
        <w:tblLayout w:type="fixed"/>
        <w:tblCellMar>
          <w:left w:w="70" w:type="dxa"/>
          <w:right w:w="70" w:type="dxa"/>
        </w:tblCellMar>
      </w:tblPr>
      <w:tblGrid>
        <w:gridCol w:w="148"/>
        <w:gridCol w:w="3781"/>
        <w:gridCol w:w="1372"/>
        <w:gridCol w:w="3410"/>
        <w:gridCol w:w="927"/>
      </w:tblGrid>
      <w:tr>
        <w:trPr>
          <w:tblHeader/>
        </w:trPr>
        <w:tc>
          <w:tcPr>
            <w:tcW w:w="148" w:type="dxa"/>
            <w:shd w:val="clear" w:color="auto" w:fill="E3EAEC"/>
          </w:tcPr>
          <w:p>
            <w:pPr>
              <w:pStyle w:val="TableText"/>
            </w:pPr>
            <w:r>
              <w:rPr>
                <w:b/>
              </w:rPr>
              <w:t xml:space="preserve">#</w:t>
            </w:r>
          </w:p>
        </w:tc>
        <w:tc>
          <w:tcPr>
            <w:tcW w:w="3781" w:type="dxa"/>
            <w:shd w:val="clear" w:color="auto" w:fill="E3EAEC"/>
          </w:tcPr>
          <w:p>
            <w:pPr>
              <w:pStyle w:val="TableText"/>
            </w:pPr>
            <w:r>
              <w:rPr>
                <w:b/>
              </w:rPr>
              <w:t xml:space="preserve">Rischio / punto aperto</w:t>
            </w:r>
          </w:p>
        </w:tc>
        <w:tc>
          <w:tcPr>
            <w:tcW w:w="1372" w:type="dxa"/>
            <w:shd w:val="clear" w:color="auto" w:fill="E3EAEC"/>
          </w:tcPr>
          <w:p>
            <w:pPr>
              <w:pStyle w:val="TableText"/>
            </w:pPr>
            <w:r>
              <w:rPr>
                <w:b/>
              </w:rPr>
              <w:t xml:space="preserve">Impatto</w:t>
            </w:r>
          </w:p>
        </w:tc>
        <w:tc>
          <w:tcPr>
            <w:tcW w:w="3410" w:type="dxa"/>
            <w:shd w:val="clear" w:color="auto" w:fill="E3EAEC"/>
          </w:tcPr>
          <w:p>
            <w:pPr>
              <w:pStyle w:val="TableText"/>
            </w:pPr>
            <w:r>
              <w:rPr>
                <w:b/>
              </w:rPr>
              <w:t xml:space="preserve">Mitigazione / azione</w:t>
            </w:r>
          </w:p>
        </w:tc>
        <w:tc>
          <w:tcPr>
            <w:tcW w:w="927" w:type="dxa"/>
            <w:shd w:val="clear" w:color="auto" w:fill="E3EAEC"/>
          </w:tcPr>
          <w:p>
            <w:pPr>
              <w:pStyle w:val="TableText"/>
            </w:pPr>
            <w:r>
              <w:rPr>
                <w:b/>
              </w:rPr>
              <w:t xml:space="preserve">Responsabile</w:t>
            </w:r>
          </w:p>
        </w:tc>
      </w:tr>
      <w:tr>
        <w:tc>
          <w:tcPr>
            <w:tcW w:w="148" w:type="dxa"/>
          </w:tcPr>
          <w:p>
            <w:pPr>
              <w:pStyle w:val="TableText"/>
            </w:pPr>
            <w:r>
              <w:t xml:space="preserve">1</w:t>
            </w:r>
          </w:p>
        </w:tc>
        <w:tc>
          <w:tcPr>
            <w:tcW w:w="3781" w:type="dxa"/>
          </w:tcPr>
          <w:p>
            <w:pPr>
              <w:pStyle w:val="TableText"/>
            </w:pPr>
            <w:r>
              <w:t xml:space="preserve">Temperatura minima di sito più bassa di −9,5 °C: Voc di stringa oltre 1.500 V (margine attuale 13 V)</w:t>
            </w:r>
          </w:p>
        </w:tc>
        <w:tc>
          <w:tcPr>
            <w:tcW w:w="1372" w:type="dxa"/>
          </w:tcPr>
          <w:p>
            <w:pPr>
              <w:pStyle w:val="TableText"/>
            </w:pPr>
            <w:r>
              <w:t xml:space="preserve">Alto (sicurezza, garanzia inverter)</w:t>
            </w:r>
          </w:p>
        </w:tc>
        <w:tc>
          <w:tcPr>
            <w:tcW w:w="3410" w:type="dxa"/>
          </w:tcPr>
          <w:p>
            <w:pPr>
              <w:pStyle w:val="TableText"/>
            </w:pPr>
            <w:r>
              <w:t xml:space="preserve">Analisi climatica sulla serie storica; in alternativa 27 moduli in serie</w:t>
            </w:r>
          </w:p>
        </w:tc>
        <w:tc>
          <w:tcPr>
            <w:tcW w:w="927" w:type="dxa"/>
          </w:tcPr>
          <w:p>
            <w:pPr>
              <w:pStyle w:val="TableText"/>
            </w:pPr>
            <w:r>
              <w:t xml:space="preserve">Progettista elettrico</w:t>
            </w:r>
          </w:p>
        </w:tc>
      </w:tr>
      <w:tr>
        <w:tc>
          <w:tcPr>
            <w:tcW w:w="148" w:type="dxa"/>
          </w:tcPr>
          <w:p>
            <w:pPr>
              <w:pStyle w:val="TableText"/>
            </w:pPr>
            <w:r>
              <w:t xml:space="preserve">2</w:t>
            </w:r>
          </w:p>
        </w:tc>
        <w:tc>
          <w:tcPr>
            <w:tcW w:w="3781" w:type="dxa"/>
          </w:tcPr>
          <w:p>
            <w:pPr>
              <w:pStyle w:val="TableText"/>
            </w:pPr>
            <w:r>
              <w:t xml:space="preserve">Producibilità sovrastimata dal meteo sintetico</w:t>
            </w:r>
          </w:p>
        </w:tc>
        <w:tc>
          <w:tcPr>
            <w:tcW w:w="1372" w:type="dxa"/>
          </w:tcPr>
          <w:p>
            <w:pPr>
              <w:pStyle w:val="TableText"/>
            </w:pPr>
            <w:r>
              <w:t xml:space="preserve">Medio (economia)</w:t>
            </w:r>
          </w:p>
        </w:tc>
        <w:tc>
          <w:tcPr>
            <w:tcW w:w="3410" w:type="dxa"/>
          </w:tcPr>
          <w:p>
            <w:pPr>
              <w:pStyle w:val="TableText"/>
            </w:pPr>
            <w:r>
              <w:t xml:space="preserve">PVsyst con TMY PVGIS/Solargis, P50/P90, layout 3D</w:t>
            </w:r>
          </w:p>
        </w:tc>
        <w:tc>
          <w:tcPr>
            <w:tcW w:w="927" w:type="dxa"/>
          </w:tcPr>
          <w:p>
            <w:pPr>
              <w:pStyle w:val="TableText"/>
            </w:pPr>
            <w:r>
              <w:t xml:space="preserve">Progettista FV</w:t>
            </w:r>
          </w:p>
        </w:tc>
      </w:tr>
      <w:tr>
        <w:tc>
          <w:tcPr>
            <w:tcW w:w="148" w:type="dxa"/>
          </w:tcPr>
          <w:p>
            <w:pPr>
              <w:pStyle w:val="TableText"/>
            </w:pPr>
            <w:r>
              <w:t xml:space="preserve">3</w:t>
            </w:r>
          </w:p>
        </w:tc>
        <w:tc>
          <w:tcPr>
            <w:tcW w:w="3781" w:type="dxa"/>
          </w:tcPr>
          <w:p>
            <w:pPr>
              <w:pStyle w:val="TableText"/>
            </w:pPr>
            <w:r>
              <w:t xml:space="preserve">Cabina utente esistente non adeguabile (spazio, Icc, SPG)</w:t>
            </w:r>
          </w:p>
        </w:tc>
        <w:tc>
          <w:tcPr>
            <w:tcW w:w="1372" w:type="dxa"/>
          </w:tcPr>
          <w:p>
            <w:pPr>
              <w:pStyle w:val="TableText"/>
            </w:pPr>
            <w:r>
              <w:t xml:space="preserve">Alto (costo e tempi)</w:t>
            </w:r>
          </w:p>
        </w:tc>
        <w:tc>
          <w:tcPr>
            <w:tcW w:w="3410" w:type="dxa"/>
          </w:tcPr>
          <w:p>
            <w:pPr>
              <w:pStyle w:val="TableText"/>
            </w:pPr>
            <w:r>
              <w:t xml:space="preserve">Sopralluogo e rilievo della cabina; richiesta dei dati di rete al distributore</w:t>
            </w:r>
          </w:p>
        </w:tc>
        <w:tc>
          <w:tcPr>
            <w:tcW w:w="927" w:type="dxa"/>
          </w:tcPr>
          <w:p>
            <w:pPr>
              <w:pStyle w:val="TableText"/>
            </w:pPr>
            <w:r>
              <w:t xml:space="preserve">Progettista MT</w:t>
            </w:r>
          </w:p>
        </w:tc>
      </w:tr>
      <w:tr>
        <w:tc>
          <w:tcPr>
            <w:tcW w:w="148" w:type="dxa"/>
          </w:tcPr>
          <w:p>
            <w:pPr>
              <w:pStyle w:val="TableText"/>
            </w:pPr>
            <w:r>
              <w:t xml:space="preserve">4</w:t>
            </w:r>
          </w:p>
        </w:tc>
        <w:tc>
          <w:tcPr>
            <w:tcW w:w="3781" w:type="dxa"/>
          </w:tcPr>
          <w:p>
            <w:pPr>
              <w:pStyle w:val="TableText"/>
            </w:pPr>
            <w:r>
              <w:t xml:space="preserve">Corrente di cortocircuito di rete e tempi di eliminazione del guasto diversi da 12,5 kA / 0,5 s</w:t>
            </w:r>
          </w:p>
        </w:tc>
        <w:tc>
          <w:tcPr>
            <w:tcW w:w="1372" w:type="dxa"/>
          </w:tcPr>
          <w:p>
            <w:pPr>
              <w:pStyle w:val="TableText"/>
            </w:pPr>
            <w:r>
              <w:t xml:space="preserve">Medio</w:t>
            </w:r>
          </w:p>
        </w:tc>
        <w:tc>
          <w:tcPr>
            <w:tcW w:w="3410" w:type="dxa"/>
          </w:tcPr>
          <w:p>
            <w:pPr>
              <w:pStyle w:val="TableText"/>
            </w:pPr>
            <w:r>
              <w:t xml:space="preserve">Linea MT già portata a 120 mm²; confermare Icc dal distributore e la selettività</w:t>
            </w:r>
          </w:p>
        </w:tc>
        <w:tc>
          <w:tcPr>
            <w:tcW w:w="927" w:type="dxa"/>
          </w:tcPr>
          <w:p>
            <w:pPr>
              <w:pStyle w:val="TableText"/>
            </w:pPr>
            <w:r>
              <w:t xml:space="preserve">Progettista MT</w:t>
            </w:r>
          </w:p>
        </w:tc>
      </w:tr>
      <w:tr>
        <w:tc>
          <w:tcPr>
            <w:tcW w:w="148" w:type="dxa"/>
          </w:tcPr>
          <w:p>
            <w:pPr>
              <w:pStyle w:val="TableText"/>
            </w:pPr>
            <w:r>
              <w:t xml:space="preserve">5</w:t>
            </w:r>
          </w:p>
        </w:tc>
        <w:tc>
          <w:tcPr>
            <w:tcW w:w="3781" w:type="dxa"/>
          </w:tcPr>
          <w:p>
            <w:pPr>
              <w:pStyle w:val="TableText"/>
            </w:pPr>
            <w:r>
              <w:t xml:space="preserve">Tempi e condizioni del preventivo di connessione (immissione 3 MW)</w:t>
            </w:r>
          </w:p>
        </w:tc>
        <w:tc>
          <w:tcPr>
            <w:tcW w:w="1372" w:type="dxa"/>
          </w:tcPr>
          <w:p>
            <w:pPr>
              <w:pStyle w:val="TableText"/>
            </w:pPr>
            <w:r>
              <w:t xml:space="preserve">Alto (tempi)</w:t>
            </w:r>
          </w:p>
        </w:tc>
        <w:tc>
          <w:tcPr>
            <w:tcW w:w="3410" w:type="dxa"/>
          </w:tcPr>
          <w:p>
            <w:pPr>
              <w:pStyle w:val="TableText"/>
            </w:pPr>
            <w:r>
              <w:t xml:space="preserve">Domanda di connessione anticipata; valutazione di immissione limitata o zero</w:t>
            </w:r>
          </w:p>
        </w:tc>
        <w:tc>
          <w:tcPr>
            <w:tcW w:w="927" w:type="dxa"/>
          </w:tcPr>
          <w:p>
            <w:pPr>
              <w:pStyle w:val="TableText"/>
            </w:pPr>
            <w:r>
              <w:t xml:space="preserve">Committente</w:t>
            </w:r>
          </w:p>
        </w:tc>
      </w:tr>
      <w:tr>
        <w:tc>
          <w:tcPr>
            <w:tcW w:w="148" w:type="dxa"/>
          </w:tcPr>
          <w:p>
            <w:pPr>
              <w:pStyle w:val="TableText"/>
            </w:pPr>
            <w:r>
              <w:t xml:space="preserve">6</w:t>
            </w:r>
          </w:p>
        </w:tc>
        <w:tc>
          <w:tcPr>
            <w:tcW w:w="3781" w:type="dxa"/>
          </w:tcPr>
          <w:p>
            <w:pPr>
              <w:pStyle w:val="TableText"/>
            </w:pPr>
            <w:r>
              <w:t xml:space="preserve">Prescrizioni VVF sul BESS (distanze, estinzione, riserva idrica)</w:t>
            </w:r>
          </w:p>
        </w:tc>
        <w:tc>
          <w:tcPr>
            <w:tcW w:w="1372" w:type="dxa"/>
          </w:tcPr>
          <w:p>
            <w:pPr>
              <w:pStyle w:val="TableText"/>
            </w:pPr>
            <w:r>
              <w:t xml:space="preserve">Medio</w:t>
            </w:r>
          </w:p>
        </w:tc>
        <w:tc>
          <w:tcPr>
            <w:tcW w:w="3410" w:type="dxa"/>
          </w:tcPr>
          <w:p>
            <w:pPr>
              <w:pStyle w:val="TableText"/>
            </w:pPr>
            <w:r>
              <w:t xml:space="preserve">Confronto preventivo col Comando VVF; scelta di un prodotto con report UL 9540A favorevole</w:t>
            </w:r>
          </w:p>
        </w:tc>
        <w:tc>
          <w:tcPr>
            <w:tcW w:w="927" w:type="dxa"/>
          </w:tcPr>
          <w:p>
            <w:pPr>
              <w:pStyle w:val="TableText"/>
            </w:pPr>
            <w:r>
              <w:t xml:space="preserve">Progettista antincendio</w:t>
            </w:r>
          </w:p>
        </w:tc>
      </w:tr>
      <w:tr>
        <w:tc>
          <w:tcPr>
            <w:tcW w:w="148" w:type="dxa"/>
          </w:tcPr>
          <w:p>
            <w:pPr>
              <w:pStyle w:val="TableText"/>
            </w:pPr>
            <w:r>
              <w:t xml:space="preserve">7</w:t>
            </w:r>
          </w:p>
        </w:tc>
        <w:tc>
          <w:tcPr>
            <w:tcW w:w="3781" w:type="dxa"/>
          </w:tcPr>
          <w:p>
            <w:pPr>
              <w:pStyle w:val="TableText"/>
            </w:pPr>
            <w:r>
              <w:t xml:space="preserve">Trasformatore in olio: attività soggetta</w:t>
            </w:r>
          </w:p>
        </w:tc>
        <w:tc>
          <w:tcPr>
            <w:tcW w:w="1372" w:type="dxa"/>
          </w:tcPr>
          <w:p>
            <w:pPr>
              <w:pStyle w:val="TableText"/>
            </w:pPr>
            <w:r>
              <w:t xml:space="preserve">Basso/medio</w:t>
            </w:r>
          </w:p>
        </w:tc>
        <w:tc>
          <w:tcPr>
            <w:tcW w:w="3410" w:type="dxa"/>
          </w:tcPr>
          <w:p>
            <w:pPr>
              <w:pStyle w:val="TableText"/>
            </w:pPr>
            <w:r>
              <w:t xml:space="preserve">Trasformatore secco o in estere, vasca di contenimento, distanze</w:t>
            </w:r>
          </w:p>
        </w:tc>
        <w:tc>
          <w:tcPr>
            <w:tcW w:w="927" w:type="dxa"/>
          </w:tcPr>
          <w:p>
            <w:pPr>
              <w:pStyle w:val="TableText"/>
            </w:pPr>
            <w:r>
              <w:t xml:space="preserve">Progettista</w:t>
            </w:r>
          </w:p>
        </w:tc>
      </w:tr>
      <w:tr>
        <w:tc>
          <w:tcPr>
            <w:tcW w:w="148" w:type="dxa"/>
          </w:tcPr>
          <w:p>
            <w:pPr>
              <w:pStyle w:val="TableText"/>
            </w:pPr>
            <w:r>
              <w:t xml:space="preserve">8</w:t>
            </w:r>
          </w:p>
        </w:tc>
        <w:tc>
          <w:tcPr>
            <w:tcW w:w="3781" w:type="dxa"/>
          </w:tcPr>
          <w:p>
            <w:pPr>
              <w:pStyle w:val="TableText"/>
            </w:pPr>
            <w:r>
              <w:t xml:space="preserve">Geotecnica sfavorevole (falda, terreni di riporto, aggressività)</w:t>
            </w:r>
          </w:p>
        </w:tc>
        <w:tc>
          <w:tcPr>
            <w:tcW w:w="1372" w:type="dxa"/>
          </w:tcPr>
          <w:p>
            <w:pPr>
              <w:pStyle w:val="TableText"/>
            </w:pPr>
            <w:r>
              <w:t xml:space="preserve">Medio (costo fondazioni)</w:t>
            </w:r>
          </w:p>
        </w:tc>
        <w:tc>
          <w:tcPr>
            <w:tcW w:w="3410" w:type="dxa"/>
          </w:tcPr>
          <w:p>
            <w:pPr>
              <w:pStyle w:val="TableText"/>
            </w:pPr>
            <w:r>
              <w:t xml:space="preserve">Indagini e prove di estrazione prima del definitivo</w:t>
            </w:r>
          </w:p>
        </w:tc>
        <w:tc>
          <w:tcPr>
            <w:tcW w:w="927" w:type="dxa"/>
          </w:tcPr>
          <w:p>
            <w:pPr>
              <w:pStyle w:val="TableText"/>
            </w:pPr>
            <w:r>
              <w:t xml:space="preserve">Geologo / strutturista</w:t>
            </w:r>
          </w:p>
        </w:tc>
      </w:tr>
      <w:tr>
        <w:tc>
          <w:tcPr>
            <w:tcW w:w="148" w:type="dxa"/>
          </w:tcPr>
          <w:p>
            <w:pPr>
              <w:pStyle w:val="TableText"/>
            </w:pPr>
            <w:r>
              <w:t xml:space="preserve">9</w:t>
            </w:r>
          </w:p>
        </w:tc>
        <w:tc>
          <w:tcPr>
            <w:tcW w:w="3781" w:type="dxa"/>
          </w:tcPr>
          <w:p>
            <w:pPr>
              <w:pStyle w:val="TableText"/>
            </w:pPr>
            <w:r>
              <w:t xml:space="preserve">Invarianza idraulica e vincoli paesaggistici</w:t>
            </w:r>
          </w:p>
        </w:tc>
        <w:tc>
          <w:tcPr>
            <w:tcW w:w="1372" w:type="dxa"/>
          </w:tcPr>
          <w:p>
            <w:pPr>
              <w:pStyle w:val="TableText"/>
            </w:pPr>
            <w:r>
              <w:t xml:space="preserve">Medio</w:t>
            </w:r>
          </w:p>
        </w:tc>
        <w:tc>
          <w:tcPr>
            <w:tcW w:w="3410" w:type="dxa"/>
          </w:tcPr>
          <w:p>
            <w:pPr>
              <w:pStyle w:val="TableText"/>
            </w:pPr>
            <w:r>
              <w:t xml:space="preserve">Verifica preliminare in Comune e Regione</w:t>
            </w:r>
          </w:p>
        </w:tc>
        <w:tc>
          <w:tcPr>
            <w:tcW w:w="927" w:type="dxa"/>
          </w:tcPr>
          <w:p>
            <w:pPr>
              <w:pStyle w:val="TableText"/>
            </w:pPr>
            <w:r>
              <w:t xml:space="preserve">Progettista civile</w:t>
            </w:r>
          </w:p>
        </w:tc>
      </w:tr>
      <w:tr>
        <w:tc>
          <w:tcPr>
            <w:tcW w:w="148" w:type="dxa"/>
          </w:tcPr>
          <w:p>
            <w:pPr>
              <w:pStyle w:val="TableText"/>
            </w:pPr>
            <w:r>
              <w:t xml:space="preserve">10</w:t>
            </w:r>
          </w:p>
        </w:tc>
        <w:tc>
          <w:tcPr>
            <w:tcW w:w="3781" w:type="dxa"/>
          </w:tcPr>
          <w:p>
            <w:pPr>
              <w:pStyle w:val="TableText"/>
            </w:pPr>
            <w:r>
              <w:t xml:space="preserve">Prestazioni reali dell'arbitraggio inferiori alla simulazione (previsione perfetta)</w:t>
            </w:r>
          </w:p>
        </w:tc>
        <w:tc>
          <w:tcPr>
            <w:tcW w:w="1372" w:type="dxa"/>
          </w:tcPr>
          <w:p>
            <w:pPr>
              <w:pStyle w:val="TableText"/>
            </w:pPr>
            <w:r>
              <w:t xml:space="preserve">Medio (economia)</w:t>
            </w:r>
          </w:p>
        </w:tc>
        <w:tc>
          <w:tcPr>
            <w:tcW w:w="3410" w:type="dxa"/>
          </w:tcPr>
          <w:p>
            <w:pPr>
              <w:pStyle w:val="TableText"/>
            </w:pPr>
            <w:r>
              <w:t xml:space="preserve">EMS con previsioni e ottimizzazione; KPI di esercizio</w:t>
            </w:r>
          </w:p>
        </w:tc>
        <w:tc>
          <w:tcPr>
            <w:tcW w:w="927" w:type="dxa"/>
          </w:tcPr>
          <w:p>
            <w:pPr>
              <w:pStyle w:val="TableText"/>
            </w:pPr>
            <w:r>
              <w:t xml:space="preserve">Fornitore EMS</w:t>
            </w:r>
          </w:p>
        </w:tc>
      </w:tr>
      <w:tr>
        <w:tc>
          <w:tcPr>
            <w:tcW w:w="148" w:type="dxa"/>
          </w:tcPr>
          <w:p>
            <w:pPr>
              <w:pStyle w:val="TableText"/>
            </w:pPr>
            <w:r>
              <w:t xml:space="preserve">11</w:t>
            </w:r>
          </w:p>
        </w:tc>
        <w:tc>
          <w:tcPr>
            <w:tcW w:w="3781" w:type="dxa"/>
          </w:tcPr>
          <w:p>
            <w:pPr>
              <w:pStyle w:val="TableText"/>
            </w:pPr>
            <w:r>
              <w:t xml:space="preserve">Degrado BESS più rapido del previsto</w:t>
            </w:r>
          </w:p>
        </w:tc>
        <w:tc>
          <w:tcPr>
            <w:tcW w:w="1372" w:type="dxa"/>
          </w:tcPr>
          <w:p>
            <w:pPr>
              <w:pStyle w:val="TableText"/>
            </w:pPr>
            <w:r>
              <w:t xml:space="preserve">Medio</w:t>
            </w:r>
          </w:p>
        </w:tc>
        <w:tc>
          <w:tcPr>
            <w:tcW w:w="3410" w:type="dxa"/>
          </w:tcPr>
          <w:p>
            <w:pPr>
              <w:pStyle w:val="TableText"/>
            </w:pPr>
            <w:r>
              <w:t xml:space="preserve">Garanzia di capacità ed energia annua; contratto LTSA con augmentation</w:t>
            </w:r>
          </w:p>
        </w:tc>
        <w:tc>
          <w:tcPr>
            <w:tcW w:w="927" w:type="dxa"/>
          </w:tcPr>
          <w:p>
            <w:pPr>
              <w:pStyle w:val="TableText"/>
            </w:pPr>
            <w:r>
              <w:t xml:space="preserve">Committente</w:t>
            </w:r>
          </w:p>
        </w:tc>
      </w:tr>
      <w:tr>
        <w:tc>
          <w:tcPr>
            <w:tcW w:w="148" w:type="dxa"/>
          </w:tcPr>
          <w:p>
            <w:pPr>
              <w:pStyle w:val="TableText"/>
            </w:pPr>
            <w:r>
              <w:t xml:space="preserve">12</w:t>
            </w:r>
          </w:p>
        </w:tc>
        <w:tc>
          <w:tcPr>
            <w:tcW w:w="3781" w:type="dxa"/>
          </w:tcPr>
          <w:p>
            <w:pPr>
              <w:pStyle w:val="TableText"/>
            </w:pPr>
            <w:r>
              <w:t xml:space="preserve">Disponibilità di moduli ENEA categoria B/C (requisito dell'iper-ammortamento)</w:t>
            </w:r>
          </w:p>
        </w:tc>
        <w:tc>
          <w:tcPr>
            <w:tcW w:w="1372" w:type="dxa"/>
          </w:tcPr>
          <w:p>
            <w:pPr>
              <w:pStyle w:val="TableText"/>
            </w:pPr>
            <w:r>
              <w:t xml:space="preserve">Alto (incentivi)</w:t>
            </w:r>
          </w:p>
        </w:tc>
        <w:tc>
          <w:tcPr>
            <w:tcW w:w="3410" w:type="dxa"/>
          </w:tcPr>
          <w:p>
            <w:pPr>
              <w:pStyle w:val="TableText"/>
            </w:pPr>
            <w:r>
              <w:t xml:space="preserve">Verificare offerta e prezzo prima dell'ordine; scenario senza incentivo</w:t>
            </w:r>
          </w:p>
        </w:tc>
        <w:tc>
          <w:tcPr>
            <w:tcW w:w="927" w:type="dxa"/>
          </w:tcPr>
          <w:p>
            <w:pPr>
              <w:pStyle w:val="TableText"/>
            </w:pPr>
            <w:r>
              <w:t xml:space="preserve">Committente</w:t>
            </w:r>
          </w:p>
        </w:tc>
      </w:tr>
      <w:tr>
        <w:tc>
          <w:tcPr>
            <w:tcW w:w="148" w:type="dxa"/>
          </w:tcPr>
          <w:p>
            <w:pPr>
              <w:pStyle w:val="TableText"/>
            </w:pPr>
            <w:r>
              <w:t xml:space="preserve">13</w:t>
            </w:r>
          </w:p>
        </w:tc>
        <w:tc>
          <w:tcPr>
            <w:tcW w:w="3781" w:type="dxa"/>
          </w:tcPr>
          <w:p>
            <w:pPr>
              <w:pStyle w:val="TableText"/>
            </w:pPr>
            <w:r>
              <w:t xml:space="preserve">Requisiti del Reg. UE 2023/1542 (passaporto, impronta di carbonio)</w:t>
            </w:r>
          </w:p>
        </w:tc>
        <w:tc>
          <w:tcPr>
            <w:tcW w:w="1372" w:type="dxa"/>
          </w:tcPr>
          <w:p>
            <w:pPr>
              <w:pStyle w:val="TableText"/>
            </w:pPr>
            <w:r>
              <w:t xml:space="preserve">Basso</w:t>
            </w:r>
          </w:p>
        </w:tc>
        <w:tc>
          <w:tcPr>
            <w:tcW w:w="3410" w:type="dxa"/>
          </w:tcPr>
          <w:p>
            <w:pPr>
              <w:pStyle w:val="TableText"/>
            </w:pPr>
            <w:r>
              <w:t xml:space="preserve">Clausole contrattuali con il fornitore del BESS</w:t>
            </w:r>
          </w:p>
        </w:tc>
        <w:tc>
          <w:tcPr>
            <w:tcW w:w="927" w:type="dxa"/>
          </w:tcPr>
          <w:p>
            <w:pPr>
              <w:pStyle w:val="TableText"/>
            </w:pPr>
            <w:r>
              <w:t xml:space="preserve">Procurement</w:t>
            </w:r>
          </w:p>
        </w:tc>
      </w:tr>
      <w:tr>
        <w:tc>
          <w:tcPr>
            <w:tcW w:w="148" w:type="dxa"/>
          </w:tcPr>
          <w:p>
            <w:pPr>
              <w:pStyle w:val="TableText"/>
            </w:pPr>
            <w:r>
              <w:t xml:space="preserve">14</w:t>
            </w:r>
          </w:p>
        </w:tc>
        <w:tc>
          <w:tcPr>
            <w:tcW w:w="3781" w:type="dxa"/>
          </w:tcPr>
          <w:p>
            <w:pPr>
              <w:pStyle w:val="TableText"/>
            </w:pPr>
            <w:r>
              <w:t xml:space="preserve">Cybersecurity dell'accesso remoto (inverter, EMS, aggregatore)</w:t>
            </w:r>
          </w:p>
        </w:tc>
        <w:tc>
          <w:tcPr>
            <w:tcW w:w="1372" w:type="dxa"/>
          </w:tcPr>
          <w:p>
            <w:pPr>
              <w:pStyle w:val="TableText"/>
            </w:pPr>
            <w:r>
              <w:t xml:space="preserve">Medio</w:t>
            </w:r>
          </w:p>
        </w:tc>
        <w:tc>
          <w:tcPr>
            <w:tcW w:w="3410" w:type="dxa"/>
          </w:tcPr>
          <w:p>
            <w:pPr>
              <w:pStyle w:val="TableText"/>
            </w:pPr>
            <w:r>
              <w:t xml:space="preserve">Architettura IEC 62443, VPN, segmentazione</w:t>
            </w:r>
          </w:p>
        </w:tc>
        <w:tc>
          <w:tcPr>
            <w:tcW w:w="927" w:type="dxa"/>
          </w:tcPr>
          <w:p>
            <w:pPr>
              <w:pStyle w:val="TableText"/>
            </w:pPr>
            <w:r>
              <w:t xml:space="preserve">ICT / OT</w:t>
            </w:r>
          </w:p>
        </w:tc>
      </w:tr>
      <w:tr>
        <w:tc>
          <w:tcPr>
            <w:tcW w:w="148" w:type="dxa"/>
          </w:tcPr>
          <w:p>
            <w:pPr>
              <w:pStyle w:val="TableText"/>
            </w:pPr>
            <w:r>
              <w:t xml:space="preserve">15</w:t>
            </w:r>
          </w:p>
        </w:tc>
        <w:tc>
          <w:tcPr>
            <w:tcW w:w="3781" w:type="dxa"/>
          </w:tcPr>
          <w:p>
            <w:pPr>
              <w:pStyle w:val="TableText"/>
            </w:pPr>
            <w:r>
              <w:t xml:space="preserve">Coefficienti di raggruppamento dei cavi BT (7 circuiti affiancati)</w:t>
            </w:r>
          </w:p>
        </w:tc>
        <w:tc>
          <w:tcPr>
            <w:tcW w:w="1372" w:type="dxa"/>
          </w:tcPr>
          <w:p>
            <w:pPr>
              <w:pStyle w:val="TableText"/>
            </w:pPr>
            <w:r>
              <w:t xml:space="preserve">Basso</w:t>
            </w:r>
          </w:p>
        </w:tc>
        <w:tc>
          <w:tcPr>
            <w:tcW w:w="3410" w:type="dxa"/>
          </w:tcPr>
          <w:p>
            <w:pPr>
              <w:pStyle w:val="TableText"/>
            </w:pPr>
            <w:r>
              <w:t xml:space="preserve">Verifica CEI UNEL 35026; 300 mm² o cavidotti separati</w:t>
            </w:r>
          </w:p>
        </w:tc>
        <w:tc>
          <w:tcPr>
            <w:tcW w:w="927" w:type="dxa"/>
          </w:tcPr>
          <w:p>
            <w:pPr>
              <w:pStyle w:val="TableText"/>
            </w:pPr>
            <w:r>
              <w:t xml:space="preserve">Progettista elettrico</w:t>
            </w:r>
          </w:p>
        </w:tc>
      </w:tr>
    </w:tbl>
    <w:p>
      <w:pPr>
        <w:pStyle w:val="Normal"/>
        <w:spacing w:after="60"/>
      </w:pPr>
    </w:p>
    <w:p>
      <w:pPr>
        <w:pStyle w:val="Normal"/>
        <w:pBdr>
          <w:bottom w:val="single" w:sz="6" w:space="1" w:color="A0A8AE"/>
        </w:pBdr>
      </w:pPr>
    </w:p>
    <w:p>
      <w:pPr>
        <w:pStyle w:val="Heading1"/>
      </w:pPr>
      <w:r>
        <w:t xml:space="preserve">Allegati e riferimenti</w:t>
      </w:r>
    </w:p>
    <w:p>
      <w:pPr>
        <w:pStyle w:val="ListParagraph"/>
      </w:pPr>
      <w:r>
        <w:t xml:space="preserve">•  </w:t>
      </w:r>
      <w:r>
        <w:rPr>
          <w:rFonts w:ascii="Consolas" w:hAnsi="Consolas" w:cs="Consolas"/>
        </w:rPr>
        <w:t xml:space="preserve">docs/allegati/A1_Risultati_casi.md</w:t>
      </w:r>
      <w:r>
        <w:t xml:space="preserve">: risultati del simulatore (caso A: bilancio energetico § 6, dati di ingegneria § 10).</w:t>
      </w:r>
    </w:p>
    <w:p>
      <w:pPr>
        <w:pStyle w:val="ListParagraph"/>
      </w:pPr>
      <w:r>
        <w:t xml:space="preserve">•  </w:t>
      </w:r>
      <w:r>
        <w:rPr>
          <w:rFonts w:ascii="Consolas" w:hAnsi="Consolas" w:cs="Consolas"/>
        </w:rPr>
        <w:t xml:space="preserve">docs/allegati/A2_Benchmark_costi_2026.md</w:t>
      </w:r>
      <w:r>
        <w:t xml:space="preserve">: benchmark di costo e prestazione.</w:t>
      </w:r>
    </w:p>
    <w:p>
      <w:pPr>
        <w:pStyle w:val="ListParagraph"/>
      </w:pPr>
      <w:r>
        <w:t xml:space="preserve">•  </w:t>
      </w:r>
      <w:r>
        <w:rPr>
          <w:rFonts w:ascii="Consolas" w:hAnsi="Consolas" w:cs="Consolas"/>
        </w:rPr>
        <w:t xml:space="preserve">docs/02_Analisi_Economica.md</w:t>
      </w:r>
      <w:r>
        <w:t xml:space="preserve">: analisi economica e scenari.</w:t>
      </w:r>
    </w:p>
    <w:p>
      <w:pPr>
        <w:pStyle w:val="ListParagraph"/>
      </w:pPr>
      <w:r>
        <w:t xml:space="preserve">•  </w:t>
      </w:r>
      <w:r>
        <w:rPr>
          <w:rFonts w:ascii="Consolas" w:hAnsi="Consolas" w:cs="Consolas"/>
        </w:rPr>
        <w:t xml:space="preserve">docs/03_Contributi_Incentivi_UE_IT.md</w:t>
      </w:r>
      <w:r>
        <w:t xml:space="preserve">: incentivi, quadro autorizzativo e aree idonee.</w:t>
      </w:r>
    </w:p>
    <w:p>
      <w:pPr>
        <w:pStyle w:val="ListParagraph"/>
      </w:pPr>
      <w:r>
        <w:t xml:space="preserve">•  </w:t>
      </w:r>
      <w:r>
        <w:rPr>
          <w:rFonts w:ascii="Consolas" w:hAnsi="Consolas" w:cs="Consolas"/>
        </w:rPr>
        <w:t xml:space="preserve">docs/04_Valutazione_CAPEX.md</w:t>
      </w:r>
      <w:r>
        <w:t xml:space="preserve">: stima del CAPEX per voci.</w:t>
      </w:r>
    </w:p>
    <w:p>
      <w:pPr>
        <w:pStyle w:val="ListParagraph"/>
      </w:pPr>
      <w:r>
        <w:t xml:space="preserve">•  </w:t>
      </w:r>
      <w:r>
        <w:t xml:space="preserve">Simulatore: </w:t>
      </w:r>
      <w:r>
        <w:rPr>
          <w:rFonts w:ascii="Consolas" w:hAnsi="Consolas" w:cs="Consolas"/>
        </w:rPr>
        <w:t xml:space="preserve">index.html</w:t>
      </w:r>
      <w:r>
        <w:t xml:space="preserve"> (scheda Ingegneria) e </w:t>
      </w:r>
      <w:r>
        <w:rPr>
          <w:rFonts w:ascii="Consolas" w:hAnsi="Consolas" w:cs="Consolas"/>
        </w:rPr>
        <w:t xml:space="preserve">js/engine.js</w:t>
      </w:r>
      <w:r>
        <w:t xml:space="preserve"> (funzioni </w:t>
      </w:r>
      <w:r>
        <w:rPr>
          <w:rFonts w:ascii="Consolas" w:hAnsi="Consolas" w:cs="Consolas"/>
        </w:rPr>
        <w:t xml:space="preserve">pvModel</w:t>
      </w:r>
      <w:r>
        <w:t xml:space="preserve">, </w:t>
      </w:r>
      <w:r>
        <w:rPr>
          <w:rFonts w:ascii="Consolas" w:hAnsi="Consolas" w:cs="Consolas"/>
        </w:rPr>
        <w:t xml:space="preserve">dispatchYear</w:t>
      </w:r>
      <w:r>
        <w:t xml:space="preserve">, </w:t>
      </w:r>
      <w:r>
        <w:rPr>
          <w:rFonts w:ascii="Consolas" w:hAnsi="Consolas" w:cs="Consolas"/>
        </w:rPr>
        <w:t xml:space="preserve">engineering</w:t>
      </w:r>
      <w:r>
        <w:t xml:space="preserve">, </w:t>
      </w:r>
      <w:r>
        <w:rPr>
          <w:rFonts w:ascii="Consolas" w:hAnsi="Consolas" w:cs="Consolas"/>
        </w:rPr>
        <w:t xml:space="preserve">mdr</w:t>
      </w:r>
      <w:r>
        <w:t xml:space="preserve">).</w:t>
      </w:r>
    </w:p>
    <w:p/>
    <w:sectPr>
      <w:headerReference w:type="default" r:id="rId2"/>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tabs>
        <w:tab w:val="right" w:pos="9638"/>
      </w:tabs>
    </w:pPr>
    <w:r>
      <w:t xml:space="preserve">Bozza generata dal simulatore FV + BESS</w:t>
    </w:r>
    <w:r>
      <w:tab/>
      <w:t xml:space="preserve">Pag. </w:t>
    </w:r>
    <w:fldSimple w:instr=" PAGE ">
      <w:r>
        <w:t>1</w:t>
      </w:r>
    </w:fldSimple>
    <w:r>
      <w:t xml:space="preserve"> di </w:t>
    </w:r>
    <w:fldSimple w:instr=" NUMPAGES ">
      <w:r>
        <w:t>1</w:t>
      </w:r>
    </w:fldSimple>
  </w:p>
</w:ftr>
</file>

<file path=word/header1.xml><?xml version="1.0" encoding="utf-8"?>
<w:hdr xmlns:w="http://schemas.openxmlformats.org/wordprocessingml/2006/main" xmlns:r="http://schemas.openxmlformats.org/officeDocument/2006/relationships">
  <w:p>
    <w:pPr>
      <w:pStyle w:val="Header"/>
      <w:tabs>
        <w:tab w:val="right" w:pos="9638"/>
      </w:tabs>
    </w:pPr>
    <w:r>
      <w:t xml:space="preserve">Simulatore FV + BESS · FVB-ENG-001</w:t>
    </w:r>
    <w:r>
      <w:tab/>
      <w:t xml:space="preserve">Rev. A</w:t>
    </w:r>
  </w:p>
</w:hdr>
</file>

<file path=word/settings.xml><?xml version="1.0" encoding="utf-8"?>
<w:settings xmlns:w="http://schemas.openxmlformats.org/wordprocessingml/2006/main" xmlns:r="http://schemas.openxmlformats.org/officeDocument/2006/relationships">
  <w:defaultTabStop w:val="708"/>
  <w:characterSpacingControl w:val="doNotCompress"/>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0"/>
        <w:szCs w:val="20"/>
        <w:lang w:val="it-IT"/>
      </w:rPr>
    </w:rPrDefault>
    <w:pPrDefault>
      <w:pPr>
        <w:spacing w:after="100" w:line="264" w:lineRule="auto"/>
      </w:pPr>
    </w:pPrDefault>
  </w:docDefaults>
  <w:style w:type="paragraph" w:styleId="Normal" w:default="1">
    <w:name w:val="Normal"/>
  </w:style>
  <w:style w:type="paragraph" w:styleId="Title">
    <w:name w:val="Title"/>
    <w:basedOn w:val="Normal"/>
    <w:next w:val="Normal"/>
    <w:pPr>
      <w:keepNext/>
      <w:spacing w:after="200"/>
    </w:pPr>
    <w:rPr>
      <w:b/>
      <w:color w:val="13283A"/>
      <w:sz w:val="32"/>
      <w:szCs w:val="32"/>
    </w:rPr>
  </w:style>
  <w:style w:type="paragraph" w:styleId="Heading1">
    <w:name w:val="heading 1"/>
    <w:basedOn w:val="Normal"/>
    <w:next w:val="Normal"/>
    <w:pPr>
      <w:keepNext/>
      <w:spacing w:before="280" w:after="120"/>
      <w:pBdr>
        <w:bottom w:val="single" w:sz="4" w:space="2" w:color="B86A10"/>
      </w:pBdr>
      <w:outlineLvl w:val="0"/>
    </w:pPr>
    <w:rPr>
      <w:b/>
      <w:color w:val="13283A"/>
      <w:sz w:val="26"/>
      <w:szCs w:val="26"/>
    </w:rPr>
  </w:style>
  <w:style w:type="paragraph" w:styleId="Heading2">
    <w:name w:val="heading 2"/>
    <w:basedOn w:val="Normal"/>
    <w:next w:val="Normal"/>
    <w:pPr>
      <w:keepNext/>
      <w:spacing w:before="200" w:after="80"/>
      <w:outlineLvl w:val="1"/>
    </w:pPr>
    <w:rPr>
      <w:b/>
      <w:color w:val="13283A"/>
      <w:sz w:val="22"/>
      <w:szCs w:val="22"/>
    </w:rPr>
  </w:style>
  <w:style w:type="paragraph" w:styleId="Heading3">
    <w:name w:val="heading 3"/>
    <w:basedOn w:val="Normal"/>
    <w:next w:val="Normal"/>
    <w:pPr>
      <w:keepNext/>
      <w:spacing w:before="160" w:after="60"/>
      <w:outlineLvl w:val="2"/>
    </w:pPr>
    <w:rPr>
      <w:b/>
      <w:color w:val="57666F"/>
      <w:sz w:val="20"/>
      <w:szCs w:val="20"/>
    </w:rPr>
  </w:style>
  <w:style w:type="paragraph" w:styleId="Quote">
    <w:name w:val="Quote"/>
    <w:basedOn w:val="Normal"/>
    <w:pPr>
      <w:pBdr>
        <w:left w:val="single" w:sz="18" w:space="6" w:color="B86A10"/>
      </w:pBdr>
      <w:shd w:val="clear" w:color="auto" w:fill="FBF4E6"/>
      <w:ind w:left="170"/>
    </w:pPr>
    <w:rPr>
      <w:color w:val="57666F"/>
      <w:sz w:val="18"/>
      <w:szCs w:val="18"/>
    </w:rPr>
  </w:style>
  <w:style w:type="paragraph" w:styleId="Code">
    <w:name w:val="Code"/>
    <w:basedOn w:val="Normal"/>
    <w:pPr>
      <w:spacing w:after="0" w:line="240" w:lineRule="auto"/>
    </w:pPr>
    <w:rPr>
      <w:rFonts w:ascii="Consolas" w:hAnsi="Consolas" w:cs="Consolas"/>
      <w:sz w:val="16"/>
      <w:szCs w:val="16"/>
    </w:rPr>
  </w:style>
  <w:style w:type="paragraph" w:styleId="TableText">
    <w:name w:val="Table Text"/>
    <w:basedOn w:val="Normal"/>
    <w:pPr>
      <w:spacing w:after="0" w:line="240" w:lineRule="auto"/>
    </w:pPr>
    <w:rPr>
      <w:sz w:val="16"/>
      <w:szCs w:val="16"/>
    </w:rPr>
  </w:style>
  <w:style w:type="paragraph" w:styleId="ListParagraph">
    <w:name w:val="List Paragraph"/>
    <w:basedOn w:val="Normal"/>
    <w:pPr>
      <w:spacing w:after="40"/>
      <w:ind w:left="360" w:hanging="240"/>
    </w:pPr>
  </w:style>
  <w:style w:type="paragraph" w:styleId="Header">
    <w:name w:val="header"/>
    <w:basedOn w:val="Normal"/>
    <w:pPr>
      <w:spacing w:after="0"/>
      <w:pBdr>
        <w:bottom w:val="single" w:sz="4" w:space="2" w:color="A0A8AE"/>
      </w:pBdr>
    </w:pPr>
    <w:rPr>
      <w:color w:val="57666F"/>
      <w:sz w:val="15"/>
      <w:szCs w:val="15"/>
    </w:rPr>
  </w:style>
  <w:style w:type="paragraph" w:styleId="Footer">
    <w:name w:val="footer"/>
    <w:basedOn w:val="Normal"/>
    <w:pPr>
      <w:spacing w:after="0"/>
    </w:pPr>
    <w:rPr>
      <w:color w:val="57666F"/>
      <w:sz w:val="15"/>
      <w:szCs w:val="1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

<file path=docProps/app.xml><?xml version="1.0" encoding="utf-8"?>
<Properties xmlns="http://schemas.openxmlformats.org/officeDocument/2006/extended-properties">
  <Application>Simulatore FV + BESS</Application>
</Properties>
</file>

<file path=docProps/core.xml><?xml version="1.0" encoding="utf-8"?>
<cp:coreProperties xmlns:cp="http://schemas.openxmlformats.org/package/2006/metadata/core-properties" xmlns:dc="http://purl.org/dc/elements/1.1/" xmlns:dcterms="http://purl.org/dc/terms/" xmlns:xsi="http://www.w3.org/2001/XMLSchema-instance">
  <dc:title>Relazione tecnica di ingegneria di dettaglio – Impianto FV 3 MWp con BESS 2 MWh / 1 MW</dc:title>
  <dc:creator>Simulatore FV + BESS</dc:creator>
  <dcterms:created xsi:type="dcterms:W3CDTF">2026-10-28T11:18:15Z</dcterms:created>
  <dcterms:modified xsi:type="dcterms:W3CDTF">2026-10-28T11:18:15Z</dcterms:modified>
</cp:coreProperties>
</file>