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Analisi economica – Impianto fotovoltaico industriale con sistema di accumulo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254"/>
        <w:gridCol w:w="1148"/>
        <w:gridCol w:w="1158"/>
        <w:gridCol w:w="6078"/>
      </w:tblGrid>
      <w:tr>
        <w:trPr>
          <w:tblHeader/>
        </w:trPr>
        <w:tc>
          <w:tcPr>
            <w:tcW w:w="1254" w:type="dxa"/>
            <w:shd w:val="clear" w:color="auto" w:fill="E3EAEC"/>
          </w:tcPr>
          <w:p>
            <w:pPr>
              <w:pStyle w:val="TableText"/>
            </w:pPr>
            <w:r>
              <w:rPr>
                <w:b/>
              </w:rPr>
              <w:t xml:space="preserve">Documento</w:t>
            </w:r>
          </w:p>
        </w:tc>
        <w:tc>
          <w:tcPr>
            <w:tcW w:w="1148" w:type="dxa"/>
            <w:shd w:val="clear" w:color="auto" w:fill="E3EAEC"/>
          </w:tcPr>
          <w:p>
            <w:pPr>
              <w:pStyle w:val="TableText"/>
            </w:pPr>
            <w:r>
              <w:rPr>
                <w:b/>
              </w:rPr>
              <w:t xml:space="preserve">Revisione</w:t>
            </w:r>
          </w:p>
        </w:tc>
        <w:tc>
          <w:tcPr>
            <w:tcW w:w="1158" w:type="dxa"/>
            <w:shd w:val="clear" w:color="auto" w:fill="E3EAEC"/>
          </w:tcPr>
          <w:p>
            <w:pPr>
              <w:pStyle w:val="TableText"/>
            </w:pPr>
            <w:r>
              <w:rPr>
                <w:b/>
              </w:rPr>
              <w:t xml:space="preserve">Data</w:t>
            </w:r>
          </w:p>
        </w:tc>
        <w:tc>
          <w:tcPr>
            <w:tcW w:w="6078" w:type="dxa"/>
            <w:shd w:val="clear" w:color="auto" w:fill="E3EAEC"/>
          </w:tcPr>
          <w:p>
            <w:pPr>
              <w:pStyle w:val="TableText"/>
            </w:pPr>
            <w:r>
              <w:rPr>
                <w:b/>
              </w:rPr>
              <w:t xml:space="preserve">Stato</w:t>
            </w:r>
          </w:p>
        </w:tc>
      </w:tr>
      <w:tr>
        <w:tc>
          <w:tcPr>
            <w:tcW w:w="1254" w:type="dxa"/>
          </w:tcPr>
          <w:p>
            <w:pPr>
              <w:pStyle w:val="TableText"/>
            </w:pPr>
            <w:r>
              <w:t xml:space="preserve">FVB-ECO-001</w:t>
            </w:r>
          </w:p>
        </w:tc>
        <w:tc>
          <w:tcPr>
            <w:tcW w:w="1148" w:type="dxa"/>
          </w:tcPr>
          <w:p>
            <w:pPr>
              <w:pStyle w:val="TableText"/>
            </w:pPr>
            <w:r>
              <w:t xml:space="preserve">A</w:t>
            </w:r>
          </w:p>
        </w:tc>
        <w:tc>
          <w:tcPr>
            <w:tcW w:w="1158" w:type="dxa"/>
          </w:tcPr>
          <w:p>
            <w:pPr>
              <w:pStyle w:val="TableText"/>
            </w:pPr>
            <w:r>
              <w:t xml:space="preserve">28/10/2026</w:t>
            </w:r>
          </w:p>
        </w:tc>
        <w:tc>
          <w:tcPr>
            <w:tcW w:w="6078" w:type="dxa"/>
          </w:tcPr>
          <w:p>
            <w:pPr>
              <w:pStyle w:val="TableText"/>
            </w:pPr>
            <w:r>
              <w:t xml:space="preserve">Emesso per commenti (pre-fattibilità, classe di stima AACE 4)</w:t>
            </w:r>
          </w:p>
        </w:tc>
      </w:tr>
    </w:tbl>
    <w:p>
      <w:pPr>
        <w:pStyle w:val="Normal"/>
        <w:spacing w:after="60"/>
      </w:pPr>
    </w:p>
    <w:p>
      <w:pPr>
        <w:pStyle w:val="Quote"/>
      </w:pPr>
      <w:r>
        <w:rPr>
          <w:b/>
        </w:rPr>
        <w:t xml:space="preserve">Avvertenza.</w:t>
      </w:r>
      <w:r>
        <w:t xml:space="preserve"> I valori derivano dal simulatore FV+BESS di questo repository (meteo sintetico da medie mensili, prezzi orari con profilo tipo, default di costo in </w:t>
      </w:r>
      <w:r>
        <w:t xml:space="preserve">A2</w:t>
      </w:r>
      <w:r>
        <w:t xml:space="preserve">). Servono a confrontare configurazioni e a decidere se approfondire. Prima di una decisione di investimento vanno sostituiti con: dati PVGIS/TMY del sito, curva di carico quartoraria misurata (almeno 12 mesi), offerte EPC e BESS, condizioni bancarie, parere fiscale sugli incentivi. Tutte le tabelle numeriche sono riproducibili con </w:t>
      </w:r>
      <w:r>
        <w:rPr>
          <w:rFonts w:ascii="Consolas" w:hAnsi="Consolas" w:cs="Consolas"/>
        </w:rPr>
        <w:t xml:space="preserve">node tools/report-cases.js</w:t>
      </w:r>
      <w:r>
        <w:t xml:space="preserve"> (</w:t>
      </w:r>
      <w:r>
        <w:t xml:space="preserve">A1</w:t>
      </w:r>
      <w:r>
        <w:t xml:space="preserve">).</w:t>
      </w:r>
    </w:p>
    <w:p>
      <w:pPr>
        <w:pStyle w:val="Normal"/>
        <w:pBdr>
          <w:bottom w:val="single" w:sz="6" w:space="1" w:color="A0A8AE"/>
        </w:pBdr>
      </w:pPr>
    </w:p>
    <w:p>
      <w:pPr>
        <w:pStyle w:val="Heading1"/>
      </w:pPr>
      <w:r>
        <w:t xml:space="preserve">0. Sintesi</w:t>
      </w:r>
    </w:p>
    <w:p>
      <w:pPr>
        <w:pStyle w:val="ListParagraph"/>
      </w:pPr>
      <w:r>
        <w:t xml:space="preserve">1. </w:t>
      </w:r>
      <w:r>
        <w:rPr>
          <w:b/>
        </w:rPr>
        <w:t xml:space="preserve">Il fotovoltaico in autoconsumo è molto redditizio.</w:t>
      </w:r>
      <w:r>
        <w:t xml:space="preserve"> Nel caso di riferimento (Milano, 3 MWp a terra, stabilimento da 9 GWh/a su due turni) il solo FV costa 1,85 M€ (616 €/kWp), produce 3.931 MWh/a con un LCOE di 60 €/MWh e sostituisce energia acquistata a circa 210–220 €/MWh. VAN 4,86 M€ al WACC del 7 %, TIR di progetto 29 %, rientro in 3,5 anni.</w:t>
      </w:r>
    </w:p>
    <w:p>
      <w:pPr>
        <w:pStyle w:val="ListParagraph"/>
      </w:pPr>
      <w:r>
        <w:t xml:space="preserve">2. </w:t>
      </w:r>
      <w:r>
        <w:rPr>
          <w:b/>
        </w:rPr>
        <w:t xml:space="preserve">Il BESS dietro il contatore, senza incentivi né ricavi di rete, riduce il VAN.</w:t>
      </w:r>
      <w:r>
        <w:t xml:space="preserve"> Con 2 MWh / 1 MW (561 k€, 281 €/kWh) il VAN scende di 320 k€ rispetto al solo FV. Il BESS scarica 405 MWh/a (225 cicli equivalenti) con un LCOS di 162 €/MWh: lo spread che sfrutta (immissione a ~110 €/MWh contro prelievo evitato a ~215 €/MWh, più l'arbitraggio notturno) non ripaga il costo con un WACC del 7 %. </w:t>
      </w:r>
      <w:r>
        <w:rPr>
          <w:b/>
        </w:rPr>
        <w:t xml:space="preserve">Il CAPEX di pareggio è circa 90 €/kWh</w:t>
      </w:r>
      <w:r>
        <w:t xml:space="preserve">, un terzo dei prezzi C&amp;I attuali.</w:t>
      </w:r>
    </w:p>
    <w:p>
      <w:pPr>
        <w:pStyle w:val="ListParagraph"/>
      </w:pPr>
      <w:r>
        <w:t xml:space="preserve">3. </w:t>
      </w:r>
      <w:r>
        <w:rPr>
          <w:b/>
        </w:rPr>
        <w:t xml:space="preserve">Il BESS diventa neutro o conveniente in quattro situazioni</w:t>
      </w:r>
      <w:r>
        <w:t xml:space="preserve">, da verificare caso per caso:</w:t>
      </w:r>
    </w:p>
    <w:p>
      <w:pPr>
        <w:pStyle w:val="ListParagraph"/>
        <w:ind w:left="720" w:hanging="240"/>
      </w:pPr>
      <w:r>
        <w:t xml:space="preserve">•  </w:t>
      </w:r>
      <w:r>
        <w:t xml:space="preserve">incentivi sul BESS al Sud (iper-ammortamento + credito ZES): pareggio a ~280 €/kWh, cioè ai prezzi correnti;</w:t>
      </w:r>
    </w:p>
    <w:p>
      <w:pPr>
        <w:pStyle w:val="ListParagraph"/>
        <w:ind w:left="720" w:hanging="240"/>
      </w:pPr>
      <w:r>
        <w:t xml:space="preserve">•  </w:t>
      </w:r>
      <w:r>
        <w:t xml:space="preserve">limite di immissione zero o molto basso, che altrimenti costringe a tagliare la produzione: pareggio ~240 €/kWh;</w:t>
      </w:r>
    </w:p>
    <w:p>
      <w:pPr>
        <w:pStyle w:val="ListParagraph"/>
        <w:ind w:left="720" w:hanging="240"/>
      </w:pPr>
      <w:r>
        <w:t xml:space="preserve">•  </w:t>
      </w:r>
      <w:r>
        <w:t xml:space="preserve">quote potenza elevate o penali per supero della potenza impegnata, ricavi da servizi di flessibilità (UVA/MSD) e valore della continuità di servizio (UPS di stabilimento), che il simulatore non quantifica;</w:t>
      </w:r>
    </w:p>
    <w:p>
      <w:pPr>
        <w:pStyle w:val="ListParagraph"/>
        <w:ind w:left="720" w:hanging="240"/>
      </w:pPr>
      <w:r>
        <w:t xml:space="preserve">•  </w:t>
      </w:r>
      <w:r>
        <w:t xml:space="preserve">prezzi delle batterie in ulteriore calo (augmentation e sostituzioni future sono già scontate del 3 %/anno reale).</w:t>
      </w:r>
    </w:p>
    <w:p>
      <w:pPr>
        <w:pStyle w:val="ListParagraph"/>
      </w:pPr>
      <w:r>
        <w:t xml:space="preserve">4. </w:t>
      </w:r>
      <w:r>
        <w:rPr>
          <w:b/>
        </w:rPr>
        <w:t xml:space="preserve">Incentivi.</w:t>
      </w:r>
      <w:r>
        <w:t xml:space="preserve"> Transizione 5.0 è chiusa e il bando MIMIT per le PMI pure. Oggi lo strumento principale è </w:t>
      </w:r>
      <w:r>
        <w:rPr>
          <w:b/>
        </w:rPr>
        <w:t xml:space="preserve">l'iper-ammortamento 2026–2028</w:t>
      </w:r>
      <w:r>
        <w:t xml:space="preserve">, che però vale per il FV solo con </w:t>
      </w:r>
      <w:r>
        <w:rPr>
          <w:b/>
        </w:rPr>
        <w:t xml:space="preserve">moduli iscritti al registro ENEA nelle categorie B/C</w:t>
      </w:r>
      <w:r>
        <w:t xml:space="preserve"> (celle europee ad alta efficienza), con un'offerta molto ristretta e prezzi più alti. Nel caso A aggiunge 0,7 M€ di VAN. Al Sud il credito d'imposta </w:t>
      </w:r>
      <w:r>
        <w:rPr>
          <w:b/>
        </w:rPr>
        <w:t xml:space="preserve">ZES Unica</w:t>
      </w:r>
      <w:r>
        <w:t xml:space="preserve"> porta l'intensità di aiuto oltre il 50 %. Dettagli in </w:t>
      </w:r>
      <w:r>
        <w:t xml:space="preserve">03</w:t>
      </w:r>
      <w:r>
        <w:t xml:space="preserve">.</w:t>
      </w:r>
    </w:p>
    <w:p>
      <w:pPr>
        <w:pStyle w:val="ListParagraph"/>
      </w:pPr>
      <w:r>
        <w:t xml:space="preserve">5. </w:t>
      </w:r>
      <w:r>
        <w:rPr>
          <w:b/>
        </w:rPr>
        <w:t xml:space="preserve">Raccomandazione per il caso di riferimento:</w:t>
      </w:r>
      <w:r>
        <w:t xml:space="preserve"> realizzare il FV dimensionato sull'autoconsumo (produzione ≤ 105 % dei consumi, requisito anche per l'iper-ammortamento). Predisporre lo spazio, la potenza in cabina e le vie cavi per un BESS da 1–2 MWh, e acquistarlo quando si verifica una delle condizioni del punto 3 o quando il turnkey C&amp;I scende sotto 150 €/kWh. In alternativa, dimensionare un BESS piccolo (≤ 1 MWh) se l'EMS deve gestire la limitazione di immissione o la continuità dei carichi critici.</w:t>
      </w:r>
    </w:p>
    <w:p>
      <w:pPr>
        <w:pStyle w:val="Normal"/>
        <w:pBdr>
          <w:bottom w:val="single" w:sz="6" w:space="1" w:color="A0A8AE"/>
        </w:pBdr>
      </w:pPr>
    </w:p>
    <w:p>
      <w:pPr>
        <w:pStyle w:val="Heading1"/>
      </w:pPr>
      <w:r>
        <w:t xml:space="preserve">1. Metodo</w:t>
      </w:r>
    </w:p>
    <w:p>
      <w:pPr>
        <w:pStyle w:val="Heading2"/>
      </w:pPr>
      <w:r>
        <w:t xml:space="preserve">1.1 Modello energetico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519"/>
        <w:gridCol w:w="9119"/>
      </w:tblGrid>
      <w:tr>
        <w:trPr>
          <w:tblHeader/>
        </w:trPr>
        <w:tc>
          <w:tcPr>
            <w:tcW w:w="519" w:type="dxa"/>
            <w:shd w:val="clear" w:color="auto" w:fill="E3EAEC"/>
          </w:tcPr>
          <w:p>
            <w:pPr>
              <w:pStyle w:val="TableText"/>
            </w:pPr>
            <w:r>
              <w:rPr>
                <w:b/>
              </w:rPr>
              <w:t xml:space="preserve">Aspetto</w:t>
            </w:r>
          </w:p>
        </w:tc>
        <w:tc>
          <w:tcPr>
            <w:tcW w:w="9119" w:type="dxa"/>
            <w:shd w:val="clear" w:color="auto" w:fill="E3EAEC"/>
          </w:tcPr>
          <w:p>
            <w:pPr>
              <w:pStyle w:val="TableText"/>
            </w:pPr>
            <w:r>
              <w:rPr>
                <w:b/>
              </w:rPr>
              <w:t xml:space="preserve">Modellazione</w:t>
            </w:r>
          </w:p>
        </w:tc>
      </w:tr>
      <w:tr>
        <w:tc>
          <w:tcPr>
            <w:tcW w:w="519" w:type="dxa"/>
          </w:tcPr>
          <w:p>
            <w:pPr>
              <w:pStyle w:val="TableText"/>
            </w:pPr>
            <w:r>
              <w:t xml:space="preserve">Passo e orizzonte</w:t>
            </w:r>
          </w:p>
        </w:tc>
        <w:tc>
          <w:tcPr>
            <w:tcW w:w="9119" w:type="dxa"/>
          </w:tcPr>
          <w:p>
            <w:pPr>
              <w:pStyle w:val="TableText"/>
            </w:pPr>
            <w:r>
              <w:t xml:space="preserve">Orario (8.760 h), ripetuto per ogni anno della vita utile (25 anni) con degrado FV e BESS</w:t>
            </w:r>
          </w:p>
        </w:tc>
      </w:tr>
      <w:tr>
        <w:tc>
          <w:tcPr>
            <w:tcW w:w="519" w:type="dxa"/>
          </w:tcPr>
          <w:p>
            <w:pPr>
              <w:pStyle w:val="TableText"/>
            </w:pPr>
            <w:r>
              <w:t xml:space="preserve">Irraggiamento</w:t>
            </w:r>
          </w:p>
        </w:tc>
        <w:tc>
          <w:tcPr>
            <w:tcW w:w="9119" w:type="dxa"/>
          </w:tcPr>
          <w:p>
            <w:pPr>
              <w:pStyle w:val="TableText"/>
            </w:pPr>
            <w:r>
              <w:t xml:space="preserve">Medie mensili di GHI (ENEA/PVGIS) → indice di serenità giornaliero autocorrelato (conserva la media mensile) → ripartizione oraria sul profilo extraterrestre; diffusa con Erbs; piano dei moduli con Hay-Davies; retro dei moduli bifacciali con fattore di vista semplificato</w:t>
            </w:r>
          </w:p>
        </w:tc>
      </w:tr>
      <w:tr>
        <w:tc>
          <w:tcPr>
            <w:tcW w:w="519" w:type="dxa"/>
          </w:tcPr>
          <w:p>
            <w:pPr>
              <w:pStyle w:val="TableText"/>
            </w:pPr>
            <w:r>
              <w:t xml:space="preserve">Moduli e inverter</w:t>
            </w:r>
          </w:p>
        </w:tc>
        <w:tc>
          <w:tcPr>
            <w:tcW w:w="9119" w:type="dxa"/>
          </w:tcPr>
          <w:p>
            <w:pPr>
              <w:pStyle w:val="TableText"/>
            </w:pPr>
            <w:r>
              <w:t xml:space="preserve">Temperatura di cella da NOCT; coefficiente di potenza; perdite DC e AC; efficienza inverter a carico parziale; clipping al rapporto DC/AC; tracker monoassiale ±55° con perdita di backtracking del 4 %</w:t>
            </w:r>
          </w:p>
        </w:tc>
      </w:tr>
      <w:tr>
        <w:tc>
          <w:tcPr>
            <w:tcW w:w="519" w:type="dxa"/>
          </w:tcPr>
          <w:p>
            <w:pPr>
              <w:pStyle w:val="TableText"/>
            </w:pPr>
            <w:r>
              <w:t xml:space="preserve">Carico</w:t>
            </w:r>
          </w:p>
        </w:tc>
        <w:tc>
          <w:tcPr>
            <w:tcW w:w="9119" w:type="dxa"/>
          </w:tcPr>
          <w:p>
            <w:pPr>
              <w:pStyle w:val="TableText"/>
            </w:pPr>
            <w:r>
              <w:t xml:space="preserve">Profilo per turni (1, 2, 3 turni, ciclo continuo), sabati e festivi, fermate di agosto e Natale, stagionalità, rumore ±4 %; oppure curva oraria/quartoraria caricata da CSV</w:t>
            </w:r>
          </w:p>
        </w:tc>
      </w:tr>
      <w:tr>
        <w:tc>
          <w:tcPr>
            <w:tcW w:w="519" w:type="dxa"/>
          </w:tcPr>
          <w:p>
            <w:pPr>
              <w:pStyle w:val="TableText"/>
            </w:pPr>
            <w:r>
              <w:t xml:space="preserve">Prezzi</w:t>
            </w:r>
          </w:p>
        </w:tc>
        <w:tc>
          <w:tcPr>
            <w:tcW w:w="9119" w:type="dxa"/>
          </w:tcPr>
          <w:p>
            <w:pPr>
              <w:pStyle w:val="TableText"/>
            </w:pPr>
            <w:r>
              <w:t xml:space="preserve">Profilo orario del PUN con forma "duck curve" 2025–26 (avvallamento nelle ore solari, picco serale, livelli mensili, fine settimana), tarato sul PUN medio. Il profilo dà un capture rate solare di 0,86 e uno spread medio giornaliero TB4 di 67 €/MWh (benchmark: 0,86 e ~75 €/MWh nel 2026, A2 §5.1). Si può caricare il PUN orario reale</w:t>
            </w:r>
          </w:p>
        </w:tc>
      </w:tr>
      <w:tr>
        <w:tc>
          <w:tcPr>
            <w:tcW w:w="519" w:type="dxa"/>
          </w:tcPr>
          <w:p>
            <w:pPr>
              <w:pStyle w:val="TableText"/>
            </w:pPr>
            <w:r>
              <w:t xml:space="preserve">BESS</w:t>
            </w:r>
          </w:p>
        </w:tc>
        <w:tc>
          <w:tcPr>
            <w:tcW w:w="9119" w:type="dxa"/>
          </w:tcPr>
          <w:p>
            <w:pPr>
              <w:pStyle w:val="TableText"/>
            </w:pPr>
            <w:r>
              <w:t xml:space="preserve">Accoppiamento AC; carica dal surplus FV; scarica sul deficit; arbitraggio con scelta giornaliera della carica notturna da rete (5 livelli, valore residuo del SOC); peak shaving con riserva di SOC; limite di cicli giornalieri; ausiliari; degrado di calendario e per ciclo; augmentation all'80 % di SOH</w:t>
            </w:r>
          </w:p>
        </w:tc>
      </w:tr>
      <w:tr>
        <w:tc>
          <w:tcPr>
            <w:tcW w:w="519" w:type="dxa"/>
          </w:tcPr>
          <w:p>
            <w:pPr>
              <w:pStyle w:val="TableText"/>
            </w:pPr>
            <w:r>
              <w:t xml:space="preserve">Rete</w:t>
            </w:r>
          </w:p>
        </w:tc>
        <w:tc>
          <w:tcPr>
            <w:tcW w:w="9119" w:type="dxa"/>
          </w:tcPr>
          <w:p>
            <w:pPr>
              <w:pStyle w:val="TableText"/>
            </w:pPr>
            <w:r>
              <w:t xml:space="preserve">Limite di immissione con taglio della produzione; immissione zero; potenza disponibile in prelievo</w:t>
            </w:r>
          </w:p>
        </w:tc>
      </w:tr>
    </w:tbl>
    <w:p>
      <w:pPr>
        <w:pStyle w:val="Normal"/>
        <w:spacing w:after="60"/>
      </w:pPr>
    </w:p>
    <w:p>
      <w:pPr>
        <w:pStyle w:val="Heading2"/>
      </w:pPr>
      <w:r>
        <w:t xml:space="preserve">1.2 Valorizzazione</w:t>
      </w:r>
    </w:p>
    <w:p>
      <w:pPr>
        <w:pStyle w:val="ListParagraph"/>
      </w:pPr>
      <w:r>
        <w:t xml:space="preserve">•  </w:t>
      </w:r>
      <w:r>
        <w:rPr>
          <w:b/>
        </w:rPr>
        <w:t xml:space="preserve">Risparmio in bolletta</w:t>
      </w:r>
      <w:r>
        <w:t xml:space="preserve"> = (costo del prelievo senza impianto − costo del prelievo con impianto), ora per ora. Il costo variabile del prelievo è PUN × (1 + perdite 3,8 %) + spread del fornitore 8 €/MWh + componenti variabili di rete e di sistema 64 €/MWh (dispacciamento 11,6, capacità 15,9, trasporto 11,6, ASOS/ARIM ~25) + accise 12,5 €/MWh: circa </w:t>
      </w:r>
      <w:r>
        <w:rPr>
          <w:b/>
        </w:rPr>
        <w:t xml:space="preserve">215 €/MWh</w:t>
      </w:r>
      <w:r>
        <w:t xml:space="preserve"> con PUN 130. Lo stesso costo si applica all'energia che il BESS preleva per l'arbitraggio.</w:t>
      </w:r>
    </w:p>
    <w:p>
      <w:pPr>
        <w:pStyle w:val="ListParagraph"/>
      </w:pPr>
      <w:r>
        <w:t xml:space="preserve">•  </w:t>
      </w:r>
      <w:r>
        <w:rPr>
          <w:b/>
        </w:rPr>
        <w:t xml:space="preserve">Quota potenza</w:t>
      </w:r>
      <w:r>
        <w:t xml:space="preserve">: 28 €/kW·anno (MTA3 e-distribuzione 2026) sul picco mensile di prelievo. È bassa: il solo peak shaving vale poco.</w:t>
      </w:r>
    </w:p>
    <w:p>
      <w:pPr>
        <w:pStyle w:val="ListParagraph"/>
      </w:pPr>
      <w:r>
        <w:t xml:space="preserve">•  </w:t>
      </w:r>
      <w:r>
        <w:rPr>
          <w:b/>
        </w:rPr>
        <w:t xml:space="preserve">Vendita delle eccedenze</w:t>
      </w:r>
      <w:r>
        <w:t xml:space="preserve">: prezzo zonale orario (Ritiro Dedicato) al netto di 0,5 €/MWh di corrispettivi GSE. In alternativa CfD FER X (strike 70 €/MWh nel catalogo).</w:t>
      </w:r>
    </w:p>
    <w:p>
      <w:pPr>
        <w:pStyle w:val="ListParagraph"/>
      </w:pPr>
      <w:r>
        <w:t xml:space="preserve">•  </w:t>
      </w:r>
      <w:r>
        <w:rPr>
          <w:b/>
        </w:rPr>
        <w:t xml:space="preserve">Escalation</w:t>
      </w:r>
      <w:r>
        <w:t xml:space="preserve">: prezzi dell'energia +2 %/anno nominale, OPEX +2,2 %/anno.</w:t>
      </w:r>
    </w:p>
    <w:p>
      <w:pPr>
        <w:pStyle w:val="Heading2"/>
      </w:pPr>
      <w:r>
        <w:t xml:space="preserve">1.3 Modello finanziario e fiscale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147"/>
        <w:gridCol w:w="8491"/>
      </w:tblGrid>
      <w:tr>
        <w:trPr>
          <w:tblHeader/>
        </w:trPr>
        <w:tc>
          <w:tcPr>
            <w:tcW w:w="1147" w:type="dxa"/>
            <w:shd w:val="clear" w:color="auto" w:fill="E3EAEC"/>
          </w:tcPr>
          <w:p>
            <w:pPr>
              <w:pStyle w:val="TableText"/>
            </w:pPr>
            <w:r>
              <w:rPr>
                <w:b/>
              </w:rPr>
              <w:t xml:space="preserve">Voce</w:t>
            </w:r>
          </w:p>
        </w:tc>
        <w:tc>
          <w:tcPr>
            <w:tcW w:w="8491" w:type="dxa"/>
            <w:shd w:val="clear" w:color="auto" w:fill="E3EAEC"/>
          </w:tcPr>
          <w:p>
            <w:pPr>
              <w:pStyle w:val="TableText"/>
            </w:pPr>
            <w:r>
              <w:rPr>
                <w:b/>
              </w:rPr>
              <w:t xml:space="preserve">Ipotesi</w:t>
            </w:r>
          </w:p>
        </w:tc>
      </w:tr>
      <w:tr>
        <w:tc>
          <w:tcPr>
            <w:tcW w:w="1147" w:type="dxa"/>
          </w:tcPr>
          <w:p>
            <w:pPr>
              <w:pStyle w:val="TableText"/>
            </w:pPr>
            <w:r>
              <w:t xml:space="preserve">Flussi</w:t>
            </w:r>
          </w:p>
        </w:tc>
        <w:tc>
          <w:tcPr>
            <w:tcW w:w="8491" w:type="dxa"/>
          </w:tcPr>
          <w:p>
            <w:pPr>
              <w:pStyle w:val="TableText"/>
            </w:pPr>
            <w:r>
              <w:t xml:space="preserve">Nominali, annuali; anno 0 = investimento, entrata in esercizio a inizio anno 1</w:t>
            </w:r>
          </w:p>
        </w:tc>
      </w:tr>
      <w:tr>
        <w:tc>
          <w:tcPr>
            <w:tcW w:w="1147" w:type="dxa"/>
          </w:tcPr>
          <w:p>
            <w:pPr>
              <w:pStyle w:val="TableText"/>
            </w:pPr>
            <w:r>
              <w:t xml:space="preserve">WACC / costo dell'equity</w:t>
            </w:r>
          </w:p>
        </w:tc>
        <w:tc>
          <w:tcPr>
            <w:tcW w:w="8491" w:type="dxa"/>
          </w:tcPr>
          <w:p>
            <w:pPr>
              <w:pStyle w:val="TableText"/>
            </w:pPr>
            <w:r>
              <w:t xml:space="preserve">7,0 % / 9,0 % nominali</w:t>
            </w:r>
          </w:p>
        </w:tc>
      </w:tr>
      <w:tr>
        <w:tc>
          <w:tcPr>
            <w:tcW w:w="1147" w:type="dxa"/>
          </w:tcPr>
          <w:p>
            <w:pPr>
              <w:pStyle w:val="TableText"/>
            </w:pPr>
            <w:r>
              <w:t xml:space="preserve">Debito</w:t>
            </w:r>
          </w:p>
        </w:tc>
        <w:tc>
          <w:tcPr>
            <w:tcW w:w="8491" w:type="dxa"/>
          </w:tcPr>
          <w:p>
            <w:pPr>
              <w:pStyle w:val="TableText"/>
            </w:pPr>
            <w:r>
              <w:t xml:space="preserve">60 % del CAPEX, 5,0 %, 12 anni, rata costante (corporate loan)</w:t>
            </w:r>
          </w:p>
        </w:tc>
      </w:tr>
      <w:tr>
        <w:tc>
          <w:tcPr>
            <w:tcW w:w="1147" w:type="dxa"/>
          </w:tcPr>
          <w:p>
            <w:pPr>
              <w:pStyle w:val="TableText"/>
            </w:pPr>
            <w:r>
              <w:t xml:space="preserve">Imposte</w:t>
            </w:r>
          </w:p>
        </w:tc>
        <w:tc>
          <w:tcPr>
            <w:tcW w:w="8491" w:type="dxa"/>
          </w:tcPr>
          <w:p>
            <w:pPr>
              <w:pStyle w:val="TableText"/>
            </w:pPr>
            <w:r>
              <w:t xml:space="preserve">IRES 24 % su EBITDA − ammortamenti − maggiorazioni − interessi; IRAP 3,9 % su EBITDA − ammortamenti. Si assume </w:t>
            </w:r>
            <w:r>
              <w:rPr>
                <w:b/>
              </w:rPr>
              <w:t xml:space="preserve">capienza fiscale</w:t>
            </w:r>
            <w:r>
              <w:t xml:space="preserve"> dell'impresa (le perdite fiscali del progetto riducono le imposte del gruppo); disattivabile</w:t>
            </w:r>
          </w:p>
        </w:tc>
      </w:tr>
      <w:tr>
        <w:tc>
          <w:tcPr>
            <w:tcW w:w="1147" w:type="dxa"/>
          </w:tcPr>
          <w:p>
            <w:pPr>
              <w:pStyle w:val="TableText"/>
            </w:pPr>
            <w:r>
              <w:t xml:space="preserve">Ammortamento</w:t>
            </w:r>
          </w:p>
        </w:tc>
        <w:tc>
          <w:tcPr>
            <w:tcW w:w="8491" w:type="dxa"/>
          </w:tcPr>
          <w:p>
            <w:pPr>
              <w:pStyle w:val="TableText"/>
            </w:pPr>
            <w:r>
              <w:t xml:space="preserve">9 %/anno per FV e BESS (primo anno a metà aliquota)</w:t>
            </w:r>
          </w:p>
        </w:tc>
      </w:tr>
      <w:tr>
        <w:tc>
          <w:tcPr>
            <w:tcW w:w="1147" w:type="dxa"/>
          </w:tcPr>
          <w:p>
            <w:pPr>
              <w:pStyle w:val="TableText"/>
            </w:pPr>
            <w:r>
              <w:t xml:space="preserve">Contributi in conto impianti</w:t>
            </w:r>
          </w:p>
        </w:tc>
        <w:tc>
          <w:tcPr>
            <w:tcW w:w="8491" w:type="dxa"/>
          </w:tcPr>
          <w:p>
            <w:pPr>
              <w:pStyle w:val="TableText"/>
            </w:pPr>
            <w:r>
              <w:t xml:space="preserve">Riducono la base ammortizzabile</w:t>
            </w:r>
          </w:p>
        </w:tc>
      </w:tr>
      <w:tr>
        <w:tc>
          <w:tcPr>
            <w:tcW w:w="1147" w:type="dxa"/>
          </w:tcPr>
          <w:p>
            <w:pPr>
              <w:pStyle w:val="TableText"/>
            </w:pPr>
            <w:r>
              <w:t xml:space="preserve">Crediti d'imposta</w:t>
            </w:r>
          </w:p>
        </w:tc>
        <w:tc>
          <w:tcPr>
            <w:tcW w:w="8491" w:type="dxa"/>
          </w:tcPr>
          <w:p>
            <w:pPr>
              <w:pStyle w:val="TableText"/>
            </w:pPr>
            <w:r>
              <w:t xml:space="preserve">Non concorrono al reddito; compensati negli anni indicati</w:t>
            </w:r>
          </w:p>
        </w:tc>
      </w:tr>
      <w:tr>
        <w:tc>
          <w:tcPr>
            <w:tcW w:w="1147" w:type="dxa"/>
          </w:tcPr>
          <w:p>
            <w:pPr>
              <w:pStyle w:val="TableText"/>
            </w:pPr>
            <w:r>
              <w:t xml:space="preserve">Iper-ammortamento</w:t>
            </w:r>
          </w:p>
        </w:tc>
        <w:tc>
          <w:tcPr>
            <w:tcW w:w="8491" w:type="dxa"/>
          </w:tcPr>
          <w:p>
            <w:pPr>
              <w:pStyle w:val="TableText"/>
            </w:pPr>
            <w:r>
              <w:t xml:space="preserve">Maggiorazione a scaglioni (180 % / 100 % / 50 %) sulla spesa ammessa al netto degli altri aiuti, dedotta con lo stesso piano dell'ammortamento, solo IRES</w:t>
            </w:r>
          </w:p>
        </w:tc>
      </w:tr>
      <w:tr>
        <w:tc>
          <w:tcPr>
            <w:tcW w:w="1147" w:type="dxa"/>
          </w:tcPr>
          <w:p>
            <w:pPr>
              <w:pStyle w:val="TableText"/>
            </w:pPr>
            <w:r>
              <w:t xml:space="preserve">Spese straordinarie</w:t>
            </w:r>
          </w:p>
        </w:tc>
        <w:tc>
          <w:tcPr>
            <w:tcW w:w="8491" w:type="dxa"/>
          </w:tcPr>
          <w:p>
            <w:pPr>
              <w:pStyle w:val="TableText"/>
            </w:pPr>
            <w:r>
              <w:t xml:space="preserve">Sostituzione inverter anno 13 (45 €/kWac), augmentation BESS (120 €/kWh di oggi, −3 %/anno reale) spesate nell'anno</w:t>
            </w:r>
          </w:p>
        </w:tc>
      </w:tr>
      <w:tr>
        <w:tc>
          <w:tcPr>
            <w:tcW w:w="1147" w:type="dxa"/>
          </w:tcPr>
          <w:p>
            <w:pPr>
              <w:pStyle w:val="TableText"/>
            </w:pPr>
            <w:r>
              <w:t xml:space="preserve">Fine vita</w:t>
            </w:r>
          </w:p>
        </w:tc>
        <w:tc>
          <w:tcPr>
            <w:tcW w:w="8491" w:type="dxa"/>
          </w:tcPr>
          <w:p>
            <w:pPr>
              <w:pStyle w:val="TableText"/>
            </w:pPr>
            <w:r>
              <w:t xml:space="preserve">Dismissione 25 €/kWp nell'ultimo anno, valore residuo nullo</w:t>
            </w:r>
          </w:p>
        </w:tc>
      </w:tr>
      <w:tr>
        <w:tc>
          <w:tcPr>
            <w:tcW w:w="1147" w:type="dxa"/>
          </w:tcPr>
          <w:p>
            <w:pPr>
              <w:pStyle w:val="TableText"/>
            </w:pPr>
            <w:r>
              <w:t xml:space="preserve">Indicatori</w:t>
            </w:r>
          </w:p>
        </w:tc>
        <w:tc>
          <w:tcPr>
            <w:tcW w:w="8491" w:type="dxa"/>
          </w:tcPr>
          <w:p>
            <w:pPr>
              <w:pStyle w:val="TableText"/>
            </w:pPr>
            <w:r>
              <w:t xml:space="preserve">VAN e TIR di progetto (unlevered) e dell'equity (levered), payback semplice e attualizzato, LCOE FV, LCOS BESS (escluso il costo dell'energia di carica), DSCR</w:t>
            </w:r>
          </w:p>
        </w:tc>
      </w:tr>
    </w:tbl>
    <w:p>
      <w:pPr>
        <w:pStyle w:val="Normal"/>
        <w:spacing w:after="60"/>
      </w:pPr>
    </w:p>
    <w:p>
      <w:pPr>
        <w:pStyle w:val="Normal"/>
        <w:pBdr>
          <w:bottom w:val="single" w:sz="6" w:space="1" w:color="A0A8AE"/>
        </w:pBdr>
      </w:pPr>
    </w:p>
    <w:p>
      <w:pPr>
        <w:pStyle w:val="Heading1"/>
      </w:pPr>
      <w:r>
        <w:t xml:space="preserve">2. Caso di riferimento A</w:t>
      </w:r>
    </w:p>
    <w:p>
      <w:pPr>
        <w:pStyle w:val="Heading2"/>
      </w:pPr>
      <w:r>
        <w:t xml:space="preserve">2.1 Configurazione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931"/>
        <w:gridCol w:w="8707"/>
      </w:tblGrid>
      <w:tr>
        <w:trPr>
          <w:tblHeader/>
        </w:trPr>
        <w:tc>
          <w:tcPr>
            <w:tcW w:w="931" w:type="dxa"/>
            <w:shd w:val="clear" w:color="auto" w:fill="E3EAEC"/>
          </w:tcPr>
          <w:p>
            <w:pPr>
              <w:pStyle w:val="TableText"/>
            </w:pPr>
            <w:r>
              <w:rPr>
                <w:b/>
              </w:rPr>
              <w:t xml:space="preserve">Elemento</w:t>
            </w:r>
          </w:p>
        </w:tc>
        <w:tc>
          <w:tcPr>
            <w:tcW w:w="8707" w:type="dxa"/>
            <w:shd w:val="clear" w:color="auto" w:fill="E3EAEC"/>
          </w:tcPr>
          <w:p>
            <w:pPr>
              <w:pStyle w:val="TableText"/>
            </w:pPr>
            <w:r>
              <w:rPr>
                <w:b/>
              </w:rPr>
              <w:t xml:space="preserve">Valore</w:t>
            </w:r>
          </w:p>
        </w:tc>
      </w:tr>
      <w:tr>
        <w:tc>
          <w:tcPr>
            <w:tcW w:w="931" w:type="dxa"/>
          </w:tcPr>
          <w:p>
            <w:pPr>
              <w:pStyle w:val="TableText"/>
            </w:pPr>
            <w:r>
              <w:t xml:space="preserve">Sito</w:t>
            </w:r>
          </w:p>
        </w:tc>
        <w:tc>
          <w:tcPr>
            <w:tcW w:w="8707" w:type="dxa"/>
          </w:tcPr>
          <w:p>
            <w:pPr>
              <w:pStyle w:val="TableText"/>
            </w:pPr>
            <w:r>
              <w:t xml:space="preserve">Milano, zona di mercato NORD</w:t>
            </w:r>
          </w:p>
        </w:tc>
      </w:tr>
      <w:tr>
        <w:tc>
          <w:tcPr>
            <w:tcW w:w="931" w:type="dxa"/>
          </w:tcPr>
          <w:p>
            <w:pPr>
              <w:pStyle w:val="TableText"/>
            </w:pPr>
            <w:r>
              <w:t xml:space="preserve">Stabilimento</w:t>
            </w:r>
          </w:p>
        </w:tc>
        <w:tc>
          <w:tcPr>
            <w:tcW w:w="8707" w:type="dxa"/>
          </w:tcPr>
          <w:p>
            <w:pPr>
              <w:pStyle w:val="TableText"/>
            </w:pPr>
            <w:r>
              <w:t xml:space="preserve">9.000 MWh/a, due turni (6–22) dal lunedì al venerdì, sabato ridotto, fermata di 2 settimane ad agosto e a Natale; picco ~2,2 MW</w:t>
            </w:r>
          </w:p>
        </w:tc>
      </w:tr>
      <w:tr>
        <w:tc>
          <w:tcPr>
            <w:tcW w:w="931" w:type="dxa"/>
          </w:tcPr>
          <w:p>
            <w:pPr>
              <w:pStyle w:val="TableText"/>
            </w:pPr>
            <w:r>
              <w:t xml:space="preserve">FV</w:t>
            </w:r>
          </w:p>
        </w:tc>
        <w:tc>
          <w:tcPr>
            <w:tcW w:w="8707" w:type="dxa"/>
          </w:tcPr>
          <w:p>
            <w:pPr>
              <w:pStyle w:val="TableText"/>
            </w:pPr>
            <w:r>
              <w:t xml:space="preserve">3.003 kWp DC / 2.450 kWac, a terra struttura fissa 25° sud, GCR 0,42; 4.844 moduli TOPCon bifacciali 620 Wp; 7 inverter da 350 kW</w:t>
            </w:r>
          </w:p>
        </w:tc>
      </w:tr>
      <w:tr>
        <w:tc>
          <w:tcPr>
            <w:tcW w:w="931" w:type="dxa"/>
          </w:tcPr>
          <w:p>
            <w:pPr>
              <w:pStyle w:val="TableText"/>
            </w:pPr>
            <w:r>
              <w:t xml:space="preserve">BESS</w:t>
            </w:r>
          </w:p>
        </w:tc>
        <w:tc>
          <w:tcPr>
            <w:tcW w:w="8707" w:type="dxa"/>
          </w:tcPr>
          <w:p>
            <w:pPr>
              <w:pStyle w:val="TableText"/>
            </w:pPr>
            <w:r>
              <w:t xml:space="preserve">2 MWh / 1 MW LFP (8 cabinet AC da 261 kWh / 125 kW), RTE 86 %, DoD 90 %</w:t>
            </w:r>
          </w:p>
        </w:tc>
      </w:tr>
      <w:tr>
        <w:tc>
          <w:tcPr>
            <w:tcW w:w="931" w:type="dxa"/>
          </w:tcPr>
          <w:p>
            <w:pPr>
              <w:pStyle w:val="TableText"/>
            </w:pPr>
            <w:r>
              <w:t xml:space="preserve">Connessione</w:t>
            </w:r>
          </w:p>
        </w:tc>
        <w:tc>
          <w:tcPr>
            <w:tcW w:w="8707" w:type="dxa"/>
          </w:tcPr>
          <w:p>
            <w:pPr>
              <w:pStyle w:val="TableText"/>
            </w:pPr>
            <w:r>
              <w:t xml:space="preserve">MT 15 kV in cabina utente esistente; immissione max 3 MW</w:t>
            </w:r>
          </w:p>
        </w:tc>
      </w:tr>
      <w:tr>
        <w:tc>
          <w:tcPr>
            <w:tcW w:w="931" w:type="dxa"/>
          </w:tcPr>
          <w:p>
            <w:pPr>
              <w:pStyle w:val="TableText"/>
            </w:pPr>
            <w:r>
              <w:t xml:space="preserve">EMS</w:t>
            </w:r>
          </w:p>
        </w:tc>
        <w:tc>
          <w:tcPr>
            <w:tcW w:w="8707" w:type="dxa"/>
          </w:tcPr>
          <w:p>
            <w:pPr>
              <w:pStyle w:val="TableText"/>
            </w:pPr>
            <w:r>
              <w:t xml:space="preserve">Autoconsumo + arbitraggio notturno (spread minimo 30 €/MWh)</w:t>
            </w:r>
          </w:p>
        </w:tc>
      </w:tr>
    </w:tbl>
    <w:p>
      <w:pPr>
        <w:pStyle w:val="Normal"/>
        <w:spacing w:after="60"/>
      </w:pPr>
    </w:p>
    <w:p>
      <w:pPr>
        <w:pStyle w:val="Heading2"/>
      </w:pPr>
      <w:r>
        <w:t xml:space="preserve">2.2 Bilancio energetico (anno 1)</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5576"/>
        <w:gridCol w:w="1195"/>
        <w:gridCol w:w="2868"/>
      </w:tblGrid>
      <w:tr>
        <w:trPr>
          <w:tblHeader/>
        </w:trPr>
        <w:tc>
          <w:tcPr>
            <w:tcW w:w="5576" w:type="dxa"/>
            <w:shd w:val="clear" w:color="auto" w:fill="E3EAEC"/>
          </w:tcPr>
          <w:p>
            <w:pPr>
              <w:pStyle w:val="TableText"/>
            </w:pPr>
            <w:r>
              <w:rPr>
                <w:b/>
              </w:rPr>
              <w:t xml:space="preserve">Voce</w:t>
            </w:r>
          </w:p>
        </w:tc>
        <w:tc>
          <w:tcPr>
            <w:tcW w:w="1195" w:type="dxa"/>
            <w:shd w:val="clear" w:color="auto" w:fill="E3EAEC"/>
          </w:tcPr>
          <w:p>
            <w:pPr>
              <w:pStyle w:val="TableText"/>
              <w:jc w:val="right"/>
            </w:pPr>
            <w:r>
              <w:rPr>
                <w:b/>
              </w:rPr>
              <w:t xml:space="preserve">MWh/a</w:t>
            </w:r>
          </w:p>
        </w:tc>
        <w:tc>
          <w:tcPr>
            <w:tcW w:w="2868" w:type="dxa"/>
            <w:shd w:val="clear" w:color="auto" w:fill="E3EAEC"/>
          </w:tcPr>
          <w:p>
            <w:pPr>
              <w:pStyle w:val="TableText"/>
              <w:jc w:val="right"/>
            </w:pPr>
            <w:r>
              <w:rPr>
                <w:b/>
              </w:rPr>
              <w:t xml:space="preserve">Quota</w:t>
            </w:r>
          </w:p>
        </w:tc>
      </w:tr>
      <w:tr>
        <w:tc>
          <w:tcPr>
            <w:tcW w:w="5576" w:type="dxa"/>
          </w:tcPr>
          <w:p>
            <w:pPr>
              <w:pStyle w:val="TableText"/>
            </w:pPr>
            <w:r>
              <w:t xml:space="preserve">Produzione FV</w:t>
            </w:r>
          </w:p>
        </w:tc>
        <w:tc>
          <w:tcPr>
            <w:tcW w:w="1195" w:type="dxa"/>
          </w:tcPr>
          <w:p>
            <w:pPr>
              <w:pStyle w:val="TableText"/>
              <w:jc w:val="right"/>
            </w:pPr>
            <w:r>
              <w:t xml:space="preserve">3.931</w:t>
            </w:r>
          </w:p>
        </w:tc>
        <w:tc>
          <w:tcPr>
            <w:tcW w:w="2868" w:type="dxa"/>
          </w:tcPr>
          <w:p>
            <w:pPr>
              <w:pStyle w:val="TableText"/>
              <w:jc w:val="right"/>
            </w:pPr>
            <w:r>
              <w:t xml:space="preserve">100 %</w:t>
            </w:r>
          </w:p>
        </w:tc>
      </w:tr>
      <w:tr>
        <w:tc>
          <w:tcPr>
            <w:tcW w:w="5576" w:type="dxa"/>
          </w:tcPr>
          <w:p>
            <w:pPr>
              <w:pStyle w:val="TableText"/>
            </w:pPr>
            <w:r>
              <w:t xml:space="preserve">· autoconsumo diretto</w:t>
            </w:r>
          </w:p>
        </w:tc>
        <w:tc>
          <w:tcPr>
            <w:tcW w:w="1195" w:type="dxa"/>
          </w:tcPr>
          <w:p>
            <w:pPr>
              <w:pStyle w:val="TableText"/>
              <w:jc w:val="right"/>
            </w:pPr>
            <w:r>
              <w:t xml:space="preserve">3.152</w:t>
            </w:r>
          </w:p>
        </w:tc>
        <w:tc>
          <w:tcPr>
            <w:tcW w:w="2868" w:type="dxa"/>
          </w:tcPr>
          <w:p>
            <w:pPr>
              <w:pStyle w:val="TableText"/>
              <w:jc w:val="right"/>
            </w:pPr>
            <w:r>
              <w:t xml:space="preserve">80 %</w:t>
            </w:r>
          </w:p>
        </w:tc>
      </w:tr>
      <w:tr>
        <w:tc>
          <w:tcPr>
            <w:tcW w:w="5576" w:type="dxa"/>
          </w:tcPr>
          <w:p>
            <w:pPr>
              <w:pStyle w:val="TableText"/>
            </w:pPr>
            <w:r>
              <w:t xml:space="preserve">· caricata nel BESS</w:t>
            </w:r>
          </w:p>
        </w:tc>
        <w:tc>
          <w:tcPr>
            <w:tcW w:w="1195" w:type="dxa"/>
          </w:tcPr>
          <w:p>
            <w:pPr>
              <w:pStyle w:val="TableText"/>
              <w:jc w:val="right"/>
            </w:pPr>
            <w:r>
              <w:t xml:space="preserve">244</w:t>
            </w:r>
          </w:p>
        </w:tc>
        <w:tc>
          <w:tcPr>
            <w:tcW w:w="2868" w:type="dxa"/>
          </w:tcPr>
          <w:p>
            <w:pPr>
              <w:pStyle w:val="TableText"/>
              <w:jc w:val="right"/>
            </w:pPr>
            <w:r>
              <w:t xml:space="preserve">6 %</w:t>
            </w:r>
          </w:p>
        </w:tc>
      </w:tr>
      <w:tr>
        <w:tc>
          <w:tcPr>
            <w:tcW w:w="5576" w:type="dxa"/>
          </w:tcPr>
          <w:p>
            <w:pPr>
              <w:pStyle w:val="TableText"/>
            </w:pPr>
            <w:r>
              <w:t xml:space="preserve">· immessa in rete</w:t>
            </w:r>
          </w:p>
        </w:tc>
        <w:tc>
          <w:tcPr>
            <w:tcW w:w="1195" w:type="dxa"/>
          </w:tcPr>
          <w:p>
            <w:pPr>
              <w:pStyle w:val="TableText"/>
              <w:jc w:val="right"/>
            </w:pPr>
            <w:r>
              <w:t xml:space="preserve">535</w:t>
            </w:r>
          </w:p>
        </w:tc>
        <w:tc>
          <w:tcPr>
            <w:tcW w:w="2868" w:type="dxa"/>
          </w:tcPr>
          <w:p>
            <w:pPr>
              <w:pStyle w:val="TableText"/>
              <w:jc w:val="right"/>
            </w:pPr>
            <w:r>
              <w:t xml:space="preserve">14 %</w:t>
            </w:r>
          </w:p>
        </w:tc>
      </w:tr>
      <w:tr>
        <w:tc>
          <w:tcPr>
            <w:tcW w:w="5576" w:type="dxa"/>
          </w:tcPr>
          <w:p>
            <w:pPr>
              <w:pStyle w:val="TableText"/>
            </w:pPr>
            <w:r>
              <w:t xml:space="preserve">Scarica BESS ai carichi</w:t>
            </w:r>
          </w:p>
        </w:tc>
        <w:tc>
          <w:tcPr>
            <w:tcW w:w="1195" w:type="dxa"/>
          </w:tcPr>
          <w:p>
            <w:pPr>
              <w:pStyle w:val="TableText"/>
              <w:jc w:val="right"/>
            </w:pPr>
            <w:r>
              <w:t xml:space="preserve">405</w:t>
            </w:r>
          </w:p>
        </w:tc>
        <w:tc>
          <w:tcPr>
            <w:tcW w:w="2868" w:type="dxa"/>
          </w:tcPr>
          <w:p>
            <w:pPr>
              <w:pStyle w:val="TableText"/>
              <w:jc w:val="right"/>
            </w:pPr>
            <w:r>
              <w:t xml:space="preserve"/>
            </w:r>
          </w:p>
        </w:tc>
      </w:tr>
      <w:tr>
        <w:tc>
          <w:tcPr>
            <w:tcW w:w="5576" w:type="dxa"/>
          </w:tcPr>
          <w:p>
            <w:pPr>
              <w:pStyle w:val="TableText"/>
            </w:pPr>
            <w:r>
              <w:t xml:space="preserve">Carica BESS da rete (arbitraggio)</w:t>
            </w:r>
          </w:p>
        </w:tc>
        <w:tc>
          <w:tcPr>
            <w:tcW w:w="1195" w:type="dxa"/>
          </w:tcPr>
          <w:p>
            <w:pPr>
              <w:pStyle w:val="TableText"/>
              <w:jc w:val="right"/>
            </w:pPr>
            <w:r>
              <w:t xml:space="preserve">227</w:t>
            </w:r>
          </w:p>
        </w:tc>
        <w:tc>
          <w:tcPr>
            <w:tcW w:w="2868" w:type="dxa"/>
          </w:tcPr>
          <w:p>
            <w:pPr>
              <w:pStyle w:val="TableText"/>
              <w:jc w:val="right"/>
            </w:pPr>
            <w:r>
              <w:t xml:space="preserve"/>
            </w:r>
          </w:p>
        </w:tc>
      </w:tr>
      <w:tr>
        <w:tc>
          <w:tcPr>
            <w:tcW w:w="5576" w:type="dxa"/>
          </w:tcPr>
          <w:p>
            <w:pPr>
              <w:pStyle w:val="TableText"/>
            </w:pPr>
            <w:r>
              <w:t xml:space="preserve">Prelievo da rete</w:t>
            </w:r>
          </w:p>
        </w:tc>
        <w:tc>
          <w:tcPr>
            <w:tcW w:w="1195" w:type="dxa"/>
          </w:tcPr>
          <w:p>
            <w:pPr>
              <w:pStyle w:val="TableText"/>
              <w:jc w:val="right"/>
            </w:pPr>
            <w:r>
              <w:t xml:space="preserve">5.673</w:t>
            </w:r>
          </w:p>
        </w:tc>
        <w:tc>
          <w:tcPr>
            <w:tcW w:w="2868" w:type="dxa"/>
          </w:tcPr>
          <w:p>
            <w:pPr>
              <w:pStyle w:val="TableText"/>
              <w:jc w:val="right"/>
            </w:pPr>
            <w:r>
              <w:t xml:space="preserve">63 % del consumo</w:t>
            </w:r>
          </w:p>
        </w:tc>
      </w:tr>
      <w:tr>
        <w:tc>
          <w:tcPr>
            <w:tcW w:w="5576" w:type="dxa"/>
          </w:tcPr>
          <w:p>
            <w:pPr>
              <w:pStyle w:val="TableText"/>
            </w:pPr>
            <w:r>
              <w:t xml:space="preserve">Consumo dello stabilimento</w:t>
            </w:r>
          </w:p>
        </w:tc>
        <w:tc>
          <w:tcPr>
            <w:tcW w:w="1195" w:type="dxa"/>
          </w:tcPr>
          <w:p>
            <w:pPr>
              <w:pStyle w:val="TableText"/>
              <w:jc w:val="right"/>
            </w:pPr>
            <w:r>
              <w:t xml:space="preserve">9.000</w:t>
            </w:r>
          </w:p>
        </w:tc>
        <w:tc>
          <w:tcPr>
            <w:tcW w:w="2868" w:type="dxa"/>
          </w:tcPr>
          <w:p>
            <w:pPr>
              <w:pStyle w:val="TableText"/>
              <w:jc w:val="right"/>
            </w:pPr>
            <w:r>
              <w:t xml:space="preserve"/>
            </w:r>
          </w:p>
        </w:tc>
      </w:tr>
    </w:tbl>
    <w:p>
      <w:pPr>
        <w:pStyle w:val="Normal"/>
        <w:spacing w:after="60"/>
      </w:pPr>
    </w:p>
    <w:p>
      <w:pPr>
        <w:pStyle w:val="Normal"/>
      </w:pPr>
      <w:r>
        <w:t xml:space="preserve">Producibilità specifica 1.310 kWh/kWp, PR 86 % (con guadagno bifacciale). Autoconsumo 86 % della produzione, autosufficienza 40 % dei consumi. CO₂ evitata circa 830 t/a.</w:t>
      </w:r>
    </w:p>
    <w:p>
      <w:pPr>
        <w:pStyle w:val="Heading2"/>
      </w:pPr>
      <w:r>
        <w:t xml:space="preserve">2.3 Indicatori economici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138"/>
        <w:gridCol w:w="2466"/>
        <w:gridCol w:w="4035"/>
      </w:tblGrid>
      <w:tr>
        <w:trPr>
          <w:tblHeader/>
        </w:trPr>
        <w:tc>
          <w:tcPr>
            <w:tcW w:w="3138" w:type="dxa"/>
            <w:shd w:val="clear" w:color="auto" w:fill="E3EAEC"/>
          </w:tcPr>
          <w:p>
            <w:pPr>
              <w:pStyle w:val="TableText"/>
            </w:pPr>
            <w:r>
              <w:rPr>
                <w:b/>
              </w:rPr>
              <w:t xml:space="preserve">Indicatore</w:t>
            </w:r>
          </w:p>
        </w:tc>
        <w:tc>
          <w:tcPr>
            <w:tcW w:w="2466" w:type="dxa"/>
            <w:shd w:val="clear" w:color="auto" w:fill="E3EAEC"/>
          </w:tcPr>
          <w:p>
            <w:pPr>
              <w:pStyle w:val="TableText"/>
              <w:jc w:val="right"/>
            </w:pPr>
            <w:r>
              <w:rPr>
                <w:b/>
              </w:rPr>
              <w:t xml:space="preserve">Solo FV (A0)</w:t>
            </w:r>
          </w:p>
        </w:tc>
        <w:tc>
          <w:tcPr>
            <w:tcW w:w="4035" w:type="dxa"/>
            <w:shd w:val="clear" w:color="auto" w:fill="E3EAEC"/>
          </w:tcPr>
          <w:p>
            <w:pPr>
              <w:pStyle w:val="TableText"/>
              <w:jc w:val="right"/>
            </w:pPr>
            <w:r>
              <w:rPr>
                <w:b/>
              </w:rPr>
              <w:t xml:space="preserve">FV + BESS (A)</w:t>
            </w:r>
          </w:p>
        </w:tc>
      </w:tr>
      <w:tr>
        <w:tc>
          <w:tcPr>
            <w:tcW w:w="3138" w:type="dxa"/>
          </w:tcPr>
          <w:p>
            <w:pPr>
              <w:pStyle w:val="TableText"/>
            </w:pPr>
            <w:r>
              <w:t xml:space="preserve">CAPEX</w:t>
            </w:r>
          </w:p>
        </w:tc>
        <w:tc>
          <w:tcPr>
            <w:tcW w:w="2466" w:type="dxa"/>
          </w:tcPr>
          <w:p>
            <w:pPr>
              <w:pStyle w:val="TableText"/>
              <w:jc w:val="right"/>
            </w:pPr>
            <w:r>
              <w:t xml:space="preserve">1.848 k€ (616 €/kWp)</w:t>
            </w:r>
          </w:p>
        </w:tc>
        <w:tc>
          <w:tcPr>
            <w:tcW w:w="4035" w:type="dxa"/>
          </w:tcPr>
          <w:p>
            <w:pPr>
              <w:pStyle w:val="TableText"/>
              <w:jc w:val="right"/>
            </w:pPr>
            <w:r>
              <w:t xml:space="preserve">2.409 k€ (+561 k€ BESS, 281 €/kWh)</w:t>
            </w:r>
          </w:p>
        </w:tc>
      </w:tr>
      <w:tr>
        <w:tc>
          <w:tcPr>
            <w:tcW w:w="3138" w:type="dxa"/>
          </w:tcPr>
          <w:p>
            <w:pPr>
              <w:pStyle w:val="TableText"/>
            </w:pPr>
            <w:r>
              <w:t xml:space="preserve">Risparmio + vendite anno 1</w:t>
            </w:r>
          </w:p>
        </w:tc>
        <w:tc>
          <w:tcPr>
            <w:tcW w:w="2466" w:type="dxa"/>
          </w:tcPr>
          <w:p>
            <w:pPr>
              <w:pStyle w:val="TableText"/>
              <w:jc w:val="right"/>
            </w:pPr>
            <w:r>
              <w:t xml:space="preserve">722 k€</w:t>
            </w:r>
          </w:p>
        </w:tc>
        <w:tc>
          <w:tcPr>
            <w:tcW w:w="4035" w:type="dxa"/>
          </w:tcPr>
          <w:p>
            <w:pPr>
              <w:pStyle w:val="TableText"/>
              <w:jc w:val="right"/>
            </w:pPr>
            <w:r>
              <w:t xml:space="preserve">749 k€</w:t>
            </w:r>
          </w:p>
        </w:tc>
      </w:tr>
      <w:tr>
        <w:tc>
          <w:tcPr>
            <w:tcW w:w="3138" w:type="dxa"/>
          </w:tcPr>
          <w:p>
            <w:pPr>
              <w:pStyle w:val="TableText"/>
            </w:pPr>
            <w:r>
              <w:t xml:space="preserve">VAN di progetto (7 %)</w:t>
            </w:r>
          </w:p>
        </w:tc>
        <w:tc>
          <w:tcPr>
            <w:tcW w:w="2466" w:type="dxa"/>
          </w:tcPr>
          <w:p>
            <w:pPr>
              <w:pStyle w:val="TableText"/>
              <w:jc w:val="right"/>
            </w:pPr>
            <w:r>
              <w:rPr>
                <w:b/>
              </w:rPr>
              <w:t xml:space="preserve">4.861 k€</w:t>
            </w:r>
          </w:p>
        </w:tc>
        <w:tc>
          <w:tcPr>
            <w:tcW w:w="4035" w:type="dxa"/>
          </w:tcPr>
          <w:p>
            <w:pPr>
              <w:pStyle w:val="TableText"/>
              <w:jc w:val="right"/>
            </w:pPr>
            <w:r>
              <w:rPr>
                <w:b/>
              </w:rPr>
              <w:t xml:space="preserve">4.541 k€</w:t>
            </w:r>
          </w:p>
        </w:tc>
      </w:tr>
      <w:tr>
        <w:tc>
          <w:tcPr>
            <w:tcW w:w="3138" w:type="dxa"/>
          </w:tcPr>
          <w:p>
            <w:pPr>
              <w:pStyle w:val="TableText"/>
            </w:pPr>
            <w:r>
              <w:t xml:space="preserve">TIR di progetto</w:t>
            </w:r>
          </w:p>
        </w:tc>
        <w:tc>
          <w:tcPr>
            <w:tcW w:w="2466" w:type="dxa"/>
          </w:tcPr>
          <w:p>
            <w:pPr>
              <w:pStyle w:val="TableText"/>
              <w:jc w:val="right"/>
            </w:pPr>
            <w:r>
              <w:t xml:space="preserve">29,4 %</w:t>
            </w:r>
          </w:p>
        </w:tc>
        <w:tc>
          <w:tcPr>
            <w:tcW w:w="4035" w:type="dxa"/>
          </w:tcPr>
          <w:p>
            <w:pPr>
              <w:pStyle w:val="TableText"/>
              <w:jc w:val="right"/>
            </w:pPr>
            <w:r>
              <w:t xml:space="preserve">23,7 %</w:t>
            </w:r>
          </w:p>
        </w:tc>
      </w:tr>
      <w:tr>
        <w:tc>
          <w:tcPr>
            <w:tcW w:w="3138" w:type="dxa"/>
          </w:tcPr>
          <w:p>
            <w:pPr>
              <w:pStyle w:val="TableText"/>
            </w:pPr>
            <w:r>
              <w:t xml:space="preserve">TIR equity (60 % debito)</w:t>
            </w:r>
          </w:p>
        </w:tc>
        <w:tc>
          <w:tcPr>
            <w:tcW w:w="2466" w:type="dxa"/>
          </w:tcPr>
          <w:p>
            <w:pPr>
              <w:pStyle w:val="TableText"/>
              <w:jc w:val="right"/>
            </w:pPr>
            <w:r>
              <w:t xml:space="preserve">56,5 %</w:t>
            </w:r>
          </w:p>
        </w:tc>
        <w:tc>
          <w:tcPr>
            <w:tcW w:w="4035" w:type="dxa"/>
          </w:tcPr>
          <w:p>
            <w:pPr>
              <w:pStyle w:val="TableText"/>
              <w:jc w:val="right"/>
            </w:pPr>
            <w:r>
              <w:t xml:space="preserve">42,9 %</w:t>
            </w:r>
          </w:p>
        </w:tc>
      </w:tr>
      <w:tr>
        <w:tc>
          <w:tcPr>
            <w:tcW w:w="3138" w:type="dxa"/>
          </w:tcPr>
          <w:p>
            <w:pPr>
              <w:pStyle w:val="TableText"/>
            </w:pPr>
            <w:r>
              <w:t xml:space="preserve">Payback semplice</w:t>
            </w:r>
          </w:p>
        </w:tc>
        <w:tc>
          <w:tcPr>
            <w:tcW w:w="2466" w:type="dxa"/>
          </w:tcPr>
          <w:p>
            <w:pPr>
              <w:pStyle w:val="TableText"/>
              <w:jc w:val="right"/>
            </w:pPr>
            <w:r>
              <w:t xml:space="preserve">3,5 anni</w:t>
            </w:r>
          </w:p>
        </w:tc>
        <w:tc>
          <w:tcPr>
            <w:tcW w:w="4035" w:type="dxa"/>
          </w:tcPr>
          <w:p>
            <w:pPr>
              <w:pStyle w:val="TableText"/>
              <w:jc w:val="right"/>
            </w:pPr>
            <w:r>
              <w:t xml:space="preserve">4,3 anni</w:t>
            </w:r>
          </w:p>
        </w:tc>
      </w:tr>
      <w:tr>
        <w:tc>
          <w:tcPr>
            <w:tcW w:w="3138" w:type="dxa"/>
          </w:tcPr>
          <w:p>
            <w:pPr>
              <w:pStyle w:val="TableText"/>
            </w:pPr>
            <w:r>
              <w:t xml:space="preserve">LCOE FV</w:t>
            </w:r>
          </w:p>
        </w:tc>
        <w:tc>
          <w:tcPr>
            <w:tcW w:w="2466" w:type="dxa"/>
          </w:tcPr>
          <w:p>
            <w:pPr>
              <w:pStyle w:val="TableText"/>
              <w:jc w:val="right"/>
            </w:pPr>
            <w:r>
              <w:t xml:space="preserve">59,8 €/MWh</w:t>
            </w:r>
          </w:p>
        </w:tc>
        <w:tc>
          <w:tcPr>
            <w:tcW w:w="4035" w:type="dxa"/>
          </w:tcPr>
          <w:p>
            <w:pPr>
              <w:pStyle w:val="TableText"/>
              <w:jc w:val="right"/>
            </w:pPr>
            <w:r>
              <w:t xml:space="preserve">59,8 €/MWh</w:t>
            </w:r>
          </w:p>
        </w:tc>
      </w:tr>
      <w:tr>
        <w:tc>
          <w:tcPr>
            <w:tcW w:w="3138" w:type="dxa"/>
          </w:tcPr>
          <w:p>
            <w:pPr>
              <w:pStyle w:val="TableText"/>
            </w:pPr>
            <w:r>
              <w:t xml:space="preserve">LCOS BESS</w:t>
            </w:r>
          </w:p>
        </w:tc>
        <w:tc>
          <w:tcPr>
            <w:tcW w:w="2466" w:type="dxa"/>
          </w:tcPr>
          <w:p>
            <w:pPr>
              <w:pStyle w:val="TableText"/>
              <w:jc w:val="right"/>
            </w:pPr>
            <w:r>
              <w:t xml:space="preserve">–</w:t>
            </w:r>
          </w:p>
        </w:tc>
        <w:tc>
          <w:tcPr>
            <w:tcW w:w="4035" w:type="dxa"/>
          </w:tcPr>
          <w:p>
            <w:pPr>
              <w:pStyle w:val="TableText"/>
              <w:jc w:val="right"/>
            </w:pPr>
            <w:r>
              <w:t xml:space="preserve">162 €/MWh</w:t>
            </w:r>
          </w:p>
        </w:tc>
      </w:tr>
      <w:tr>
        <w:tc>
          <w:tcPr>
            <w:tcW w:w="3138" w:type="dxa"/>
          </w:tcPr>
          <w:p>
            <w:pPr>
              <w:pStyle w:val="TableText"/>
            </w:pPr>
            <w:r>
              <w:t xml:space="preserve">DSCR minimo</w:t>
            </w:r>
          </w:p>
        </w:tc>
        <w:tc>
          <w:tcPr>
            <w:tcW w:w="2466" w:type="dxa"/>
          </w:tcPr>
          <w:p>
            <w:pPr>
              <w:pStyle w:val="TableText"/>
              <w:jc w:val="right"/>
            </w:pPr>
            <w:r>
              <w:t xml:space="preserve">–</w:t>
            </w:r>
          </w:p>
        </w:tc>
        <w:tc>
          <w:tcPr>
            <w:tcW w:w="4035" w:type="dxa"/>
          </w:tcPr>
          <w:p>
            <w:pPr>
              <w:pStyle w:val="TableText"/>
              <w:jc w:val="right"/>
            </w:pPr>
            <w:r>
              <w:t xml:space="preserve">3,3</w:t>
            </w:r>
          </w:p>
        </w:tc>
      </w:tr>
    </w:tbl>
    <w:p>
      <w:pPr>
        <w:pStyle w:val="Normal"/>
        <w:spacing w:after="60"/>
      </w:pPr>
    </w:p>
    <w:p>
      <w:pPr>
        <w:pStyle w:val="Normal"/>
      </w:pPr>
      <w:r>
        <w:t xml:space="preserve">Conto economico e flussi anno per anno: </w:t>
      </w:r>
      <w:r>
        <w:t xml:space="preserve">A1 §7</w:t>
      </w:r>
      <w:r>
        <w:t xml:space="preserve">. Il flusso di progetto dell'anno 1 è di 522 k€ su 2.409 k€ investiti; l'EBITDA cresce da 682 k€ a ~860 k€ per l'escalation dei prezzi, compensata in parte dal degrado.</w:t>
      </w:r>
    </w:p>
    <w:p>
      <w:pPr>
        <w:pStyle w:val="Normal"/>
        <w:pBdr>
          <w:bottom w:val="single" w:sz="6" w:space="1" w:color="A0A8AE"/>
        </w:pBdr>
      </w:pPr>
    </w:p>
    <w:p>
      <w:pPr>
        <w:pStyle w:val="Heading1"/>
      </w:pPr>
      <w:r>
        <w:t xml:space="preserve">3. Il valore del sistema di accumulo</w:t>
      </w:r>
    </w:p>
    <w:p>
      <w:pPr>
        <w:pStyle w:val="Heading2"/>
      </w:pPr>
      <w:r>
        <w:t xml:space="preserve">3.1 Valore incrementale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447"/>
        <w:gridCol w:w="817"/>
        <w:gridCol w:w="817"/>
        <w:gridCol w:w="1379"/>
        <w:gridCol w:w="1180"/>
        <w:gridCol w:w="998"/>
      </w:tblGrid>
      <w:tr>
        <w:trPr>
          <w:tblHeader/>
        </w:trPr>
        <w:tc>
          <w:tcPr>
            <w:tcW w:w="4447" w:type="dxa"/>
            <w:shd w:val="clear" w:color="auto" w:fill="E3EAEC"/>
          </w:tcPr>
          <w:p>
            <w:pPr>
              <w:pStyle w:val="TableText"/>
            </w:pPr>
            <w:r>
              <w:rPr>
                <w:b/>
              </w:rPr>
              <w:t xml:space="preserve">Confronto</w:t>
            </w:r>
          </w:p>
        </w:tc>
        <w:tc>
          <w:tcPr>
            <w:tcW w:w="817" w:type="dxa"/>
            <w:shd w:val="clear" w:color="auto" w:fill="E3EAEC"/>
          </w:tcPr>
          <w:p>
            <w:pPr>
              <w:pStyle w:val="TableText"/>
              <w:jc w:val="right"/>
            </w:pPr>
            <w:r>
              <w:rPr>
                <w:b/>
              </w:rPr>
              <w:t xml:space="preserve">ΔCAPEX</w:t>
            </w:r>
          </w:p>
        </w:tc>
        <w:tc>
          <w:tcPr>
            <w:tcW w:w="817" w:type="dxa"/>
            <w:shd w:val="clear" w:color="auto" w:fill="E3EAEC"/>
          </w:tcPr>
          <w:p>
            <w:pPr>
              <w:pStyle w:val="TableText"/>
              <w:jc w:val="right"/>
            </w:pPr>
            <w:r>
              <w:rPr>
                <w:b/>
              </w:rPr>
              <w:t xml:space="preserve">ΔVAN</w:t>
            </w:r>
          </w:p>
        </w:tc>
        <w:tc>
          <w:tcPr>
            <w:tcW w:w="1379" w:type="dxa"/>
            <w:shd w:val="clear" w:color="auto" w:fill="E3EAEC"/>
          </w:tcPr>
          <w:p>
            <w:pPr>
              <w:pStyle w:val="TableText"/>
              <w:jc w:val="right"/>
            </w:pPr>
            <w:r>
              <w:rPr>
                <w:b/>
              </w:rPr>
              <w:t xml:space="preserve">Scarica BESS</w:t>
            </w:r>
          </w:p>
        </w:tc>
        <w:tc>
          <w:tcPr>
            <w:tcW w:w="1180" w:type="dxa"/>
            <w:shd w:val="clear" w:color="auto" w:fill="E3EAEC"/>
          </w:tcPr>
          <w:p>
            <w:pPr>
              <w:pStyle w:val="TableText"/>
              <w:jc w:val="right"/>
            </w:pPr>
            <w:r>
              <w:rPr>
                <w:b/>
              </w:rPr>
              <w:t xml:space="preserve">Cicli/anno</w:t>
            </w:r>
          </w:p>
        </w:tc>
        <w:tc>
          <w:tcPr>
            <w:tcW w:w="998" w:type="dxa"/>
            <w:shd w:val="clear" w:color="auto" w:fill="E3EAEC"/>
          </w:tcPr>
          <w:p>
            <w:pPr>
              <w:pStyle w:val="TableText"/>
              <w:jc w:val="right"/>
            </w:pPr>
            <w:r>
              <w:rPr>
                <w:b/>
              </w:rPr>
              <w:t xml:space="preserve">LCOS</w:t>
            </w:r>
          </w:p>
        </w:tc>
      </w:tr>
      <w:tr>
        <w:tc>
          <w:tcPr>
            <w:tcW w:w="4447" w:type="dxa"/>
          </w:tcPr>
          <w:p>
            <w:pPr>
              <w:pStyle w:val="TableText"/>
            </w:pPr>
            <w:r>
              <w:t xml:space="preserve">A (BESS 2 MWh, nessun incentivo) vs A0</w:t>
            </w:r>
          </w:p>
        </w:tc>
        <w:tc>
          <w:tcPr>
            <w:tcW w:w="817" w:type="dxa"/>
          </w:tcPr>
          <w:p>
            <w:pPr>
              <w:pStyle w:val="TableText"/>
              <w:jc w:val="right"/>
            </w:pPr>
            <w:r>
              <w:t xml:space="preserve">+561 k€</w:t>
            </w:r>
          </w:p>
        </w:tc>
        <w:tc>
          <w:tcPr>
            <w:tcW w:w="817" w:type="dxa"/>
          </w:tcPr>
          <w:p>
            <w:pPr>
              <w:pStyle w:val="TableText"/>
              <w:jc w:val="right"/>
            </w:pPr>
            <w:r>
              <w:rPr>
                <w:b/>
              </w:rPr>
              <w:t xml:space="preserve">−320 k€</w:t>
            </w:r>
          </w:p>
        </w:tc>
        <w:tc>
          <w:tcPr>
            <w:tcW w:w="1379" w:type="dxa"/>
          </w:tcPr>
          <w:p>
            <w:pPr>
              <w:pStyle w:val="TableText"/>
              <w:jc w:val="right"/>
            </w:pPr>
            <w:r>
              <w:t xml:space="preserve">405 MWh/a</w:t>
            </w:r>
          </w:p>
        </w:tc>
        <w:tc>
          <w:tcPr>
            <w:tcW w:w="1180" w:type="dxa"/>
          </w:tcPr>
          <w:p>
            <w:pPr>
              <w:pStyle w:val="TableText"/>
              <w:jc w:val="right"/>
            </w:pPr>
            <w:r>
              <w:t xml:space="preserve">225</w:t>
            </w:r>
          </w:p>
        </w:tc>
        <w:tc>
          <w:tcPr>
            <w:tcW w:w="998" w:type="dxa"/>
          </w:tcPr>
          <w:p>
            <w:pPr>
              <w:pStyle w:val="TableText"/>
              <w:jc w:val="right"/>
            </w:pPr>
            <w:r>
              <w:t xml:space="preserve">162 €/MWh</w:t>
            </w:r>
          </w:p>
        </w:tc>
      </w:tr>
      <w:tr>
        <w:tc>
          <w:tcPr>
            <w:tcW w:w="4447" w:type="dxa"/>
          </w:tcPr>
          <w:p>
            <w:pPr>
              <w:pStyle w:val="TableText"/>
            </w:pPr>
            <w:r>
              <w:t xml:space="preserve">A3 (con UVA/MSD 15 €/kW·a e peak shaving) vs A0</w:t>
            </w:r>
          </w:p>
        </w:tc>
        <w:tc>
          <w:tcPr>
            <w:tcW w:w="817" w:type="dxa"/>
          </w:tcPr>
          <w:p>
            <w:pPr>
              <w:pStyle w:val="TableText"/>
              <w:jc w:val="right"/>
            </w:pPr>
            <w:r>
              <w:t xml:space="preserve">+561 k€</w:t>
            </w:r>
          </w:p>
        </w:tc>
        <w:tc>
          <w:tcPr>
            <w:tcW w:w="817" w:type="dxa"/>
          </w:tcPr>
          <w:p>
            <w:pPr>
              <w:pStyle w:val="TableText"/>
              <w:jc w:val="right"/>
            </w:pPr>
            <w:r>
              <w:t xml:space="preserve">−246 k€</w:t>
            </w:r>
          </w:p>
        </w:tc>
        <w:tc>
          <w:tcPr>
            <w:tcW w:w="1379" w:type="dxa"/>
          </w:tcPr>
          <w:p>
            <w:pPr>
              <w:pStyle w:val="TableText"/>
              <w:jc w:val="right"/>
            </w:pPr>
            <w:r>
              <w:t xml:space="preserve">367 MWh/a</w:t>
            </w:r>
          </w:p>
        </w:tc>
        <w:tc>
          <w:tcPr>
            <w:tcW w:w="1180" w:type="dxa"/>
          </w:tcPr>
          <w:p>
            <w:pPr>
              <w:pStyle w:val="TableText"/>
              <w:jc w:val="right"/>
            </w:pPr>
            <w:r>
              <w:t xml:space="preserve">204</w:t>
            </w:r>
          </w:p>
        </w:tc>
        <w:tc>
          <w:tcPr>
            <w:tcW w:w="998" w:type="dxa"/>
          </w:tcPr>
          <w:p>
            <w:pPr>
              <w:pStyle w:val="TableText"/>
              <w:jc w:val="right"/>
            </w:pPr>
            <w:r>
              <w:t xml:space="preserve">178 €/MWh</w:t>
            </w:r>
          </w:p>
        </w:tc>
      </w:tr>
      <w:tr>
        <w:tc>
          <w:tcPr>
            <w:tcW w:w="4447" w:type="dxa"/>
          </w:tcPr>
          <w:p>
            <w:pPr>
              <w:pStyle w:val="TableText"/>
            </w:pPr>
            <w:r>
              <w:t xml:space="preserve">B (Bari, iper-ammortamento + ZES) vs B0</w:t>
            </w:r>
          </w:p>
        </w:tc>
        <w:tc>
          <w:tcPr>
            <w:tcW w:w="817" w:type="dxa"/>
          </w:tcPr>
          <w:p>
            <w:pPr>
              <w:pStyle w:val="TableText"/>
              <w:jc w:val="right"/>
            </w:pPr>
            <w:r>
              <w:t xml:space="preserve">+561 k€</w:t>
            </w:r>
          </w:p>
        </w:tc>
        <w:tc>
          <w:tcPr>
            <w:tcW w:w="817" w:type="dxa"/>
          </w:tcPr>
          <w:p>
            <w:pPr>
              <w:pStyle w:val="TableText"/>
              <w:jc w:val="right"/>
            </w:pPr>
            <w:r>
              <w:rPr>
                <w:b/>
              </w:rPr>
              <w:t xml:space="preserve">+1 k€</w:t>
            </w:r>
          </w:p>
        </w:tc>
        <w:tc>
          <w:tcPr>
            <w:tcW w:w="1379" w:type="dxa"/>
          </w:tcPr>
          <w:p>
            <w:pPr>
              <w:pStyle w:val="TableText"/>
              <w:jc w:val="right"/>
            </w:pPr>
            <w:r>
              <w:t xml:space="preserve">471 MWh/a</w:t>
            </w:r>
          </w:p>
        </w:tc>
        <w:tc>
          <w:tcPr>
            <w:tcW w:w="1180" w:type="dxa"/>
          </w:tcPr>
          <w:p>
            <w:pPr>
              <w:pStyle w:val="TableText"/>
              <w:jc w:val="right"/>
            </w:pPr>
            <w:r>
              <w:t xml:space="preserve">261</w:t>
            </w:r>
          </w:p>
        </w:tc>
        <w:tc>
          <w:tcPr>
            <w:tcW w:w="998" w:type="dxa"/>
          </w:tcPr>
          <w:p>
            <w:pPr>
              <w:pStyle w:val="TableText"/>
              <w:jc w:val="right"/>
            </w:pPr>
            <w:r>
              <w:t xml:space="preserve">143 €/MWh</w:t>
            </w:r>
          </w:p>
        </w:tc>
      </w:tr>
    </w:tbl>
    <w:p>
      <w:pPr>
        <w:pStyle w:val="Normal"/>
        <w:spacing w:after="60"/>
      </w:pPr>
    </w:p>
    <w:p>
      <w:pPr>
        <w:pStyle w:val="Heading2"/>
      </w:pPr>
      <w:r>
        <w:t xml:space="preserve">3.2 Da dove viene (e dove manca) il valore</w:t>
      </w:r>
    </w:p>
    <w:p>
      <w:pPr>
        <w:pStyle w:val="Normal"/>
      </w:pPr>
      <w:r>
        <w:t xml:space="preserve">Ogni MWh spostato dal BESS vale la differenza tra il costo evitato del prelievo serale e il valore dell'energia che altrimenti sarebbe stata immessa o, nell'arbitraggio, prelevata di notte:</w:t>
      </w:r>
    </w:p>
    <w:p>
      <w:pPr>
        <w:pStyle w:val="ListParagraph"/>
      </w:pPr>
      <w:r>
        <w:t xml:space="preserve">•  </w:t>
      </w:r>
      <w:r>
        <w:rPr>
          <w:b/>
        </w:rPr>
        <w:t xml:space="preserve">Spostamento del surplus FV:</w:t>
      </w:r>
      <w:r>
        <w:t xml:space="preserve"> 215 €/MWh evitati contro ~110 €/MWh di ricavo dell'immissione, al netto del 14 % di perdite di ciclo: circa 75–85 €/MWh di margine. Nel caso A il surplus disponibile è piccolo (535 MWh/a residui) perché il FV è dimensionato sui consumi.</w:t>
      </w:r>
    </w:p>
    <w:p>
      <w:pPr>
        <w:pStyle w:val="ListParagraph"/>
      </w:pPr>
      <w:r>
        <w:t xml:space="preserve">•  </w:t>
      </w:r>
      <w:r>
        <w:rPr>
          <w:b/>
        </w:rPr>
        <w:t xml:space="preserve">Arbitraggio notturno:</w:t>
      </w:r>
      <w:r>
        <w:t xml:space="preserve"> le componenti di rete e le accise si pagano sia sull'energia caricata sia su quella evitata e quindi si annullano; resta lo spread del PUN (~45–65 €/MWh tra notte e picco) meno le perdite. Margine di 25–40 €/MWh.</w:t>
      </w:r>
    </w:p>
    <w:p>
      <w:pPr>
        <w:pStyle w:val="ListParagraph"/>
      </w:pPr>
      <w:r>
        <w:t xml:space="preserve">•  </w:t>
      </w:r>
      <w:r>
        <w:rPr>
          <w:b/>
        </w:rPr>
        <w:t xml:space="preserve">Peak shaving:</w:t>
      </w:r>
      <w:r>
        <w:t xml:space="preserve"> con la quota potenza MTA3 a 28 €/kW·anno, tagliare 500 kW di picco vale ~14 k€/anno; nel caso A vale 6 k€/anno perché i picchi dello stabilimento sono piatti.</w:t>
      </w:r>
    </w:p>
    <w:p>
      <w:pPr>
        <w:pStyle w:val="Normal"/>
      </w:pPr>
      <w:r>
        <w:t xml:space="preserve">Con 225 cicli/anno e margini di 30–80 €/MWh il BESS da 2 MWh genera 25–35 k€/anno, contro una rata equivalente del CAPEX di ~50 k€/anno (561 k€ al 7 % su 20 anni) più 8 k€/anno di O&amp;M e un'augmentation all'anno 15.</w:t>
      </w:r>
    </w:p>
    <w:p>
      <w:pPr>
        <w:pStyle w:val="Heading2"/>
      </w:pPr>
      <w:r>
        <w:t xml:space="preserve">3.3 Taglia e strategia</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354"/>
        <w:gridCol w:w="1913"/>
        <w:gridCol w:w="1471"/>
        <w:gridCol w:w="2722"/>
        <w:gridCol w:w="1177"/>
      </w:tblGrid>
      <w:tr>
        <w:trPr>
          <w:tblHeader/>
        </w:trPr>
        <w:tc>
          <w:tcPr>
            <w:tcW w:w="2354" w:type="dxa"/>
            <w:shd w:val="clear" w:color="auto" w:fill="E3EAEC"/>
          </w:tcPr>
          <w:p>
            <w:pPr>
              <w:pStyle w:val="TableText"/>
            </w:pPr>
            <w:r>
              <w:rPr>
                <w:b/>
              </w:rPr>
              <w:t xml:space="preserve">BESS (2 h)</w:t>
            </w:r>
          </w:p>
        </w:tc>
        <w:tc>
          <w:tcPr>
            <w:tcW w:w="1913" w:type="dxa"/>
            <w:shd w:val="clear" w:color="auto" w:fill="E3EAEC"/>
          </w:tcPr>
          <w:p>
            <w:pPr>
              <w:pStyle w:val="TableText"/>
              <w:jc w:val="right"/>
            </w:pPr>
            <w:r>
              <w:rPr>
                <w:b/>
              </w:rPr>
              <w:t xml:space="preserve">CAPEX BESS</w:t>
            </w:r>
          </w:p>
        </w:tc>
        <w:tc>
          <w:tcPr>
            <w:tcW w:w="1471" w:type="dxa"/>
            <w:shd w:val="clear" w:color="auto" w:fill="E3EAEC"/>
          </w:tcPr>
          <w:p>
            <w:pPr>
              <w:pStyle w:val="TableText"/>
              <w:jc w:val="right"/>
            </w:pPr>
            <w:r>
              <w:rPr>
                <w:b/>
              </w:rPr>
              <w:t xml:space="preserve">VAN</w:t>
            </w:r>
          </w:p>
        </w:tc>
        <w:tc>
          <w:tcPr>
            <w:tcW w:w="2722" w:type="dxa"/>
            <w:shd w:val="clear" w:color="auto" w:fill="E3EAEC"/>
          </w:tcPr>
          <w:p>
            <w:pPr>
              <w:pStyle w:val="TableText"/>
              <w:jc w:val="right"/>
            </w:pPr>
            <w:r>
              <w:rPr>
                <w:b/>
              </w:rPr>
              <w:t xml:space="preserve">ΔVAN vs solo FV</w:t>
            </w:r>
          </w:p>
        </w:tc>
        <w:tc>
          <w:tcPr>
            <w:tcW w:w="1177" w:type="dxa"/>
            <w:shd w:val="clear" w:color="auto" w:fill="E3EAEC"/>
          </w:tcPr>
          <w:p>
            <w:pPr>
              <w:pStyle w:val="TableText"/>
              <w:jc w:val="right"/>
            </w:pPr>
            <w:r>
              <w:rPr>
                <w:b/>
              </w:rPr>
              <w:t xml:space="preserve">TIR</w:t>
            </w:r>
          </w:p>
        </w:tc>
      </w:tr>
      <w:tr>
        <w:tc>
          <w:tcPr>
            <w:tcW w:w="2354" w:type="dxa"/>
          </w:tcPr>
          <w:p>
            <w:pPr>
              <w:pStyle w:val="TableText"/>
            </w:pPr>
            <w:r>
              <w:t xml:space="preserve">nessuno</w:t>
            </w:r>
          </w:p>
        </w:tc>
        <w:tc>
          <w:tcPr>
            <w:tcW w:w="1913" w:type="dxa"/>
          </w:tcPr>
          <w:p>
            <w:pPr>
              <w:pStyle w:val="TableText"/>
              <w:jc w:val="right"/>
            </w:pPr>
            <w:r>
              <w:t xml:space="preserve">–</w:t>
            </w:r>
          </w:p>
        </w:tc>
        <w:tc>
          <w:tcPr>
            <w:tcW w:w="1471" w:type="dxa"/>
          </w:tcPr>
          <w:p>
            <w:pPr>
              <w:pStyle w:val="TableText"/>
              <w:jc w:val="right"/>
            </w:pPr>
            <w:r>
              <w:t xml:space="preserve">4.861 k€</w:t>
            </w:r>
          </w:p>
        </w:tc>
        <w:tc>
          <w:tcPr>
            <w:tcW w:w="2722" w:type="dxa"/>
          </w:tcPr>
          <w:p>
            <w:pPr>
              <w:pStyle w:val="TableText"/>
              <w:jc w:val="right"/>
            </w:pPr>
            <w:r>
              <w:t xml:space="preserve">–</w:t>
            </w:r>
          </w:p>
        </w:tc>
        <w:tc>
          <w:tcPr>
            <w:tcW w:w="1177" w:type="dxa"/>
          </w:tcPr>
          <w:p>
            <w:pPr>
              <w:pStyle w:val="TableText"/>
              <w:jc w:val="right"/>
            </w:pPr>
            <w:r>
              <w:t xml:space="preserve">29,4 %</w:t>
            </w:r>
          </w:p>
        </w:tc>
      </w:tr>
      <w:tr>
        <w:tc>
          <w:tcPr>
            <w:tcW w:w="2354" w:type="dxa"/>
          </w:tcPr>
          <w:p>
            <w:pPr>
              <w:pStyle w:val="TableText"/>
            </w:pPr>
            <w:r>
              <w:t xml:space="preserve">1 MWh / 0,5 MW</w:t>
            </w:r>
          </w:p>
        </w:tc>
        <w:tc>
          <w:tcPr>
            <w:tcW w:w="1913" w:type="dxa"/>
          </w:tcPr>
          <w:p>
            <w:pPr>
              <w:pStyle w:val="TableText"/>
              <w:jc w:val="right"/>
            </w:pPr>
            <w:r>
              <w:t xml:space="preserve">303 k€</w:t>
            </w:r>
          </w:p>
        </w:tc>
        <w:tc>
          <w:tcPr>
            <w:tcW w:w="1471" w:type="dxa"/>
          </w:tcPr>
          <w:p>
            <w:pPr>
              <w:pStyle w:val="TableText"/>
              <w:jc w:val="right"/>
            </w:pPr>
            <w:r>
              <w:t xml:space="preserve">4.699 k€</w:t>
            </w:r>
          </w:p>
        </w:tc>
        <w:tc>
          <w:tcPr>
            <w:tcW w:w="2722" w:type="dxa"/>
          </w:tcPr>
          <w:p>
            <w:pPr>
              <w:pStyle w:val="TableText"/>
              <w:jc w:val="right"/>
            </w:pPr>
            <w:r>
              <w:t xml:space="preserve">−162 k€</w:t>
            </w:r>
          </w:p>
        </w:tc>
        <w:tc>
          <w:tcPr>
            <w:tcW w:w="1177" w:type="dxa"/>
          </w:tcPr>
          <w:p>
            <w:pPr>
              <w:pStyle w:val="TableText"/>
              <w:jc w:val="right"/>
            </w:pPr>
            <w:r>
              <w:t xml:space="preserve">26,0 %</w:t>
            </w:r>
          </w:p>
        </w:tc>
      </w:tr>
      <w:tr>
        <w:tc>
          <w:tcPr>
            <w:tcW w:w="2354" w:type="dxa"/>
          </w:tcPr>
          <w:p>
            <w:pPr>
              <w:pStyle w:val="TableText"/>
            </w:pPr>
            <w:r>
              <w:t xml:space="preserve">2 MWh / 1 MW</w:t>
            </w:r>
          </w:p>
        </w:tc>
        <w:tc>
          <w:tcPr>
            <w:tcW w:w="1913" w:type="dxa"/>
          </w:tcPr>
          <w:p>
            <w:pPr>
              <w:pStyle w:val="TableText"/>
              <w:jc w:val="right"/>
            </w:pPr>
            <w:r>
              <w:t xml:space="preserve">561 k€</w:t>
            </w:r>
          </w:p>
        </w:tc>
        <w:tc>
          <w:tcPr>
            <w:tcW w:w="1471" w:type="dxa"/>
          </w:tcPr>
          <w:p>
            <w:pPr>
              <w:pStyle w:val="TableText"/>
              <w:jc w:val="right"/>
            </w:pPr>
            <w:r>
              <w:t xml:space="preserve">4.541 k€</w:t>
            </w:r>
          </w:p>
        </w:tc>
        <w:tc>
          <w:tcPr>
            <w:tcW w:w="2722" w:type="dxa"/>
          </w:tcPr>
          <w:p>
            <w:pPr>
              <w:pStyle w:val="TableText"/>
              <w:jc w:val="right"/>
            </w:pPr>
            <w:r>
              <w:t xml:space="preserve">−320 k€</w:t>
            </w:r>
          </w:p>
        </w:tc>
        <w:tc>
          <w:tcPr>
            <w:tcW w:w="1177" w:type="dxa"/>
          </w:tcPr>
          <w:p>
            <w:pPr>
              <w:pStyle w:val="TableText"/>
              <w:jc w:val="right"/>
            </w:pPr>
            <w:r>
              <w:t xml:space="preserve">23,7 %</w:t>
            </w:r>
          </w:p>
        </w:tc>
      </w:tr>
      <w:tr>
        <w:tc>
          <w:tcPr>
            <w:tcW w:w="2354" w:type="dxa"/>
          </w:tcPr>
          <w:p>
            <w:pPr>
              <w:pStyle w:val="TableText"/>
            </w:pPr>
            <w:r>
              <w:t xml:space="preserve">4 MWh / 2 MW</w:t>
            </w:r>
          </w:p>
        </w:tc>
        <w:tc>
          <w:tcPr>
            <w:tcW w:w="1913" w:type="dxa"/>
          </w:tcPr>
          <w:p>
            <w:pPr>
              <w:pStyle w:val="TableText"/>
              <w:jc w:val="right"/>
            </w:pPr>
            <w:r>
              <w:t xml:space="preserve">1.078 k€</w:t>
            </w:r>
          </w:p>
        </w:tc>
        <w:tc>
          <w:tcPr>
            <w:tcW w:w="1471" w:type="dxa"/>
          </w:tcPr>
          <w:p>
            <w:pPr>
              <w:pStyle w:val="TableText"/>
              <w:jc w:val="right"/>
            </w:pPr>
            <w:r>
              <w:t xml:space="preserve">4.161 k€</w:t>
            </w:r>
          </w:p>
        </w:tc>
        <w:tc>
          <w:tcPr>
            <w:tcW w:w="2722" w:type="dxa"/>
          </w:tcPr>
          <w:p>
            <w:pPr>
              <w:pStyle w:val="TableText"/>
              <w:jc w:val="right"/>
            </w:pPr>
            <w:r>
              <w:t xml:space="preserve">−700 k€</w:t>
            </w:r>
          </w:p>
        </w:tc>
        <w:tc>
          <w:tcPr>
            <w:tcW w:w="1177" w:type="dxa"/>
          </w:tcPr>
          <w:p>
            <w:pPr>
              <w:pStyle w:val="TableText"/>
              <w:jc w:val="right"/>
            </w:pPr>
            <w:r>
              <w:t xml:space="preserve">20,0 %</w:t>
            </w:r>
          </w:p>
        </w:tc>
      </w:tr>
      <w:tr>
        <w:tc>
          <w:tcPr>
            <w:tcW w:w="2354" w:type="dxa"/>
          </w:tcPr>
          <w:p>
            <w:pPr>
              <w:pStyle w:val="TableText"/>
            </w:pPr>
            <w:r>
              <w:t xml:space="preserve">6 MWh / 3 MW</w:t>
            </w:r>
          </w:p>
        </w:tc>
        <w:tc>
          <w:tcPr>
            <w:tcW w:w="1913" w:type="dxa"/>
          </w:tcPr>
          <w:p>
            <w:pPr>
              <w:pStyle w:val="TableText"/>
              <w:jc w:val="right"/>
            </w:pPr>
            <w:r>
              <w:t xml:space="preserve">1.595 k€</w:t>
            </w:r>
          </w:p>
        </w:tc>
        <w:tc>
          <w:tcPr>
            <w:tcW w:w="1471" w:type="dxa"/>
          </w:tcPr>
          <w:p>
            <w:pPr>
              <w:pStyle w:val="TableText"/>
              <w:jc w:val="right"/>
            </w:pPr>
            <w:r>
              <w:t xml:space="preserve">3.733 k€</w:t>
            </w:r>
          </w:p>
        </w:tc>
        <w:tc>
          <w:tcPr>
            <w:tcW w:w="2722" w:type="dxa"/>
          </w:tcPr>
          <w:p>
            <w:pPr>
              <w:pStyle w:val="TableText"/>
              <w:jc w:val="right"/>
            </w:pPr>
            <w:r>
              <w:t xml:space="preserve">−1.128 k€</w:t>
            </w:r>
          </w:p>
        </w:tc>
        <w:tc>
          <w:tcPr>
            <w:tcW w:w="1177" w:type="dxa"/>
          </w:tcPr>
          <w:p>
            <w:pPr>
              <w:pStyle w:val="TableText"/>
              <w:jc w:val="right"/>
            </w:pPr>
            <w:r>
              <w:t xml:space="preserve">17,2 %</w:t>
            </w:r>
          </w:p>
        </w:tc>
      </w:tr>
    </w:tbl>
    <w:p>
      <w:pPr>
        <w:pStyle w:val="Normal"/>
        <w:spacing w:after="60"/>
      </w:pP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411"/>
        <w:gridCol w:w="1634"/>
        <w:gridCol w:w="1797"/>
        <w:gridCol w:w="1797"/>
      </w:tblGrid>
      <w:tr>
        <w:trPr>
          <w:tblHeader/>
        </w:trPr>
        <w:tc>
          <w:tcPr>
            <w:tcW w:w="4411" w:type="dxa"/>
            <w:shd w:val="clear" w:color="auto" w:fill="E3EAEC"/>
          </w:tcPr>
          <w:p>
            <w:pPr>
              <w:pStyle w:val="TableText"/>
            </w:pPr>
            <w:r>
              <w:rPr>
                <w:b/>
              </w:rPr>
              <w:t xml:space="preserve">Strategia EMS (caso A)</w:t>
            </w:r>
          </w:p>
        </w:tc>
        <w:tc>
          <w:tcPr>
            <w:tcW w:w="1634" w:type="dxa"/>
            <w:shd w:val="clear" w:color="auto" w:fill="E3EAEC"/>
          </w:tcPr>
          <w:p>
            <w:pPr>
              <w:pStyle w:val="TableText"/>
              <w:jc w:val="right"/>
            </w:pPr>
            <w:r>
              <w:rPr>
                <w:b/>
              </w:rPr>
              <w:t xml:space="preserve">VAN</w:t>
            </w:r>
          </w:p>
        </w:tc>
        <w:tc>
          <w:tcPr>
            <w:tcW w:w="1797" w:type="dxa"/>
            <w:shd w:val="clear" w:color="auto" w:fill="E3EAEC"/>
          </w:tcPr>
          <w:p>
            <w:pPr>
              <w:pStyle w:val="TableText"/>
              <w:jc w:val="right"/>
            </w:pPr>
            <w:r>
              <w:rPr>
                <w:b/>
              </w:rPr>
              <w:t xml:space="preserve">Scarica</w:t>
            </w:r>
          </w:p>
        </w:tc>
        <w:tc>
          <w:tcPr>
            <w:tcW w:w="1797" w:type="dxa"/>
            <w:shd w:val="clear" w:color="auto" w:fill="E3EAEC"/>
          </w:tcPr>
          <w:p>
            <w:pPr>
              <w:pStyle w:val="TableText"/>
              <w:jc w:val="right"/>
            </w:pPr>
            <w:r>
              <w:rPr>
                <w:b/>
              </w:rPr>
              <w:t xml:space="preserve">Da rete</w:t>
            </w:r>
          </w:p>
        </w:tc>
      </w:tr>
      <w:tr>
        <w:tc>
          <w:tcPr>
            <w:tcW w:w="4411" w:type="dxa"/>
          </w:tcPr>
          <w:p>
            <w:pPr>
              <w:pStyle w:val="TableText"/>
            </w:pPr>
            <w:r>
              <w:t xml:space="preserve">Solo autoconsumo</w:t>
            </w:r>
          </w:p>
        </w:tc>
        <w:tc>
          <w:tcPr>
            <w:tcW w:w="1634" w:type="dxa"/>
          </w:tcPr>
          <w:p>
            <w:pPr>
              <w:pStyle w:val="TableText"/>
              <w:jc w:val="right"/>
            </w:pPr>
            <w:r>
              <w:t xml:space="preserve">4.499 k€</w:t>
            </w:r>
          </w:p>
        </w:tc>
        <w:tc>
          <w:tcPr>
            <w:tcW w:w="1797" w:type="dxa"/>
          </w:tcPr>
          <w:p>
            <w:pPr>
              <w:pStyle w:val="TableText"/>
              <w:jc w:val="right"/>
            </w:pPr>
            <w:r>
              <w:t xml:space="preserve">220 MWh/a</w:t>
            </w:r>
          </w:p>
        </w:tc>
        <w:tc>
          <w:tcPr>
            <w:tcW w:w="1797" w:type="dxa"/>
          </w:tcPr>
          <w:p>
            <w:pPr>
              <w:pStyle w:val="TableText"/>
              <w:jc w:val="right"/>
            </w:pPr>
            <w:r>
              <w:t xml:space="preserve">0</w:t>
            </w:r>
          </w:p>
        </w:tc>
      </w:tr>
      <w:tr>
        <w:tc>
          <w:tcPr>
            <w:tcW w:w="4411" w:type="dxa"/>
          </w:tcPr>
          <w:p>
            <w:pPr>
              <w:pStyle w:val="TableText"/>
            </w:pPr>
            <w:r>
              <w:t xml:space="preserve">Autoconsumo + arbitraggio</w:t>
            </w:r>
          </w:p>
        </w:tc>
        <w:tc>
          <w:tcPr>
            <w:tcW w:w="1634" w:type="dxa"/>
          </w:tcPr>
          <w:p>
            <w:pPr>
              <w:pStyle w:val="TableText"/>
              <w:jc w:val="right"/>
            </w:pPr>
            <w:r>
              <w:t xml:space="preserve">4.541 k€</w:t>
            </w:r>
          </w:p>
        </w:tc>
        <w:tc>
          <w:tcPr>
            <w:tcW w:w="1797" w:type="dxa"/>
          </w:tcPr>
          <w:p>
            <w:pPr>
              <w:pStyle w:val="TableText"/>
              <w:jc w:val="right"/>
            </w:pPr>
            <w:r>
              <w:t xml:space="preserve">405 MWh/a</w:t>
            </w:r>
          </w:p>
        </w:tc>
        <w:tc>
          <w:tcPr>
            <w:tcW w:w="1797" w:type="dxa"/>
          </w:tcPr>
          <w:p>
            <w:pPr>
              <w:pStyle w:val="TableText"/>
              <w:jc w:val="right"/>
            </w:pPr>
            <w:r>
              <w:t xml:space="preserve">227 MWh/a</w:t>
            </w:r>
          </w:p>
        </w:tc>
      </w:tr>
      <w:tr>
        <w:tc>
          <w:tcPr>
            <w:tcW w:w="4411" w:type="dxa"/>
          </w:tcPr>
          <w:p>
            <w:pPr>
              <w:pStyle w:val="TableText"/>
            </w:pPr>
            <w:r>
              <w:t xml:space="preserve">+ peak shaving a 1,7 MW</w:t>
            </w:r>
          </w:p>
        </w:tc>
        <w:tc>
          <w:tcPr>
            <w:tcW w:w="1634" w:type="dxa"/>
          </w:tcPr>
          <w:p>
            <w:pPr>
              <w:pStyle w:val="TableText"/>
              <w:jc w:val="right"/>
            </w:pPr>
            <w:r>
              <w:t xml:space="preserve">4.539 k€</w:t>
            </w:r>
          </w:p>
        </w:tc>
        <w:tc>
          <w:tcPr>
            <w:tcW w:w="1797" w:type="dxa"/>
          </w:tcPr>
          <w:p>
            <w:pPr>
              <w:pStyle w:val="TableText"/>
              <w:jc w:val="right"/>
            </w:pPr>
            <w:r>
              <w:t xml:space="preserve">367 MWh/a</w:t>
            </w:r>
          </w:p>
        </w:tc>
        <w:tc>
          <w:tcPr>
            <w:tcW w:w="1797" w:type="dxa"/>
          </w:tcPr>
          <w:p>
            <w:pPr>
              <w:pStyle w:val="TableText"/>
              <w:jc w:val="right"/>
            </w:pPr>
            <w:r>
              <w:t xml:space="preserve">238 MWh/a</w:t>
            </w:r>
          </w:p>
        </w:tc>
      </w:tr>
    </w:tbl>
    <w:p>
      <w:pPr>
        <w:pStyle w:val="Normal"/>
        <w:spacing w:after="60"/>
      </w:pPr>
    </w:p>
    <w:p>
      <w:pPr>
        <w:pStyle w:val="Normal"/>
      </w:pPr>
      <w:r>
        <w:t xml:space="preserve">L'arbitraggio raddoppia i cicli e migliora il VAN di 42 k€; il peak shaving non aggiunge valore con le tariffe attuali.</w:t>
      </w:r>
    </w:p>
    <w:p>
      <w:pPr>
        <w:pStyle w:val="Heading2"/>
      </w:pPr>
      <w:r>
        <w:t xml:space="preserve">3.4 CAPEX di pareggio del BESS</w:t>
      </w:r>
    </w:p>
    <w:p>
      <w:pPr>
        <w:pStyle w:val="Normal"/>
      </w:pPr>
      <w:r>
        <w:t xml:space="preserve">CAPEX chiavi in mano del BESS (€/kWh, contingenze incluse) per cui il VAN di FV + BESS eguaglia quello del solo FV:</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784"/>
        <w:gridCol w:w="1044"/>
        <w:gridCol w:w="3810"/>
      </w:tblGrid>
      <w:tr>
        <w:trPr>
          <w:tblHeader/>
        </w:trPr>
        <w:tc>
          <w:tcPr>
            <w:tcW w:w="4784" w:type="dxa"/>
            <w:shd w:val="clear" w:color="auto" w:fill="E3EAEC"/>
          </w:tcPr>
          <w:p>
            <w:pPr>
              <w:pStyle w:val="TableText"/>
            </w:pPr>
            <w:r>
              <w:rPr>
                <w:b/>
              </w:rPr>
              <w:t xml:space="preserve">Scenario</w:t>
            </w:r>
          </w:p>
        </w:tc>
        <w:tc>
          <w:tcPr>
            <w:tcW w:w="1044" w:type="dxa"/>
            <w:shd w:val="clear" w:color="auto" w:fill="E3EAEC"/>
          </w:tcPr>
          <w:p>
            <w:pPr>
              <w:pStyle w:val="TableText"/>
              <w:jc w:val="right"/>
            </w:pPr>
            <w:r>
              <w:rPr>
                <w:b/>
              </w:rPr>
              <w:t xml:space="preserve">Pareggio</w:t>
            </w:r>
          </w:p>
        </w:tc>
        <w:tc>
          <w:tcPr>
            <w:tcW w:w="3810" w:type="dxa"/>
            <w:shd w:val="clear" w:color="auto" w:fill="E3EAEC"/>
          </w:tcPr>
          <w:p>
            <w:pPr>
              <w:pStyle w:val="TableText"/>
            </w:pPr>
            <w:r>
              <w:rPr>
                <w:b/>
              </w:rPr>
              <w:t xml:space="preserve">Rispetto al prezzo attuale (281 €/kWh)</w:t>
            </w:r>
          </w:p>
        </w:tc>
      </w:tr>
      <w:tr>
        <w:tc>
          <w:tcPr>
            <w:tcW w:w="4784" w:type="dxa"/>
          </w:tcPr>
          <w:p>
            <w:pPr>
              <w:pStyle w:val="TableText"/>
            </w:pPr>
            <w:r>
              <w:t xml:space="preserve">Caso A, nessun incentivo</w:t>
            </w:r>
          </w:p>
        </w:tc>
        <w:tc>
          <w:tcPr>
            <w:tcW w:w="1044" w:type="dxa"/>
          </w:tcPr>
          <w:p>
            <w:pPr>
              <w:pStyle w:val="TableText"/>
              <w:jc w:val="right"/>
            </w:pPr>
            <w:r>
              <w:t xml:space="preserve">~92 €/kWh</w:t>
            </w:r>
          </w:p>
        </w:tc>
        <w:tc>
          <w:tcPr>
            <w:tcW w:w="3810" w:type="dxa"/>
          </w:tcPr>
          <w:p>
            <w:pPr>
              <w:pStyle w:val="TableText"/>
            </w:pPr>
            <w:r>
              <w:t xml:space="preserve">−67 %</w:t>
            </w:r>
          </w:p>
        </w:tc>
      </w:tr>
      <w:tr>
        <w:tc>
          <w:tcPr>
            <w:tcW w:w="4784" w:type="dxa"/>
          </w:tcPr>
          <w:p>
            <w:pPr>
              <w:pStyle w:val="TableText"/>
            </w:pPr>
            <w:r>
              <w:t xml:space="preserve">Caso A, PUN 170 €/MWh</w:t>
            </w:r>
          </w:p>
        </w:tc>
        <w:tc>
          <w:tcPr>
            <w:tcW w:w="1044" w:type="dxa"/>
          </w:tcPr>
          <w:p>
            <w:pPr>
              <w:pStyle w:val="TableText"/>
              <w:jc w:val="right"/>
            </w:pPr>
            <w:r>
              <w:t xml:space="preserve">~98 €/kWh</w:t>
            </w:r>
          </w:p>
        </w:tc>
        <w:tc>
          <w:tcPr>
            <w:tcW w:w="3810" w:type="dxa"/>
          </w:tcPr>
          <w:p>
            <w:pPr>
              <w:pStyle w:val="TableText"/>
            </w:pPr>
            <w:r>
              <w:t xml:space="preserve">−65 %</w:t>
            </w:r>
          </w:p>
        </w:tc>
      </w:tr>
      <w:tr>
        <w:tc>
          <w:tcPr>
            <w:tcW w:w="4784" w:type="dxa"/>
          </w:tcPr>
          <w:p>
            <w:pPr>
              <w:pStyle w:val="TableText"/>
            </w:pPr>
            <w:r>
              <w:t xml:space="preserve">Caso A con iper-ammortamento</w:t>
            </w:r>
          </w:p>
        </w:tc>
        <w:tc>
          <w:tcPr>
            <w:tcW w:w="1044" w:type="dxa"/>
          </w:tcPr>
          <w:p>
            <w:pPr>
              <w:pStyle w:val="TableText"/>
              <w:jc w:val="right"/>
            </w:pPr>
            <w:r>
              <w:t xml:space="preserve">~138 €/kWh</w:t>
            </w:r>
          </w:p>
        </w:tc>
        <w:tc>
          <w:tcPr>
            <w:tcW w:w="3810" w:type="dxa"/>
          </w:tcPr>
          <w:p>
            <w:pPr>
              <w:pStyle w:val="TableText"/>
            </w:pPr>
            <w:r>
              <w:t xml:space="preserve">−51 %</w:t>
            </w:r>
          </w:p>
        </w:tc>
      </w:tr>
      <w:tr>
        <w:tc>
          <w:tcPr>
            <w:tcW w:w="4784" w:type="dxa"/>
          </w:tcPr>
          <w:p>
            <w:pPr>
              <w:pStyle w:val="TableText"/>
            </w:pPr>
            <w:r>
              <w:t xml:space="preserve">Caso A con UVA/MSD 15 €/kW·a e peak shaving</w:t>
            </w:r>
          </w:p>
        </w:tc>
        <w:tc>
          <w:tcPr>
            <w:tcW w:w="1044" w:type="dxa"/>
          </w:tcPr>
          <w:p>
            <w:pPr>
              <w:pStyle w:val="TableText"/>
              <w:jc w:val="right"/>
            </w:pPr>
            <w:r>
              <w:t xml:space="preserve">~135 €/kWh</w:t>
            </w:r>
          </w:p>
        </w:tc>
        <w:tc>
          <w:tcPr>
            <w:tcW w:w="3810" w:type="dxa"/>
          </w:tcPr>
          <w:p>
            <w:pPr>
              <w:pStyle w:val="TableText"/>
            </w:pPr>
            <w:r>
              <w:t xml:space="preserve">−52 %</w:t>
            </w:r>
          </w:p>
        </w:tc>
      </w:tr>
      <w:tr>
        <w:tc>
          <w:tcPr>
            <w:tcW w:w="4784" w:type="dxa"/>
          </w:tcPr>
          <w:p>
            <w:pPr>
              <w:pStyle w:val="TableText"/>
            </w:pPr>
            <w:r>
              <w:t xml:space="preserve">Caso A con immissione zero (vincolo del distributore)</w:t>
            </w:r>
          </w:p>
        </w:tc>
        <w:tc>
          <w:tcPr>
            <w:tcW w:w="1044" w:type="dxa"/>
          </w:tcPr>
          <w:p>
            <w:pPr>
              <w:pStyle w:val="TableText"/>
              <w:jc w:val="right"/>
            </w:pPr>
            <w:r>
              <w:t xml:space="preserve">~241 €/kWh</w:t>
            </w:r>
          </w:p>
        </w:tc>
        <w:tc>
          <w:tcPr>
            <w:tcW w:w="3810" w:type="dxa"/>
          </w:tcPr>
          <w:p>
            <w:pPr>
              <w:pStyle w:val="TableText"/>
            </w:pPr>
            <w:r>
              <w:t xml:space="preserve">−14 %</w:t>
            </w:r>
          </w:p>
        </w:tc>
      </w:tr>
      <w:tr>
        <w:tc>
          <w:tcPr>
            <w:tcW w:w="4784" w:type="dxa"/>
          </w:tcPr>
          <w:p>
            <w:pPr>
              <w:pStyle w:val="TableText"/>
            </w:pPr>
            <w:r>
              <w:t xml:space="preserve">Caso B (Bari) con iper-ammortamento + ZES</w:t>
            </w:r>
          </w:p>
        </w:tc>
        <w:tc>
          <w:tcPr>
            <w:tcW w:w="1044" w:type="dxa"/>
          </w:tcPr>
          <w:p>
            <w:pPr>
              <w:pStyle w:val="TableText"/>
              <w:jc w:val="right"/>
            </w:pPr>
            <w:r>
              <w:t xml:space="preserve">~281 €/kWh</w:t>
            </w:r>
          </w:p>
        </w:tc>
        <w:tc>
          <w:tcPr>
            <w:tcW w:w="3810" w:type="dxa"/>
          </w:tcPr>
          <w:p>
            <w:pPr>
              <w:pStyle w:val="TableText"/>
            </w:pPr>
            <w:r>
              <w:t xml:space="preserve">in pari</w:t>
            </w:r>
          </w:p>
        </w:tc>
      </w:tr>
    </w:tbl>
    <w:p>
      <w:pPr>
        <w:pStyle w:val="Normal"/>
        <w:spacing w:after="60"/>
      </w:pPr>
    </w:p>
    <w:p>
      <w:pPr>
        <w:pStyle w:val="Normal"/>
      </w:pPr>
      <w:r>
        <w:t xml:space="preserve">Lettura: un BESS behind-the-meter si giustifica oggi quando </w:t>
      </w:r>
      <w:r>
        <w:rPr>
          <w:b/>
        </w:rPr>
        <w:t xml:space="preserve">evita un taglio di produzione</w:t>
      </w:r>
      <w:r>
        <w:t xml:space="preserve"> (immissione limitata) o quando è </w:t>
      </w:r>
      <w:r>
        <w:rPr>
          <w:b/>
        </w:rPr>
        <w:t xml:space="preserve">incentivato al Sud</w:t>
      </w:r>
      <w:r>
        <w:t xml:space="preserve">. Negli altri casi conviene predisporre l'impianto e rimandare l'acquisto, oppure valutare un BESS stand-alone di taglia utility per MACSE o per i mercati, che è un altro modello di business.</w:t>
      </w:r>
    </w:p>
    <w:p>
      <w:pPr>
        <w:pStyle w:val="Normal"/>
        <w:pBdr>
          <w:bottom w:val="single" w:sz="6" w:space="1" w:color="A0A8AE"/>
        </w:pBdr>
      </w:pPr>
    </w:p>
    <w:p>
      <w:pPr>
        <w:pStyle w:val="Heading1"/>
      </w:pPr>
      <w:r>
        <w:t xml:space="preserve">4. Scenari di incentivo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34"/>
        <w:gridCol w:w="4680"/>
        <w:gridCol w:w="1329"/>
        <w:gridCol w:w="807"/>
        <w:gridCol w:w="678"/>
        <w:gridCol w:w="1031"/>
        <w:gridCol w:w="678"/>
      </w:tblGrid>
      <w:tr>
        <w:trPr>
          <w:tblHeader/>
        </w:trPr>
        <w:tc>
          <w:tcPr>
            <w:tcW w:w="434" w:type="dxa"/>
            <w:shd w:val="clear" w:color="auto" w:fill="E3EAEC"/>
          </w:tcPr>
          <w:p>
            <w:pPr>
              <w:pStyle w:val="TableText"/>
            </w:pPr>
            <w:r>
              <w:rPr>
                <w:b/>
              </w:rPr>
              <w:t xml:space="preserve">Caso</w:t>
            </w:r>
          </w:p>
        </w:tc>
        <w:tc>
          <w:tcPr>
            <w:tcW w:w="4680" w:type="dxa"/>
            <w:shd w:val="clear" w:color="auto" w:fill="E3EAEC"/>
          </w:tcPr>
          <w:p>
            <w:pPr>
              <w:pStyle w:val="TableText"/>
            </w:pPr>
            <w:r>
              <w:rPr>
                <w:b/>
              </w:rPr>
              <w:t xml:space="preserve">Descrizione</w:t>
            </w:r>
          </w:p>
        </w:tc>
        <w:tc>
          <w:tcPr>
            <w:tcW w:w="1329" w:type="dxa"/>
            <w:shd w:val="clear" w:color="auto" w:fill="E3EAEC"/>
          </w:tcPr>
          <w:p>
            <w:pPr>
              <w:pStyle w:val="TableText"/>
              <w:jc w:val="right"/>
            </w:pPr>
            <w:r>
              <w:rPr>
                <w:b/>
              </w:rPr>
              <w:t xml:space="preserve">Aiuti (nominali)</w:t>
            </w:r>
          </w:p>
        </w:tc>
        <w:tc>
          <w:tcPr>
            <w:tcW w:w="807" w:type="dxa"/>
            <w:shd w:val="clear" w:color="auto" w:fill="E3EAEC"/>
          </w:tcPr>
          <w:p>
            <w:pPr>
              <w:pStyle w:val="TableText"/>
              <w:jc w:val="right"/>
            </w:pPr>
            <w:r>
              <w:rPr>
                <w:b/>
              </w:rPr>
              <w:t xml:space="preserve">Intensità</w:t>
            </w:r>
          </w:p>
        </w:tc>
        <w:tc>
          <w:tcPr>
            <w:tcW w:w="678" w:type="dxa"/>
            <w:shd w:val="clear" w:color="auto" w:fill="E3EAEC"/>
          </w:tcPr>
          <w:p>
            <w:pPr>
              <w:pStyle w:val="TableText"/>
              <w:jc w:val="right"/>
            </w:pPr>
            <w:r>
              <w:rPr>
                <w:b/>
              </w:rPr>
              <w:t xml:space="preserve">VAN</w:t>
            </w:r>
          </w:p>
        </w:tc>
        <w:tc>
          <w:tcPr>
            <w:tcW w:w="1031" w:type="dxa"/>
            <w:shd w:val="clear" w:color="auto" w:fill="E3EAEC"/>
          </w:tcPr>
          <w:p>
            <w:pPr>
              <w:pStyle w:val="TableText"/>
              <w:jc w:val="right"/>
            </w:pPr>
            <w:r>
              <w:rPr>
                <w:b/>
              </w:rPr>
              <w:t xml:space="preserve">TIR progetto</w:t>
            </w:r>
          </w:p>
        </w:tc>
        <w:tc>
          <w:tcPr>
            <w:tcW w:w="678" w:type="dxa"/>
            <w:shd w:val="clear" w:color="auto" w:fill="E3EAEC"/>
          </w:tcPr>
          <w:p>
            <w:pPr>
              <w:pStyle w:val="TableText"/>
              <w:jc w:val="right"/>
            </w:pPr>
            <w:r>
              <w:rPr>
                <w:b/>
              </w:rPr>
              <w:t xml:space="preserve">Payback</w:t>
            </w:r>
          </w:p>
        </w:tc>
      </w:tr>
      <w:tr>
        <w:tc>
          <w:tcPr>
            <w:tcW w:w="434" w:type="dxa"/>
          </w:tcPr>
          <w:p>
            <w:pPr>
              <w:pStyle w:val="TableText"/>
            </w:pPr>
            <w:r>
              <w:t xml:space="preserve">A</w:t>
            </w:r>
          </w:p>
        </w:tc>
        <w:tc>
          <w:tcPr>
            <w:tcW w:w="4680" w:type="dxa"/>
          </w:tcPr>
          <w:p>
            <w:pPr>
              <w:pStyle w:val="TableText"/>
            </w:pPr>
            <w:r>
              <w:t xml:space="preserve">Milano, nessun incentivo</w:t>
            </w:r>
          </w:p>
        </w:tc>
        <w:tc>
          <w:tcPr>
            <w:tcW w:w="1329" w:type="dxa"/>
          </w:tcPr>
          <w:p>
            <w:pPr>
              <w:pStyle w:val="TableText"/>
              <w:jc w:val="right"/>
            </w:pPr>
            <w:r>
              <w:t xml:space="preserve">0</w:t>
            </w:r>
          </w:p>
        </w:tc>
        <w:tc>
          <w:tcPr>
            <w:tcW w:w="807" w:type="dxa"/>
          </w:tcPr>
          <w:p>
            <w:pPr>
              <w:pStyle w:val="TableText"/>
              <w:jc w:val="right"/>
            </w:pPr>
            <w:r>
              <w:t xml:space="preserve">0 %</w:t>
            </w:r>
          </w:p>
        </w:tc>
        <w:tc>
          <w:tcPr>
            <w:tcW w:w="678" w:type="dxa"/>
          </w:tcPr>
          <w:p>
            <w:pPr>
              <w:pStyle w:val="TableText"/>
              <w:jc w:val="right"/>
            </w:pPr>
            <w:r>
              <w:t xml:space="preserve">4.541 k€</w:t>
            </w:r>
          </w:p>
        </w:tc>
        <w:tc>
          <w:tcPr>
            <w:tcW w:w="1031" w:type="dxa"/>
          </w:tcPr>
          <w:p>
            <w:pPr>
              <w:pStyle w:val="TableText"/>
              <w:jc w:val="right"/>
            </w:pPr>
            <w:r>
              <w:t xml:space="preserve">23,7 %</w:t>
            </w:r>
          </w:p>
        </w:tc>
        <w:tc>
          <w:tcPr>
            <w:tcW w:w="678" w:type="dxa"/>
          </w:tcPr>
          <w:p>
            <w:pPr>
              <w:pStyle w:val="TableText"/>
              <w:jc w:val="right"/>
            </w:pPr>
            <w:r>
              <w:t xml:space="preserve">4,3 anni</w:t>
            </w:r>
          </w:p>
        </w:tc>
      </w:tr>
      <w:tr>
        <w:tc>
          <w:tcPr>
            <w:tcW w:w="434" w:type="dxa"/>
          </w:tcPr>
          <w:p>
            <w:pPr>
              <w:pStyle w:val="TableText"/>
            </w:pPr>
            <w:r>
              <w:t xml:space="preserve">A1</w:t>
            </w:r>
          </w:p>
        </w:tc>
        <w:tc>
          <w:tcPr>
            <w:tcW w:w="4680" w:type="dxa"/>
          </w:tcPr>
          <w:p>
            <w:pPr>
              <w:pStyle w:val="TableText"/>
            </w:pPr>
            <w:r>
              <w:t xml:space="preserve">+ iper-ammortamento (moduli ENEA B/C)</w:t>
            </w:r>
          </w:p>
        </w:tc>
        <w:tc>
          <w:tcPr>
            <w:tcW w:w="1329" w:type="dxa"/>
          </w:tcPr>
          <w:p>
            <w:pPr>
              <w:pStyle w:val="TableText"/>
              <w:jc w:val="right"/>
            </w:pPr>
            <w:r>
              <w:t xml:space="preserve">1.041 k€</w:t>
            </w:r>
          </w:p>
        </w:tc>
        <w:tc>
          <w:tcPr>
            <w:tcW w:w="807" w:type="dxa"/>
          </w:tcPr>
          <w:p>
            <w:pPr>
              <w:pStyle w:val="TableText"/>
              <w:jc w:val="right"/>
            </w:pPr>
            <w:r>
              <w:t xml:space="preserve">43 %</w:t>
            </w:r>
          </w:p>
        </w:tc>
        <w:tc>
          <w:tcPr>
            <w:tcW w:w="678" w:type="dxa"/>
          </w:tcPr>
          <w:p>
            <w:pPr>
              <w:pStyle w:val="TableText"/>
              <w:jc w:val="right"/>
            </w:pPr>
            <w:r>
              <w:t xml:space="preserve">5.225 k€</w:t>
            </w:r>
          </w:p>
        </w:tc>
        <w:tc>
          <w:tcPr>
            <w:tcW w:w="1031" w:type="dxa"/>
          </w:tcPr>
          <w:p>
            <w:pPr>
              <w:pStyle w:val="TableText"/>
              <w:jc w:val="right"/>
            </w:pPr>
            <w:r>
              <w:t xml:space="preserve">26,8 %</w:t>
            </w:r>
          </w:p>
        </w:tc>
        <w:tc>
          <w:tcPr>
            <w:tcW w:w="678" w:type="dxa"/>
          </w:tcPr>
          <w:p>
            <w:pPr>
              <w:pStyle w:val="TableText"/>
              <w:jc w:val="right"/>
            </w:pPr>
            <w:r>
              <w:t xml:space="preserve">3,8 anni</w:t>
            </w:r>
          </w:p>
        </w:tc>
      </w:tr>
      <w:tr>
        <w:tc>
          <w:tcPr>
            <w:tcW w:w="434" w:type="dxa"/>
          </w:tcPr>
          <w:p>
            <w:pPr>
              <w:pStyle w:val="TableText"/>
            </w:pPr>
            <w:r>
              <w:t xml:space="preserve">A2</w:t>
            </w:r>
          </w:p>
        </w:tc>
        <w:tc>
          <w:tcPr>
            <w:tcW w:w="4680" w:type="dxa"/>
          </w:tcPr>
          <w:p>
            <w:pPr>
              <w:pStyle w:val="TableText"/>
            </w:pPr>
            <w:r>
              <w:t xml:space="preserve">+ iper-ammortamento + Nuova Sabatini</w:t>
            </w:r>
          </w:p>
        </w:tc>
        <w:tc>
          <w:tcPr>
            <w:tcW w:w="1329" w:type="dxa"/>
          </w:tcPr>
          <w:p>
            <w:pPr>
              <w:pStyle w:val="TableText"/>
              <w:jc w:val="right"/>
            </w:pPr>
            <w:r>
              <w:t xml:space="preserve">1.179 k€</w:t>
            </w:r>
          </w:p>
        </w:tc>
        <w:tc>
          <w:tcPr>
            <w:tcW w:w="807" w:type="dxa"/>
          </w:tcPr>
          <w:p>
            <w:pPr>
              <w:pStyle w:val="TableText"/>
              <w:jc w:val="right"/>
            </w:pPr>
            <w:r>
              <w:t xml:space="preserve">49 %</w:t>
            </w:r>
          </w:p>
        </w:tc>
        <w:tc>
          <w:tcPr>
            <w:tcW w:w="678" w:type="dxa"/>
          </w:tcPr>
          <w:p>
            <w:pPr>
              <w:pStyle w:val="TableText"/>
              <w:jc w:val="right"/>
            </w:pPr>
            <w:r>
              <w:t xml:space="preserve">5.311 k€</w:t>
            </w:r>
          </w:p>
        </w:tc>
        <w:tc>
          <w:tcPr>
            <w:tcW w:w="1031" w:type="dxa"/>
          </w:tcPr>
          <w:p>
            <w:pPr>
              <w:pStyle w:val="TableText"/>
              <w:jc w:val="right"/>
            </w:pPr>
            <w:r>
              <w:t xml:space="preserve">27,7 %</w:t>
            </w:r>
          </w:p>
        </w:tc>
        <w:tc>
          <w:tcPr>
            <w:tcW w:w="678" w:type="dxa"/>
          </w:tcPr>
          <w:p>
            <w:pPr>
              <w:pStyle w:val="TableText"/>
              <w:jc w:val="right"/>
            </w:pPr>
            <w:r>
              <w:t xml:space="preserve">3,6 anni</w:t>
            </w:r>
          </w:p>
        </w:tc>
      </w:tr>
      <w:tr>
        <w:tc>
          <w:tcPr>
            <w:tcW w:w="434" w:type="dxa"/>
          </w:tcPr>
          <w:p>
            <w:pPr>
              <w:pStyle w:val="TableText"/>
            </w:pPr>
            <w:r>
              <w:t xml:space="preserve">B</w:t>
            </w:r>
          </w:p>
        </w:tc>
        <w:tc>
          <w:tcPr>
            <w:tcW w:w="4680" w:type="dxa"/>
          </w:tcPr>
          <w:p>
            <w:pPr>
              <w:pStyle w:val="TableText"/>
            </w:pPr>
            <w:r>
              <w:t xml:space="preserve">Bari, iper-ammortamento + ZES 24 %</w:t>
            </w:r>
          </w:p>
        </w:tc>
        <w:tc>
          <w:tcPr>
            <w:tcW w:w="1329" w:type="dxa"/>
          </w:tcPr>
          <w:p>
            <w:pPr>
              <w:pStyle w:val="TableText"/>
              <w:jc w:val="right"/>
            </w:pPr>
            <w:r>
              <w:t xml:space="preserve">1.369 k€</w:t>
            </w:r>
          </w:p>
        </w:tc>
        <w:tc>
          <w:tcPr>
            <w:tcW w:w="807" w:type="dxa"/>
          </w:tcPr>
          <w:p>
            <w:pPr>
              <w:pStyle w:val="TableText"/>
              <w:jc w:val="right"/>
            </w:pPr>
            <w:r>
              <w:t xml:space="preserve">57 %</w:t>
            </w:r>
          </w:p>
        </w:tc>
        <w:tc>
          <w:tcPr>
            <w:tcW w:w="678" w:type="dxa"/>
          </w:tcPr>
          <w:p>
            <w:pPr>
              <w:pStyle w:val="TableText"/>
              <w:jc w:val="right"/>
            </w:pPr>
            <w:r>
              <w:t xml:space="preserve">7.524 k€</w:t>
            </w:r>
          </w:p>
        </w:tc>
        <w:tc>
          <w:tcPr>
            <w:tcW w:w="1031" w:type="dxa"/>
          </w:tcPr>
          <w:p>
            <w:pPr>
              <w:pStyle w:val="TableText"/>
              <w:jc w:val="right"/>
            </w:pPr>
            <w:r>
              <w:t xml:space="preserve">38,7 %</w:t>
            </w:r>
          </w:p>
        </w:tc>
        <w:tc>
          <w:tcPr>
            <w:tcW w:w="678" w:type="dxa"/>
          </w:tcPr>
          <w:p>
            <w:pPr>
              <w:pStyle w:val="TableText"/>
              <w:jc w:val="right"/>
            </w:pPr>
            <w:r>
              <w:t xml:space="preserve">2,4 anni</w:t>
            </w:r>
          </w:p>
        </w:tc>
      </w:tr>
      <w:tr>
        <w:tc>
          <w:tcPr>
            <w:tcW w:w="434" w:type="dxa"/>
          </w:tcPr>
          <w:p>
            <w:pPr>
              <w:pStyle w:val="TableText"/>
            </w:pPr>
            <w:r>
              <w:t xml:space="preserve">C</w:t>
            </w:r>
          </w:p>
        </w:tc>
        <w:tc>
          <w:tcPr>
            <w:tcW w:w="4680" w:type="dxa"/>
          </w:tcPr>
          <w:p>
            <w:pPr>
              <w:pStyle w:val="TableText"/>
            </w:pPr>
            <w:r>
              <w:t xml:space="preserve">PMI Bologna, 1 MWp su tetto est-ovest + BESS 1 MWh, iper + Sabatini</w:t>
            </w:r>
          </w:p>
        </w:tc>
        <w:tc>
          <w:tcPr>
            <w:tcW w:w="1329" w:type="dxa"/>
          </w:tcPr>
          <w:p>
            <w:pPr>
              <w:pStyle w:val="TableText"/>
              <w:jc w:val="right"/>
            </w:pPr>
            <w:r>
              <w:t xml:space="preserve">437 k€</w:t>
            </w:r>
          </w:p>
        </w:tc>
        <w:tc>
          <w:tcPr>
            <w:tcW w:w="807" w:type="dxa"/>
          </w:tcPr>
          <w:p>
            <w:pPr>
              <w:pStyle w:val="TableText"/>
              <w:jc w:val="right"/>
            </w:pPr>
            <w:r>
              <w:t xml:space="preserve">49 %</w:t>
            </w:r>
          </w:p>
        </w:tc>
        <w:tc>
          <w:tcPr>
            <w:tcW w:w="678" w:type="dxa"/>
          </w:tcPr>
          <w:p>
            <w:pPr>
              <w:pStyle w:val="TableText"/>
              <w:jc w:val="right"/>
            </w:pPr>
            <w:r>
              <w:t xml:space="preserve">1.646 k€</w:t>
            </w:r>
          </w:p>
        </w:tc>
        <w:tc>
          <w:tcPr>
            <w:tcW w:w="1031" w:type="dxa"/>
          </w:tcPr>
          <w:p>
            <w:pPr>
              <w:pStyle w:val="TableText"/>
              <w:jc w:val="right"/>
            </w:pPr>
            <w:r>
              <w:t xml:space="preserve">24,7 %</w:t>
            </w:r>
          </w:p>
        </w:tc>
        <w:tc>
          <w:tcPr>
            <w:tcW w:w="678" w:type="dxa"/>
          </w:tcPr>
          <w:p>
            <w:pPr>
              <w:pStyle w:val="TableText"/>
              <w:jc w:val="right"/>
            </w:pPr>
            <w:r>
              <w:t xml:space="preserve">4,0 anni</w:t>
            </w:r>
          </w:p>
        </w:tc>
      </w:tr>
      <w:tr>
        <w:tc>
          <w:tcPr>
            <w:tcW w:w="434" w:type="dxa"/>
          </w:tcPr>
          <w:p>
            <w:pPr>
              <w:pStyle w:val="TableText"/>
            </w:pPr>
            <w:r>
              <w:t xml:space="preserve">C0</w:t>
            </w:r>
          </w:p>
        </w:tc>
        <w:tc>
          <w:tcPr>
            <w:tcW w:w="4680" w:type="dxa"/>
          </w:tcPr>
          <w:p>
            <w:pPr>
              <w:pStyle w:val="TableText"/>
            </w:pPr>
            <w:r>
              <w:t xml:space="preserve">come C senza incentivi</w:t>
            </w:r>
          </w:p>
        </w:tc>
        <w:tc>
          <w:tcPr>
            <w:tcW w:w="1329" w:type="dxa"/>
          </w:tcPr>
          <w:p>
            <w:pPr>
              <w:pStyle w:val="TableText"/>
              <w:jc w:val="right"/>
            </w:pPr>
            <w:r>
              <w:t xml:space="preserve">0</w:t>
            </w:r>
          </w:p>
        </w:tc>
        <w:tc>
          <w:tcPr>
            <w:tcW w:w="807" w:type="dxa"/>
          </w:tcPr>
          <w:p>
            <w:pPr>
              <w:pStyle w:val="TableText"/>
              <w:jc w:val="right"/>
            </w:pPr>
            <w:r>
              <w:t xml:space="preserve">0 %</w:t>
            </w:r>
          </w:p>
        </w:tc>
        <w:tc>
          <w:tcPr>
            <w:tcW w:w="678" w:type="dxa"/>
          </w:tcPr>
          <w:p>
            <w:pPr>
              <w:pStyle w:val="TableText"/>
              <w:jc w:val="right"/>
            </w:pPr>
            <w:r>
              <w:t xml:space="preserve">1.361 k€</w:t>
            </w:r>
          </w:p>
        </w:tc>
        <w:tc>
          <w:tcPr>
            <w:tcW w:w="1031" w:type="dxa"/>
          </w:tcPr>
          <w:p>
            <w:pPr>
              <w:pStyle w:val="TableText"/>
              <w:jc w:val="right"/>
            </w:pPr>
            <w:r>
              <w:t xml:space="preserve">20,7 %</w:t>
            </w:r>
          </w:p>
        </w:tc>
        <w:tc>
          <w:tcPr>
            <w:tcW w:w="678" w:type="dxa"/>
          </w:tcPr>
          <w:p>
            <w:pPr>
              <w:pStyle w:val="TableText"/>
              <w:jc w:val="right"/>
            </w:pPr>
            <w:r>
              <w:t xml:space="preserve">4,9 anni</w:t>
            </w:r>
          </w:p>
        </w:tc>
      </w:tr>
    </w:tbl>
    <w:p>
      <w:pPr>
        <w:pStyle w:val="Normal"/>
        <w:spacing w:after="60"/>
      </w:pPr>
    </w:p>
    <w:p>
      <w:pPr>
        <w:pStyle w:val="Normal"/>
      </w:pPr>
      <w:r>
        <w:t xml:space="preserve">Note:</w:t>
      </w:r>
    </w:p>
    <w:p>
      <w:pPr>
        <w:pStyle w:val="ListParagraph"/>
      </w:pPr>
      <w:r>
        <w:t xml:space="preserve">•  </w:t>
      </w:r>
      <w:r>
        <w:t xml:space="preserve">Gli aiuti dell'iper-ammortamento sono il </w:t>
      </w:r>
      <w:r>
        <w:rPr>
          <w:b/>
        </w:rPr>
        <w:t xml:space="preserve">risparmio IRES nominale</w:t>
      </w:r>
      <w:r>
        <w:t xml:space="preserve"> distribuito sugli anni di ammortamento: in valore attuale valgono circa due terzi del nominale.</w:t>
      </w:r>
    </w:p>
    <w:p>
      <w:pPr>
        <w:pStyle w:val="ListParagraph"/>
      </w:pPr>
      <w:r>
        <w:t xml:space="preserve">•  </w:t>
      </w:r>
      <w:r>
        <w:t xml:space="preserve">Il caso A1 assume moduli di categoria B/C </w:t>
      </w:r>
      <w:r>
        <w:rPr>
          <w:b/>
        </w:rPr>
        <w:t xml:space="preserve">allo stesso prezzo</w:t>
      </w:r>
      <w:r>
        <w:t xml:space="preserve"> dei moduli standard. Se costano 0,10 €/Wp in più (+300 k€ per 3 MWp), il beneficio netto dell'iper-ammortamento scende da 684 a 468 k€ di VAN (−32 %). Va verificato con offerte reali prima di scegliere.</w:t>
      </w:r>
    </w:p>
    <w:p>
      <w:pPr>
        <w:pStyle w:val="ListParagraph"/>
      </w:pPr>
      <w:r>
        <w:t xml:space="preserve">•  </w:t>
      </w:r>
      <w:r>
        <w:t xml:space="preserve">Il credito ZES al 24 % è un'ipotesi (40 % della Carta per una grande impresa × riparto del 60 %): la percentuale effettiva si conosce solo dopo la chiusura della finestra.</w:t>
      </w:r>
    </w:p>
    <w:p>
      <w:pPr>
        <w:pStyle w:val="ListParagraph"/>
      </w:pPr>
      <w:r>
        <w:t xml:space="preserve">•  </w:t>
      </w:r>
      <w:r>
        <w:t xml:space="preserve">Iper-ammortamento e ZES sono cumulabili con base al netto; il simulatore controlla che il totale degli aiuti non superi il 100 % della spesa, ma la verifica delle intensità massime della Carta degli aiuti regionali o del GBER resta da fare con il consulente.</w:t>
      </w:r>
    </w:p>
    <w:p>
      <w:pPr>
        <w:pStyle w:val="Normal"/>
        <w:pBdr>
          <w:bottom w:val="single" w:sz="6" w:space="1" w:color="A0A8AE"/>
        </w:pBdr>
      </w:pPr>
    </w:p>
    <w:p>
      <w:pPr>
        <w:pStyle w:val="Heading1"/>
      </w:pPr>
      <w:r>
        <w:t xml:space="preserve">5. Rischi e sensitività</w:t>
      </w:r>
    </w:p>
    <w:p>
      <w:pPr>
        <w:pStyle w:val="Heading2"/>
      </w:pPr>
      <w:r>
        <w:t xml:space="preserve">5.1 Prezzo dell'energia</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320"/>
        <w:gridCol w:w="2320"/>
        <w:gridCol w:w="1785"/>
        <w:gridCol w:w="1428"/>
        <w:gridCol w:w="1785"/>
      </w:tblGrid>
      <w:tr>
        <w:trPr>
          <w:tblHeader/>
        </w:trPr>
        <w:tc>
          <w:tcPr>
            <w:tcW w:w="2320" w:type="dxa"/>
            <w:shd w:val="clear" w:color="auto" w:fill="E3EAEC"/>
          </w:tcPr>
          <w:p>
            <w:pPr>
              <w:pStyle w:val="TableText"/>
              <w:jc w:val="right"/>
            </w:pPr>
            <w:r>
              <w:rPr>
                <w:b/>
              </w:rPr>
              <w:t xml:space="preserve">PUN anno 1</w:t>
            </w:r>
          </w:p>
        </w:tc>
        <w:tc>
          <w:tcPr>
            <w:tcW w:w="2320" w:type="dxa"/>
            <w:shd w:val="clear" w:color="auto" w:fill="E3EAEC"/>
          </w:tcPr>
          <w:p>
            <w:pPr>
              <w:pStyle w:val="TableText"/>
              <w:jc w:val="right"/>
            </w:pPr>
            <w:r>
              <w:rPr>
                <w:b/>
              </w:rPr>
              <w:t xml:space="preserve">Escalation</w:t>
            </w:r>
          </w:p>
        </w:tc>
        <w:tc>
          <w:tcPr>
            <w:tcW w:w="1785" w:type="dxa"/>
            <w:shd w:val="clear" w:color="auto" w:fill="E3EAEC"/>
          </w:tcPr>
          <w:p>
            <w:pPr>
              <w:pStyle w:val="TableText"/>
              <w:jc w:val="right"/>
            </w:pPr>
            <w:r>
              <w:rPr>
                <w:b/>
              </w:rPr>
              <w:t xml:space="preserve">VAN</w:t>
            </w:r>
          </w:p>
        </w:tc>
        <w:tc>
          <w:tcPr>
            <w:tcW w:w="1428" w:type="dxa"/>
            <w:shd w:val="clear" w:color="auto" w:fill="E3EAEC"/>
          </w:tcPr>
          <w:p>
            <w:pPr>
              <w:pStyle w:val="TableText"/>
              <w:jc w:val="right"/>
            </w:pPr>
            <w:r>
              <w:rPr>
                <w:b/>
              </w:rPr>
              <w:t xml:space="preserve">TIR</w:t>
            </w:r>
          </w:p>
        </w:tc>
        <w:tc>
          <w:tcPr>
            <w:tcW w:w="1785" w:type="dxa"/>
            <w:shd w:val="clear" w:color="auto" w:fill="E3EAEC"/>
          </w:tcPr>
          <w:p>
            <w:pPr>
              <w:pStyle w:val="TableText"/>
              <w:jc w:val="right"/>
            </w:pPr>
            <w:r>
              <w:rPr>
                <w:b/>
              </w:rPr>
              <w:t xml:space="preserve">Payback</w:t>
            </w:r>
          </w:p>
        </w:tc>
      </w:tr>
      <w:tr>
        <w:tc>
          <w:tcPr>
            <w:tcW w:w="2320" w:type="dxa"/>
          </w:tcPr>
          <w:p>
            <w:pPr>
              <w:pStyle w:val="TableText"/>
              <w:jc w:val="right"/>
            </w:pPr>
            <w:r>
              <w:t xml:space="preserve">100 €/MWh</w:t>
            </w:r>
          </w:p>
        </w:tc>
        <w:tc>
          <w:tcPr>
            <w:tcW w:w="2320" w:type="dxa"/>
          </w:tcPr>
          <w:p>
            <w:pPr>
              <w:pStyle w:val="TableText"/>
              <w:jc w:val="right"/>
            </w:pPr>
            <w:r>
              <w:t xml:space="preserve">0 %/a</w:t>
            </w:r>
          </w:p>
        </w:tc>
        <w:tc>
          <w:tcPr>
            <w:tcW w:w="1785" w:type="dxa"/>
          </w:tcPr>
          <w:p>
            <w:pPr>
              <w:pStyle w:val="TableText"/>
              <w:jc w:val="right"/>
            </w:pPr>
            <w:r>
              <w:t xml:space="preserve">2.484 k€</w:t>
            </w:r>
          </w:p>
        </w:tc>
        <w:tc>
          <w:tcPr>
            <w:tcW w:w="1428" w:type="dxa"/>
          </w:tcPr>
          <w:p>
            <w:pPr>
              <w:pStyle w:val="TableText"/>
              <w:jc w:val="right"/>
            </w:pPr>
            <w:r>
              <w:t xml:space="preserve">18,1 %</w:t>
            </w:r>
          </w:p>
        </w:tc>
        <w:tc>
          <w:tcPr>
            <w:tcW w:w="1785" w:type="dxa"/>
          </w:tcPr>
          <w:p>
            <w:pPr>
              <w:pStyle w:val="TableText"/>
              <w:jc w:val="right"/>
            </w:pPr>
            <w:r>
              <w:t xml:space="preserve">5,2 anni</w:t>
            </w:r>
          </w:p>
        </w:tc>
      </w:tr>
      <w:tr>
        <w:tc>
          <w:tcPr>
            <w:tcW w:w="2320" w:type="dxa"/>
          </w:tcPr>
          <w:p>
            <w:pPr>
              <w:pStyle w:val="TableText"/>
              <w:jc w:val="right"/>
            </w:pPr>
            <w:r>
              <w:t xml:space="preserve">100 €/MWh</w:t>
            </w:r>
          </w:p>
        </w:tc>
        <w:tc>
          <w:tcPr>
            <w:tcW w:w="2320" w:type="dxa"/>
          </w:tcPr>
          <w:p>
            <w:pPr>
              <w:pStyle w:val="TableText"/>
              <w:jc w:val="right"/>
            </w:pPr>
            <w:r>
              <w:t xml:space="preserve">+2 %/a</w:t>
            </w:r>
          </w:p>
        </w:tc>
        <w:tc>
          <w:tcPr>
            <w:tcW w:w="1785" w:type="dxa"/>
          </w:tcPr>
          <w:p>
            <w:pPr>
              <w:pStyle w:val="TableText"/>
              <w:jc w:val="right"/>
            </w:pPr>
            <w:r>
              <w:t xml:space="preserve">3.491 k€</w:t>
            </w:r>
          </w:p>
        </w:tc>
        <w:tc>
          <w:tcPr>
            <w:tcW w:w="1428" w:type="dxa"/>
          </w:tcPr>
          <w:p>
            <w:pPr>
              <w:pStyle w:val="TableText"/>
              <w:jc w:val="right"/>
            </w:pPr>
            <w:r>
              <w:t xml:space="preserve">20,2 %</w:t>
            </w:r>
          </w:p>
        </w:tc>
        <w:tc>
          <w:tcPr>
            <w:tcW w:w="1785" w:type="dxa"/>
          </w:tcPr>
          <w:p>
            <w:pPr>
              <w:pStyle w:val="TableText"/>
              <w:jc w:val="right"/>
            </w:pPr>
            <w:r>
              <w:t xml:space="preserve">5,0 anni</w:t>
            </w:r>
          </w:p>
        </w:tc>
      </w:tr>
      <w:tr>
        <w:tc>
          <w:tcPr>
            <w:tcW w:w="2320" w:type="dxa"/>
          </w:tcPr>
          <w:p>
            <w:pPr>
              <w:pStyle w:val="TableText"/>
              <w:jc w:val="right"/>
            </w:pPr>
            <w:r>
              <w:t xml:space="preserve">130 €/MWh</w:t>
            </w:r>
          </w:p>
        </w:tc>
        <w:tc>
          <w:tcPr>
            <w:tcW w:w="2320" w:type="dxa"/>
          </w:tcPr>
          <w:p>
            <w:pPr>
              <w:pStyle w:val="TableText"/>
              <w:jc w:val="right"/>
            </w:pPr>
            <w:r>
              <w:t xml:space="preserve">0 %/a</w:t>
            </w:r>
          </w:p>
        </w:tc>
        <w:tc>
          <w:tcPr>
            <w:tcW w:w="1785" w:type="dxa"/>
          </w:tcPr>
          <w:p>
            <w:pPr>
              <w:pStyle w:val="TableText"/>
              <w:jc w:val="right"/>
            </w:pPr>
            <w:r>
              <w:t xml:space="preserve">3.364 k€</w:t>
            </w:r>
          </w:p>
        </w:tc>
        <w:tc>
          <w:tcPr>
            <w:tcW w:w="1428" w:type="dxa"/>
          </w:tcPr>
          <w:p>
            <w:pPr>
              <w:pStyle w:val="TableText"/>
              <w:jc w:val="right"/>
            </w:pPr>
            <w:r>
              <w:t xml:space="preserve">21,6 %</w:t>
            </w:r>
          </w:p>
        </w:tc>
        <w:tc>
          <w:tcPr>
            <w:tcW w:w="1785" w:type="dxa"/>
          </w:tcPr>
          <w:p>
            <w:pPr>
              <w:pStyle w:val="TableText"/>
              <w:jc w:val="right"/>
            </w:pPr>
            <w:r>
              <w:t xml:space="preserve">4,5 anni</w:t>
            </w:r>
          </w:p>
        </w:tc>
      </w:tr>
      <w:tr>
        <w:tc>
          <w:tcPr>
            <w:tcW w:w="2320" w:type="dxa"/>
          </w:tcPr>
          <w:p>
            <w:pPr>
              <w:pStyle w:val="TableText"/>
              <w:jc w:val="right"/>
            </w:pPr>
            <w:r>
              <w:rPr>
                <w:b/>
              </w:rPr>
              <w:t xml:space="preserve">130 €/MWh</w:t>
            </w:r>
          </w:p>
        </w:tc>
        <w:tc>
          <w:tcPr>
            <w:tcW w:w="2320" w:type="dxa"/>
          </w:tcPr>
          <w:p>
            <w:pPr>
              <w:pStyle w:val="TableText"/>
              <w:jc w:val="right"/>
            </w:pPr>
            <w:r>
              <w:rPr>
                <w:b/>
              </w:rPr>
              <w:t xml:space="preserve">+2 %/a</w:t>
            </w:r>
          </w:p>
        </w:tc>
        <w:tc>
          <w:tcPr>
            <w:tcW w:w="1785" w:type="dxa"/>
          </w:tcPr>
          <w:p>
            <w:pPr>
              <w:pStyle w:val="TableText"/>
              <w:jc w:val="right"/>
            </w:pPr>
            <w:r>
              <w:rPr>
                <w:b/>
              </w:rPr>
              <w:t xml:space="preserve">4.541 k€</w:t>
            </w:r>
          </w:p>
        </w:tc>
        <w:tc>
          <w:tcPr>
            <w:tcW w:w="1428" w:type="dxa"/>
          </w:tcPr>
          <w:p>
            <w:pPr>
              <w:pStyle w:val="TableText"/>
              <w:jc w:val="right"/>
            </w:pPr>
            <w:r>
              <w:rPr>
                <w:b/>
              </w:rPr>
              <w:t xml:space="preserve">23,7 %</w:t>
            </w:r>
          </w:p>
        </w:tc>
        <w:tc>
          <w:tcPr>
            <w:tcW w:w="1785" w:type="dxa"/>
          </w:tcPr>
          <w:p>
            <w:pPr>
              <w:pStyle w:val="TableText"/>
              <w:jc w:val="right"/>
            </w:pPr>
            <w:r>
              <w:rPr>
                <w:b/>
              </w:rPr>
              <w:t xml:space="preserve">4,3 anni</w:t>
            </w:r>
          </w:p>
        </w:tc>
      </w:tr>
      <w:tr>
        <w:tc>
          <w:tcPr>
            <w:tcW w:w="2320" w:type="dxa"/>
          </w:tcPr>
          <w:p>
            <w:pPr>
              <w:pStyle w:val="TableText"/>
              <w:jc w:val="right"/>
            </w:pPr>
            <w:r>
              <w:t xml:space="preserve">170 €/MWh</w:t>
            </w:r>
          </w:p>
        </w:tc>
        <w:tc>
          <w:tcPr>
            <w:tcW w:w="2320" w:type="dxa"/>
          </w:tcPr>
          <w:p>
            <w:pPr>
              <w:pStyle w:val="TableText"/>
              <w:jc w:val="right"/>
            </w:pPr>
            <w:r>
              <w:t xml:space="preserve">+2 %/a</w:t>
            </w:r>
          </w:p>
        </w:tc>
        <w:tc>
          <w:tcPr>
            <w:tcW w:w="1785" w:type="dxa"/>
          </w:tcPr>
          <w:p>
            <w:pPr>
              <w:pStyle w:val="TableText"/>
              <w:jc w:val="right"/>
            </w:pPr>
            <w:r>
              <w:t xml:space="preserve">5.904 k€</w:t>
            </w:r>
          </w:p>
        </w:tc>
        <w:tc>
          <w:tcPr>
            <w:tcW w:w="1428" w:type="dxa"/>
          </w:tcPr>
          <w:p>
            <w:pPr>
              <w:pStyle w:val="TableText"/>
              <w:jc w:val="right"/>
            </w:pPr>
            <w:r>
              <w:t xml:space="preserve">28,0 %</w:t>
            </w:r>
          </w:p>
        </w:tc>
        <w:tc>
          <w:tcPr>
            <w:tcW w:w="1785" w:type="dxa"/>
          </w:tcPr>
          <w:p>
            <w:pPr>
              <w:pStyle w:val="TableText"/>
              <w:jc w:val="right"/>
            </w:pPr>
            <w:r>
              <w:t xml:space="preserve">3,7 anni</w:t>
            </w:r>
          </w:p>
        </w:tc>
      </w:tr>
      <w:tr>
        <w:tc>
          <w:tcPr>
            <w:tcW w:w="2320" w:type="dxa"/>
          </w:tcPr>
          <w:p>
            <w:pPr>
              <w:pStyle w:val="TableText"/>
              <w:jc w:val="right"/>
            </w:pPr>
            <w:r>
              <w:t xml:space="preserve">170 €/MWh</w:t>
            </w:r>
          </w:p>
        </w:tc>
        <w:tc>
          <w:tcPr>
            <w:tcW w:w="2320" w:type="dxa"/>
          </w:tcPr>
          <w:p>
            <w:pPr>
              <w:pStyle w:val="TableText"/>
              <w:jc w:val="right"/>
            </w:pPr>
            <w:r>
              <w:t xml:space="preserve">−2 %/a</w:t>
            </w:r>
          </w:p>
        </w:tc>
        <w:tc>
          <w:tcPr>
            <w:tcW w:w="1785" w:type="dxa"/>
          </w:tcPr>
          <w:p>
            <w:pPr>
              <w:pStyle w:val="TableText"/>
              <w:jc w:val="right"/>
            </w:pPr>
            <w:r>
              <w:t xml:space="preserve">3.424 k€</w:t>
            </w:r>
          </w:p>
        </w:tc>
        <w:tc>
          <w:tcPr>
            <w:tcW w:w="1428" w:type="dxa"/>
          </w:tcPr>
          <w:p>
            <w:pPr>
              <w:pStyle w:val="TableText"/>
              <w:jc w:val="right"/>
            </w:pPr>
            <w:r>
              <w:t xml:space="preserve">24,0 %</w:t>
            </w:r>
          </w:p>
        </w:tc>
        <w:tc>
          <w:tcPr>
            <w:tcW w:w="1785" w:type="dxa"/>
          </w:tcPr>
          <w:p>
            <w:pPr>
              <w:pStyle w:val="TableText"/>
              <w:jc w:val="right"/>
            </w:pPr>
            <w:r>
              <w:t xml:space="preserve">3,9 anni</w:t>
            </w:r>
          </w:p>
        </w:tc>
      </w:tr>
    </w:tbl>
    <w:p>
      <w:pPr>
        <w:pStyle w:val="Normal"/>
        <w:spacing w:after="60"/>
      </w:pPr>
    </w:p>
    <w:p>
      <w:pPr>
        <w:pStyle w:val="Normal"/>
      </w:pPr>
      <w:r>
        <w:t xml:space="preserve">Il PUN del 2026 (~145 €/MWh medio gennaio–settembre, oltre 200 €/MWh a ottobre per la crisi di Hormuz) è sopra lo scenario base, mentre i futures 2027 rilevati prima della crisi erano intorno a 100 €/MWh. Il progetto resta ampiamente positivo anche con PUN 100 senza escalation (VAN 2,5 M€), perché metà del valore evitato sono oneri, accise e componenti di rete che non dipendono dal PUN.</w:t>
      </w:r>
    </w:p>
    <w:p>
      <w:pPr>
        <w:pStyle w:val="Heading2"/>
      </w:pPr>
      <w:r>
        <w:t xml:space="preserve">5.2 Tornado del VAN (caso A)</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665"/>
        <w:gridCol w:w="1588"/>
        <w:gridCol w:w="2260"/>
        <w:gridCol w:w="2125"/>
      </w:tblGrid>
      <w:tr>
        <w:trPr>
          <w:tblHeader/>
        </w:trPr>
        <w:tc>
          <w:tcPr>
            <w:tcW w:w="3665" w:type="dxa"/>
            <w:shd w:val="clear" w:color="auto" w:fill="E3EAEC"/>
          </w:tcPr>
          <w:p>
            <w:pPr>
              <w:pStyle w:val="TableText"/>
            </w:pPr>
            <w:r>
              <w:rPr>
                <w:b/>
              </w:rPr>
              <w:t xml:space="preserve">Grandezza</w:t>
            </w:r>
          </w:p>
        </w:tc>
        <w:tc>
          <w:tcPr>
            <w:tcW w:w="1588" w:type="dxa"/>
            <w:shd w:val="clear" w:color="auto" w:fill="E3EAEC"/>
          </w:tcPr>
          <w:p>
            <w:pPr>
              <w:pStyle w:val="TableText"/>
            </w:pPr>
            <w:r>
              <w:rPr>
                <w:b/>
              </w:rPr>
              <w:t xml:space="preserve">Variazione</w:t>
            </w:r>
          </w:p>
        </w:tc>
        <w:tc>
          <w:tcPr>
            <w:tcW w:w="2260" w:type="dxa"/>
            <w:shd w:val="clear" w:color="auto" w:fill="E3EAEC"/>
          </w:tcPr>
          <w:p>
            <w:pPr>
              <w:pStyle w:val="TableText"/>
              <w:jc w:val="right"/>
            </w:pPr>
            <w:r>
              <w:rPr>
                <w:b/>
              </w:rPr>
              <w:t xml:space="preserve">VAN sfavorevole</w:t>
            </w:r>
          </w:p>
        </w:tc>
        <w:tc>
          <w:tcPr>
            <w:tcW w:w="2125" w:type="dxa"/>
            <w:shd w:val="clear" w:color="auto" w:fill="E3EAEC"/>
          </w:tcPr>
          <w:p>
            <w:pPr>
              <w:pStyle w:val="TableText"/>
              <w:jc w:val="right"/>
            </w:pPr>
            <w:r>
              <w:rPr>
                <w:b/>
              </w:rPr>
              <w:t xml:space="preserve">VAN favorevole</w:t>
            </w:r>
          </w:p>
        </w:tc>
      </w:tr>
      <w:tr>
        <w:tc>
          <w:tcPr>
            <w:tcW w:w="3665" w:type="dxa"/>
          </w:tcPr>
          <w:p>
            <w:pPr>
              <w:pStyle w:val="TableText"/>
            </w:pPr>
            <w:r>
              <w:t xml:space="preserve">WACC</w:t>
            </w:r>
          </w:p>
        </w:tc>
        <w:tc>
          <w:tcPr>
            <w:tcW w:w="1588" w:type="dxa"/>
          </w:tcPr>
          <w:p>
            <w:pPr>
              <w:pStyle w:val="TableText"/>
            </w:pPr>
            <w:r>
              <w:t xml:space="preserve">±2 pp</w:t>
            </w:r>
          </w:p>
        </w:tc>
        <w:tc>
          <w:tcPr>
            <w:tcW w:w="2260" w:type="dxa"/>
          </w:tcPr>
          <w:p>
            <w:pPr>
              <w:pStyle w:val="TableText"/>
              <w:jc w:val="right"/>
            </w:pPr>
            <w:r>
              <w:t xml:space="preserve">3.410 k€</w:t>
            </w:r>
          </w:p>
        </w:tc>
        <w:tc>
          <w:tcPr>
            <w:tcW w:w="2125" w:type="dxa"/>
          </w:tcPr>
          <w:p>
            <w:pPr>
              <w:pStyle w:val="TableText"/>
              <w:jc w:val="right"/>
            </w:pPr>
            <w:r>
              <w:t xml:space="preserve">6.058 k€</w:t>
            </w:r>
          </w:p>
        </w:tc>
      </w:tr>
      <w:tr>
        <w:tc>
          <w:tcPr>
            <w:tcW w:w="3665" w:type="dxa"/>
          </w:tcPr>
          <w:p>
            <w:pPr>
              <w:pStyle w:val="TableText"/>
            </w:pPr>
            <w:r>
              <w:t xml:space="preserve">Escalation prezzi</w:t>
            </w:r>
          </w:p>
        </w:tc>
        <w:tc>
          <w:tcPr>
            <w:tcW w:w="1588" w:type="dxa"/>
          </w:tcPr>
          <w:p>
            <w:pPr>
              <w:pStyle w:val="TableText"/>
            </w:pPr>
            <w:r>
              <w:t xml:space="preserve">±1,5 pp</w:t>
            </w:r>
          </w:p>
        </w:tc>
        <w:tc>
          <w:tcPr>
            <w:tcW w:w="2260" w:type="dxa"/>
          </w:tcPr>
          <w:p>
            <w:pPr>
              <w:pStyle w:val="TableText"/>
              <w:jc w:val="right"/>
            </w:pPr>
            <w:r>
              <w:t xml:space="preserve">3.630 k€</w:t>
            </w:r>
          </w:p>
        </w:tc>
        <w:tc>
          <w:tcPr>
            <w:tcW w:w="2125" w:type="dxa"/>
          </w:tcPr>
          <w:p>
            <w:pPr>
              <w:pStyle w:val="TableText"/>
              <w:jc w:val="right"/>
            </w:pPr>
            <w:r>
              <w:t xml:space="preserve">5.651 k€</w:t>
            </w:r>
          </w:p>
        </w:tc>
      </w:tr>
      <w:tr>
        <w:tc>
          <w:tcPr>
            <w:tcW w:w="3665" w:type="dxa"/>
          </w:tcPr>
          <w:p>
            <w:pPr>
              <w:pStyle w:val="TableText"/>
            </w:pPr>
            <w:r>
              <w:t xml:space="preserve">PUN</w:t>
            </w:r>
          </w:p>
        </w:tc>
        <w:tc>
          <w:tcPr>
            <w:tcW w:w="1588" w:type="dxa"/>
          </w:tcPr>
          <w:p>
            <w:pPr>
              <w:pStyle w:val="TableText"/>
            </w:pPr>
            <w:r>
              <w:t xml:space="preserve">±20 %</w:t>
            </w:r>
          </w:p>
        </w:tc>
        <w:tc>
          <w:tcPr>
            <w:tcW w:w="2260" w:type="dxa"/>
          </w:tcPr>
          <w:p>
            <w:pPr>
              <w:pStyle w:val="TableText"/>
              <w:jc w:val="right"/>
            </w:pPr>
            <w:r>
              <w:t xml:space="preserve">3.631 k€</w:t>
            </w:r>
          </w:p>
        </w:tc>
        <w:tc>
          <w:tcPr>
            <w:tcW w:w="2125" w:type="dxa"/>
          </w:tcPr>
          <w:p>
            <w:pPr>
              <w:pStyle w:val="TableText"/>
              <w:jc w:val="right"/>
            </w:pPr>
            <w:r>
              <w:t xml:space="preserve">5.420 k€</w:t>
            </w:r>
          </w:p>
        </w:tc>
      </w:tr>
      <w:tr>
        <w:tc>
          <w:tcPr>
            <w:tcW w:w="3665" w:type="dxa"/>
          </w:tcPr>
          <w:p>
            <w:pPr>
              <w:pStyle w:val="TableText"/>
            </w:pPr>
            <w:r>
              <w:t xml:space="preserve">Oneri e componenti variabili</w:t>
            </w:r>
          </w:p>
        </w:tc>
        <w:tc>
          <w:tcPr>
            <w:tcW w:w="1588" w:type="dxa"/>
          </w:tcPr>
          <w:p>
            <w:pPr>
              <w:pStyle w:val="TableText"/>
            </w:pPr>
            <w:r>
              <w:t xml:space="preserve">±30 %</w:t>
            </w:r>
          </w:p>
        </w:tc>
        <w:tc>
          <w:tcPr>
            <w:tcW w:w="2260" w:type="dxa"/>
          </w:tcPr>
          <w:p>
            <w:pPr>
              <w:pStyle w:val="TableText"/>
              <w:jc w:val="right"/>
            </w:pPr>
            <w:r>
              <w:t xml:space="preserve">3.906 k€</w:t>
            </w:r>
          </w:p>
        </w:tc>
        <w:tc>
          <w:tcPr>
            <w:tcW w:w="2125" w:type="dxa"/>
          </w:tcPr>
          <w:p>
            <w:pPr>
              <w:pStyle w:val="TableText"/>
              <w:jc w:val="right"/>
            </w:pPr>
            <w:r>
              <w:t xml:space="preserve">5.169 k€</w:t>
            </w:r>
          </w:p>
        </w:tc>
      </w:tr>
      <w:tr>
        <w:tc>
          <w:tcPr>
            <w:tcW w:w="3665" w:type="dxa"/>
          </w:tcPr>
          <w:p>
            <w:pPr>
              <w:pStyle w:val="TableText"/>
            </w:pPr>
            <w:r>
              <w:t xml:space="preserve">Producibilità FV</w:t>
            </w:r>
          </w:p>
        </w:tc>
        <w:tc>
          <w:tcPr>
            <w:tcW w:w="1588" w:type="dxa"/>
          </w:tcPr>
          <w:p>
            <w:pPr>
              <w:pStyle w:val="TableText"/>
            </w:pPr>
            <w:r>
              <w:t xml:space="preserve">±8 %</w:t>
            </w:r>
          </w:p>
        </w:tc>
        <w:tc>
          <w:tcPr>
            <w:tcW w:w="2260" w:type="dxa"/>
          </w:tcPr>
          <w:p>
            <w:pPr>
              <w:pStyle w:val="TableText"/>
              <w:jc w:val="right"/>
            </w:pPr>
            <w:r>
              <w:t xml:space="preserve">4.007 k€</w:t>
            </w:r>
          </w:p>
        </w:tc>
        <w:tc>
          <w:tcPr>
            <w:tcW w:w="2125" w:type="dxa"/>
          </w:tcPr>
          <w:p>
            <w:pPr>
              <w:pStyle w:val="TableText"/>
              <w:jc w:val="right"/>
            </w:pPr>
            <w:r>
              <w:t xml:space="preserve">5.068 k€</w:t>
            </w:r>
          </w:p>
        </w:tc>
      </w:tr>
      <w:tr>
        <w:tc>
          <w:tcPr>
            <w:tcW w:w="3665" w:type="dxa"/>
          </w:tcPr>
          <w:p>
            <w:pPr>
              <w:pStyle w:val="TableText"/>
            </w:pPr>
            <w:r>
              <w:t xml:space="preserve">CAPEX</w:t>
            </w:r>
          </w:p>
        </w:tc>
        <w:tc>
          <w:tcPr>
            <w:tcW w:w="1588" w:type="dxa"/>
          </w:tcPr>
          <w:p>
            <w:pPr>
              <w:pStyle w:val="TableText"/>
            </w:pPr>
            <w:r>
              <w:t xml:space="preserve">±20 %</w:t>
            </w:r>
          </w:p>
        </w:tc>
        <w:tc>
          <w:tcPr>
            <w:tcW w:w="2260" w:type="dxa"/>
          </w:tcPr>
          <w:p>
            <w:pPr>
              <w:pStyle w:val="TableText"/>
              <w:jc w:val="right"/>
            </w:pPr>
            <w:r>
              <w:t xml:space="preserve">4.133 k€</w:t>
            </w:r>
          </w:p>
        </w:tc>
        <w:tc>
          <w:tcPr>
            <w:tcW w:w="2125" w:type="dxa"/>
          </w:tcPr>
          <w:p>
            <w:pPr>
              <w:pStyle w:val="TableText"/>
              <w:jc w:val="right"/>
            </w:pPr>
            <w:r>
              <w:t xml:space="preserve">4.949 k€</w:t>
            </w:r>
          </w:p>
        </w:tc>
      </w:tr>
      <w:tr>
        <w:tc>
          <w:tcPr>
            <w:tcW w:w="3665" w:type="dxa"/>
          </w:tcPr>
          <w:p>
            <w:pPr>
              <w:pStyle w:val="TableText"/>
            </w:pPr>
            <w:r>
              <w:t xml:space="preserve">OPEX</w:t>
            </w:r>
          </w:p>
        </w:tc>
        <w:tc>
          <w:tcPr>
            <w:tcW w:w="1588" w:type="dxa"/>
          </w:tcPr>
          <w:p>
            <w:pPr>
              <w:pStyle w:val="TableText"/>
            </w:pPr>
            <w:r>
              <w:t xml:space="preserve">±20 %</w:t>
            </w:r>
          </w:p>
        </w:tc>
        <w:tc>
          <w:tcPr>
            <w:tcW w:w="2260" w:type="dxa"/>
          </w:tcPr>
          <w:p>
            <w:pPr>
              <w:pStyle w:val="TableText"/>
              <w:jc w:val="right"/>
            </w:pPr>
            <w:r>
              <w:t xml:space="preserve">4.442 k€</w:t>
            </w:r>
          </w:p>
        </w:tc>
        <w:tc>
          <w:tcPr>
            <w:tcW w:w="2125" w:type="dxa"/>
          </w:tcPr>
          <w:p>
            <w:pPr>
              <w:pStyle w:val="TableText"/>
              <w:jc w:val="right"/>
            </w:pPr>
            <w:r>
              <w:t xml:space="preserve">4.640 k€</w:t>
            </w:r>
          </w:p>
        </w:tc>
      </w:tr>
    </w:tbl>
    <w:p>
      <w:pPr>
        <w:pStyle w:val="Normal"/>
        <w:spacing w:after="60"/>
      </w:pPr>
    </w:p>
    <w:p>
      <w:pPr>
        <w:pStyle w:val="Normal"/>
      </w:pPr>
      <w:r>
        <w:t xml:space="preserve">In nessuno scenario elementare il VAN diventa negativo. Le grandezze che pesano di più sono quelle di mercato (prezzi e loro dinamica) e il costo del capitale, non il CAPEX.</w:t>
      </w:r>
    </w:p>
    <w:p>
      <w:pPr>
        <w:pStyle w:val="Heading2"/>
      </w:pPr>
      <w:r>
        <w:t xml:space="preserve">5.3 Rischi qualitativi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784"/>
        <w:gridCol w:w="3226"/>
        <w:gridCol w:w="2629"/>
      </w:tblGrid>
      <w:tr>
        <w:trPr>
          <w:tblHeader/>
        </w:trPr>
        <w:tc>
          <w:tcPr>
            <w:tcW w:w="3784" w:type="dxa"/>
            <w:shd w:val="clear" w:color="auto" w:fill="E3EAEC"/>
          </w:tcPr>
          <w:p>
            <w:pPr>
              <w:pStyle w:val="TableText"/>
            </w:pPr>
            <w:r>
              <w:rPr>
                <w:b/>
              </w:rPr>
              <w:t xml:space="preserve">Rischio</w:t>
            </w:r>
          </w:p>
        </w:tc>
        <w:tc>
          <w:tcPr>
            <w:tcW w:w="3226" w:type="dxa"/>
            <w:shd w:val="clear" w:color="auto" w:fill="E3EAEC"/>
          </w:tcPr>
          <w:p>
            <w:pPr>
              <w:pStyle w:val="TableText"/>
            </w:pPr>
            <w:r>
              <w:rPr>
                <w:b/>
              </w:rPr>
              <w:t xml:space="preserve">Effetto</w:t>
            </w:r>
          </w:p>
        </w:tc>
        <w:tc>
          <w:tcPr>
            <w:tcW w:w="2629" w:type="dxa"/>
            <w:shd w:val="clear" w:color="auto" w:fill="E3EAEC"/>
          </w:tcPr>
          <w:p>
            <w:pPr>
              <w:pStyle w:val="TableText"/>
            </w:pPr>
            <w:r>
              <w:rPr>
                <w:b/>
              </w:rPr>
              <w:t xml:space="preserve">Mitigazione</w:t>
            </w:r>
          </w:p>
        </w:tc>
      </w:tr>
      <w:tr>
        <w:tc>
          <w:tcPr>
            <w:tcW w:w="3784" w:type="dxa"/>
          </w:tcPr>
          <w:p>
            <w:pPr>
              <w:pStyle w:val="TableText"/>
            </w:pPr>
            <w:r>
              <w:t xml:space="preserve">Revisione degli oneri sull'autoconsumo (oggi esente da oneri di rete e da accise oltre 20 kW)</w:t>
            </w:r>
          </w:p>
        </w:tc>
        <w:tc>
          <w:tcPr>
            <w:tcW w:w="3226" w:type="dxa"/>
          </w:tcPr>
          <w:p>
            <w:pPr>
              <w:pStyle w:val="TableText"/>
            </w:pPr>
            <w:r>
              <w:t xml:space="preserve">Riduzione del costo evitato</w:t>
            </w:r>
          </w:p>
        </w:tc>
        <w:tc>
          <w:tcPr>
            <w:tcW w:w="2629" w:type="dxa"/>
          </w:tcPr>
          <w:p>
            <w:pPr>
              <w:pStyle w:val="TableText"/>
            </w:pPr>
            <w:r>
              <w:t xml:space="preserve">Scenario oneri −30 % già nel tornado; il VAN resta positivo</w:t>
            </w:r>
          </w:p>
        </w:tc>
      </w:tr>
      <w:tr>
        <w:tc>
          <w:tcPr>
            <w:tcW w:w="3784" w:type="dxa"/>
          </w:tcPr>
          <w:p>
            <w:pPr>
              <w:pStyle w:val="TableText"/>
            </w:pPr>
            <w:r>
              <w:t xml:space="preserve">Cannibalizzazione dei prezzi nelle ore solari</w:t>
            </w:r>
          </w:p>
        </w:tc>
        <w:tc>
          <w:tcPr>
            <w:tcW w:w="3226" w:type="dxa"/>
          </w:tcPr>
          <w:p>
            <w:pPr>
              <w:pStyle w:val="TableText"/>
            </w:pPr>
            <w:r>
              <w:t xml:space="preserve">Valore dell'immissione più basso</w:t>
            </w:r>
          </w:p>
        </w:tc>
        <w:tc>
          <w:tcPr>
            <w:tcW w:w="2629" w:type="dxa"/>
          </w:tcPr>
          <w:p>
            <w:pPr>
              <w:pStyle w:val="TableText"/>
            </w:pPr>
            <w:r>
              <w:t xml:space="preserve">Dimensionare sull'autoconsumo; immissione 14 % nel caso A</w:t>
            </w:r>
          </w:p>
        </w:tc>
      </w:tr>
      <w:tr>
        <w:tc>
          <w:tcPr>
            <w:tcW w:w="3784" w:type="dxa"/>
          </w:tcPr>
          <w:p>
            <w:pPr>
              <w:pStyle w:val="TableText"/>
            </w:pPr>
            <w:r>
              <w:t xml:space="preserve">Variazione dei turni o della domanda dello stabilimento</w:t>
            </w:r>
          </w:p>
        </w:tc>
        <w:tc>
          <w:tcPr>
            <w:tcW w:w="3226" w:type="dxa"/>
          </w:tcPr>
          <w:p>
            <w:pPr>
              <w:pStyle w:val="TableText"/>
            </w:pPr>
            <w:r>
              <w:t xml:space="preserve">Meno autoconsumo</w:t>
            </w:r>
          </w:p>
        </w:tc>
        <w:tc>
          <w:tcPr>
            <w:tcW w:w="2629" w:type="dxa"/>
          </w:tcPr>
          <w:p>
            <w:pPr>
              <w:pStyle w:val="TableText"/>
            </w:pPr>
            <w:r>
              <w:t xml:space="preserve">Curva di carico misurata; FV ≤ consumi diurni; BESS modulare</w:t>
            </w:r>
          </w:p>
        </w:tc>
      </w:tr>
      <w:tr>
        <w:tc>
          <w:tcPr>
            <w:tcW w:w="3784" w:type="dxa"/>
          </w:tcPr>
          <w:p>
            <w:pPr>
              <w:pStyle w:val="TableText"/>
            </w:pPr>
            <w:r>
              <w:t xml:space="preserve">Ritardi della connessione o del titolo autorizzativo</w:t>
            </w:r>
          </w:p>
        </w:tc>
        <w:tc>
          <w:tcPr>
            <w:tcW w:w="3226" w:type="dxa"/>
          </w:tcPr>
          <w:p>
            <w:pPr>
              <w:pStyle w:val="TableText"/>
            </w:pPr>
            <w:r>
              <w:t xml:space="preserve">Slittamento dei flussi e degli incentivi (iper-ammortamento entro il 30/9/2028)</w:t>
            </w:r>
          </w:p>
        </w:tc>
        <w:tc>
          <w:tcPr>
            <w:tcW w:w="2629" w:type="dxa"/>
          </w:tcPr>
          <w:p>
            <w:pPr>
              <w:pStyle w:val="TableText"/>
            </w:pPr>
            <w:r>
              <w:t xml:space="preserve">Avvio anticipato di TICA e PAS; aree idonee</w:t>
            </w:r>
          </w:p>
        </w:tc>
      </w:tr>
      <w:tr>
        <w:tc>
          <w:tcPr>
            <w:tcW w:w="3784" w:type="dxa"/>
          </w:tcPr>
          <w:p>
            <w:pPr>
              <w:pStyle w:val="TableText"/>
            </w:pPr>
            <w:r>
              <w:t xml:space="preserve">Moduli ENEA B/C non disponibili o costosi</w:t>
            </w:r>
          </w:p>
        </w:tc>
        <w:tc>
          <w:tcPr>
            <w:tcW w:w="3226" w:type="dxa"/>
          </w:tcPr>
          <w:p>
            <w:pPr>
              <w:pStyle w:val="TableText"/>
            </w:pPr>
            <w:r>
              <w:t xml:space="preserve">Perdita dell'iper-ammortamento</w:t>
            </w:r>
          </w:p>
        </w:tc>
        <w:tc>
          <w:tcPr>
            <w:tcW w:w="2629" w:type="dxa"/>
          </w:tcPr>
          <w:p>
            <w:pPr>
              <w:pStyle w:val="TableText"/>
            </w:pPr>
            <w:r>
              <w:t xml:space="preserve">Confronto con offerte reali; caso A senza incentivi già positivo</w:t>
            </w:r>
          </w:p>
        </w:tc>
      </w:tr>
      <w:tr>
        <w:tc>
          <w:tcPr>
            <w:tcW w:w="3784" w:type="dxa"/>
          </w:tcPr>
          <w:p>
            <w:pPr>
              <w:pStyle w:val="TableText"/>
            </w:pPr>
            <w:r>
              <w:t xml:space="preserve">Degrado BESS più rapido</w:t>
            </w:r>
          </w:p>
        </w:tc>
        <w:tc>
          <w:tcPr>
            <w:tcW w:w="3226" w:type="dxa"/>
          </w:tcPr>
          <w:p>
            <w:pPr>
              <w:pStyle w:val="TableText"/>
            </w:pPr>
            <w:r>
              <w:t xml:space="preserve">Augmentation anticipata</w:t>
            </w:r>
          </w:p>
        </w:tc>
        <w:tc>
          <w:tcPr>
            <w:tcW w:w="2629" w:type="dxa"/>
          </w:tcPr>
          <w:p>
            <w:pPr>
              <w:pStyle w:val="TableText"/>
            </w:pPr>
            <w:r>
              <w:t xml:space="preserve">Garanzia di prestazione (SOH, RTE) e contratto LTSA</w:t>
            </w:r>
          </w:p>
        </w:tc>
      </w:tr>
      <w:tr>
        <w:tc>
          <w:tcPr>
            <w:tcW w:w="3784" w:type="dxa"/>
          </w:tcPr>
          <w:p>
            <w:pPr>
              <w:pStyle w:val="TableText"/>
            </w:pPr>
            <w:r>
              <w:t xml:space="preserve">Fuoco BESS / prescrizioni VVF</w:t>
            </w:r>
          </w:p>
        </w:tc>
        <w:tc>
          <w:tcPr>
            <w:tcW w:w="3226" w:type="dxa"/>
          </w:tcPr>
          <w:p>
            <w:pPr>
              <w:pStyle w:val="TableText"/>
            </w:pPr>
            <w:r>
              <w:t xml:space="preserve">Costi di distanze e protezioni, assicurazione</w:t>
            </w:r>
          </w:p>
        </w:tc>
        <w:tc>
          <w:tcPr>
            <w:tcW w:w="2629" w:type="dxa"/>
          </w:tcPr>
          <w:p>
            <w:pPr>
              <w:pStyle w:val="TableText"/>
            </w:pPr>
            <w:r>
              <w:t xml:space="preserve">Relazione di rischio incendio (doc. 01 §8)</w:t>
            </w:r>
          </w:p>
        </w:tc>
      </w:tr>
    </w:tbl>
    <w:p>
      <w:pPr>
        <w:pStyle w:val="Normal"/>
        <w:spacing w:after="60"/>
      </w:pPr>
    </w:p>
    <w:p>
      <w:pPr>
        <w:pStyle w:val="Normal"/>
        <w:pBdr>
          <w:bottom w:val="single" w:sz="6" w:space="1" w:color="A0A8AE"/>
        </w:pBdr>
      </w:pPr>
    </w:p>
    <w:p>
      <w:pPr>
        <w:pStyle w:val="Heading1"/>
      </w:pPr>
      <w:r>
        <w:t xml:space="preserve">6. Alternative di finanziamento e di contratto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290"/>
        <w:gridCol w:w="1940"/>
        <w:gridCol w:w="5407"/>
      </w:tblGrid>
      <w:tr>
        <w:trPr>
          <w:tblHeader/>
        </w:trPr>
        <w:tc>
          <w:tcPr>
            <w:tcW w:w="2290" w:type="dxa"/>
            <w:shd w:val="clear" w:color="auto" w:fill="E3EAEC"/>
          </w:tcPr>
          <w:p>
            <w:pPr>
              <w:pStyle w:val="TableText"/>
            </w:pPr>
            <w:r>
              <w:rPr>
                <w:b/>
              </w:rPr>
              <w:t xml:space="preserve">Modello</w:t>
            </w:r>
          </w:p>
        </w:tc>
        <w:tc>
          <w:tcPr>
            <w:tcW w:w="1940" w:type="dxa"/>
            <w:shd w:val="clear" w:color="auto" w:fill="E3EAEC"/>
          </w:tcPr>
          <w:p>
            <w:pPr>
              <w:pStyle w:val="TableText"/>
            </w:pPr>
            <w:r>
              <w:rPr>
                <w:b/>
              </w:rPr>
              <w:t xml:space="preserve">Quando conviene</w:t>
            </w:r>
          </w:p>
        </w:tc>
        <w:tc>
          <w:tcPr>
            <w:tcW w:w="5407" w:type="dxa"/>
            <w:shd w:val="clear" w:color="auto" w:fill="E3EAEC"/>
          </w:tcPr>
          <w:p>
            <w:pPr>
              <w:pStyle w:val="TableText"/>
            </w:pPr>
            <w:r>
              <w:rPr>
                <w:b/>
              </w:rPr>
              <w:t xml:space="preserve">Effetti sull'analisi</w:t>
            </w:r>
          </w:p>
        </w:tc>
      </w:tr>
      <w:tr>
        <w:tc>
          <w:tcPr>
            <w:tcW w:w="2290" w:type="dxa"/>
          </w:tcPr>
          <w:p>
            <w:pPr>
              <w:pStyle w:val="TableText"/>
            </w:pPr>
            <w:r>
              <w:t xml:space="preserve">Investimento diretto con debito corporate (caso base)</w:t>
            </w:r>
          </w:p>
        </w:tc>
        <w:tc>
          <w:tcPr>
            <w:tcW w:w="1940" w:type="dxa"/>
          </w:tcPr>
          <w:p>
            <w:pPr>
              <w:pStyle w:val="TableText"/>
            </w:pPr>
            <w:r>
              <w:t xml:space="preserve">Impresa con capienza fiscale e accesso al credito</w:t>
            </w:r>
          </w:p>
        </w:tc>
        <w:tc>
          <w:tcPr>
            <w:tcW w:w="5407" w:type="dxa"/>
          </w:tcPr>
          <w:p>
            <w:pPr>
              <w:pStyle w:val="TableText"/>
            </w:pPr>
            <w:r>
              <w:t xml:space="preserve">Massimo VAN; accesso a iper-ammortamento, ZES, Sabatini</w:t>
            </w:r>
          </w:p>
        </w:tc>
      </w:tr>
      <w:tr>
        <w:tc>
          <w:tcPr>
            <w:tcW w:w="2290" w:type="dxa"/>
          </w:tcPr>
          <w:p>
            <w:pPr>
              <w:pStyle w:val="TableText"/>
            </w:pPr>
            <w:r>
              <w:t xml:space="preserve">Leasing finanziario</w:t>
            </w:r>
          </w:p>
        </w:tc>
        <w:tc>
          <w:tcPr>
            <w:tcW w:w="1940" w:type="dxa"/>
          </w:tcPr>
          <w:p>
            <w:pPr>
              <w:pStyle w:val="TableText"/>
            </w:pPr>
            <w:r>
              <w:t xml:space="preserve">Impresa che vuole preservare le linee di credito</w:t>
            </w:r>
          </w:p>
        </w:tc>
        <w:tc>
          <w:tcPr>
            <w:tcW w:w="5407" w:type="dxa"/>
          </w:tcPr>
          <w:p>
            <w:pPr>
              <w:pStyle w:val="TableText"/>
            </w:pPr>
            <w:r>
              <w:t xml:space="preserve">Iper-ammortamento spetta all'utilizzatore secondo le regole della misura (da verificare)</w:t>
            </w:r>
          </w:p>
        </w:tc>
      </w:tr>
      <w:tr>
        <w:tc>
          <w:tcPr>
            <w:tcW w:w="2290" w:type="dxa"/>
          </w:tcPr>
          <w:p>
            <w:pPr>
              <w:pStyle w:val="TableText"/>
            </w:pPr>
            <w:r>
              <w:t xml:space="preserve">PPA on-site con terzo investitore (ESCo)</w:t>
            </w:r>
          </w:p>
        </w:tc>
        <w:tc>
          <w:tcPr>
            <w:tcW w:w="1940" w:type="dxa"/>
          </w:tcPr>
          <w:p>
            <w:pPr>
              <w:pStyle w:val="TableText"/>
            </w:pPr>
            <w:r>
              <w:t xml:space="preserve">Impresa senza capitale o capienza fiscale</w:t>
            </w:r>
          </w:p>
        </w:tc>
        <w:tc>
          <w:tcPr>
            <w:tcW w:w="5407" w:type="dxa"/>
          </w:tcPr>
          <w:p>
            <w:pPr>
              <w:pStyle w:val="TableText"/>
            </w:pPr>
            <w:r>
              <w:t xml:space="preserve">Nessun CAPEX; risparmio = costo evitato − prezzo PPA (sconto sul costo di prelievo da negoziare; indicativamente 15–25 %); gli incentivi fiscali restano all'investitore</w:t>
            </w:r>
          </w:p>
        </w:tc>
      </w:tr>
      <w:tr>
        <w:tc>
          <w:tcPr>
            <w:tcW w:w="2290" w:type="dxa"/>
          </w:tcPr>
          <w:p>
            <w:pPr>
              <w:pStyle w:val="TableText"/>
            </w:pPr>
            <w:r>
              <w:t xml:space="preserve">Green loan / sustainability-linked loan (BEI, InvestEU tramite banche)</w:t>
            </w:r>
          </w:p>
        </w:tc>
        <w:tc>
          <w:tcPr>
            <w:tcW w:w="1940" w:type="dxa"/>
          </w:tcPr>
          <w:p>
            <w:pPr>
              <w:pStyle w:val="TableText"/>
            </w:pPr>
            <w:r>
              <w:t xml:space="preserve">Progetti allineati alla Tassonomia UE (attività 4.1 e 4.10)</w:t>
            </w:r>
          </w:p>
        </w:tc>
        <w:tc>
          <w:tcPr>
            <w:tcW w:w="5407" w:type="dxa"/>
          </w:tcPr>
          <w:p>
            <w:pPr>
              <w:pStyle w:val="TableText"/>
            </w:pPr>
            <w:r>
              <w:t xml:space="preserve">Spread inferiore di 10–30 bp (indicativo)</w:t>
            </w:r>
          </w:p>
        </w:tc>
      </w:tr>
      <w:tr>
        <w:tc>
          <w:tcPr>
            <w:tcW w:w="2290" w:type="dxa"/>
          </w:tcPr>
          <w:p>
            <w:pPr>
              <w:pStyle w:val="TableText"/>
            </w:pPr>
            <w:r>
              <w:t xml:space="preserve">Comunità energetica / autoconsumo diffuso</w:t>
            </w:r>
          </w:p>
        </w:tc>
        <w:tc>
          <w:tcPr>
            <w:tcW w:w="1940" w:type="dxa"/>
          </w:tcPr>
          <w:p>
            <w:pPr>
              <w:pStyle w:val="TableText"/>
            </w:pPr>
            <w:r>
              <w:t xml:space="preserve">Surplus FV rilevante e utenze vicine</w:t>
            </w:r>
          </w:p>
        </w:tc>
        <w:tc>
          <w:tcPr>
            <w:tcW w:w="5407" w:type="dxa"/>
          </w:tcPr>
          <w:p>
            <w:pPr>
              <w:pStyle w:val="TableText"/>
            </w:pPr>
            <w:r>
              <w:t xml:space="preserve">Tariffa premio sull'energia condivisa; poco rilevante con autoconsumo all'86 %</w:t>
            </w:r>
          </w:p>
        </w:tc>
      </w:tr>
    </w:tbl>
    <w:p>
      <w:pPr>
        <w:pStyle w:val="Normal"/>
        <w:spacing w:after="60"/>
      </w:pPr>
    </w:p>
    <w:p>
      <w:pPr>
        <w:pStyle w:val="Normal"/>
        <w:pBdr>
          <w:bottom w:val="single" w:sz="6" w:space="1" w:color="A0A8AE"/>
        </w:pBdr>
      </w:pPr>
    </w:p>
    <w:p>
      <w:pPr>
        <w:pStyle w:val="Heading1"/>
      </w:pPr>
      <w:r>
        <w:t xml:space="preserve">7. Conclusioni</w:t>
      </w:r>
    </w:p>
    <w:p>
      <w:pPr>
        <w:pStyle w:val="ListParagraph"/>
      </w:pPr>
      <w:r>
        <w:t xml:space="preserve">•  </w:t>
      </w:r>
      <w:r>
        <w:t xml:space="preserve">Il fotovoltaico in autoconsumo per uno stabilimento a due turni è un investimento a basso rischio e ad alto rendimento anche senza incentivi (TIR &gt; 20 % in tutti gli scenari elementari).</w:t>
      </w:r>
    </w:p>
    <w:p>
      <w:pPr>
        <w:pStyle w:val="ListParagraph"/>
      </w:pPr>
      <w:r>
        <w:t xml:space="preserve">•  </w:t>
      </w:r>
      <w:r>
        <w:t xml:space="preserve">Il BESS behind-the-meter è oggi una scelta da motivare con vincoli di rete, incentivi al Sud, continuità di servizio o servizi di flessibilità; non con il solo spostamento dell'energia. Il simulatore permette di ripetere il calcolo con la curva di carico e il PUN orario reali dello stabilimento: è il primo passo consigliato.</w:t>
      </w:r>
    </w:p>
    <w:p>
      <w:pPr>
        <w:pStyle w:val="ListParagraph"/>
      </w:pPr>
      <w:r>
        <w:t xml:space="preserve">•  </w:t>
      </w:r>
      <w:r>
        <w:t xml:space="preserve">L'iper-ammortamento può aumentare il VAN del 15–20 % ma impone moduli B/C: la scelta del modulo va fatta confrontando il beneficio fiscale con il sovrapprezzo.</w:t>
      </w:r>
    </w:p>
    <w:p>
      <w:pPr>
        <w:pStyle w:val="Heading2"/>
      </w:pPr>
      <w:r>
        <w:t xml:space="preserve">Prossimi passi</w:t>
      </w:r>
    </w:p>
    <w:p>
      <w:pPr>
        <w:pStyle w:val="ListParagraph"/>
      </w:pPr>
      <w:r>
        <w:t xml:space="preserve">1. </w:t>
      </w:r>
      <w:r>
        <w:t xml:space="preserve">Raccolta della curva di carico quartoraria (portale del distributore) e delle bollette degli ultimi 12 mesi; caricamento nel simulatore.</w:t>
      </w:r>
    </w:p>
    <w:p>
      <w:pPr>
        <w:pStyle w:val="ListParagraph"/>
      </w:pPr>
      <w:r>
        <w:t xml:space="preserve">2. </w:t>
      </w:r>
      <w:r>
        <w:t xml:space="preserve">Calcolo PVGIS sul sito e rilievo dell'area o delle coperture (portata, ombre, vincoli).</w:t>
      </w:r>
    </w:p>
    <w:p>
      <w:pPr>
        <w:pStyle w:val="ListParagraph"/>
      </w:pPr>
      <w:r>
        <w:t xml:space="preserve">3. </w:t>
      </w:r>
      <w:r>
        <w:t xml:space="preserve">Richiesta di preventivo di connessione (TICA) per la modifica della connessione esistente.</w:t>
      </w:r>
    </w:p>
    <w:p>
      <w:pPr>
        <w:pStyle w:val="ListParagraph"/>
      </w:pPr>
      <w:r>
        <w:t xml:space="preserve">4. </w:t>
      </w:r>
      <w:r>
        <w:t xml:space="preserve">Richiesta di offerte EPC per il FV con e senza moduli ENEA B/C, e di offerte BESS 1–2 MWh con garanzia di prestazione.</w:t>
      </w:r>
    </w:p>
    <w:p>
      <w:pPr>
        <w:pStyle w:val="ListParagraph"/>
      </w:pPr>
      <w:r>
        <w:t xml:space="preserve">5. </w:t>
      </w:r>
      <w:r>
        <w:t xml:space="preserve">Verifica fiscale dell'ammissibilità a iper-ammortamento, ZES (se al Sud), Sabatini e bandi regionali aperti; prenotazione sulla piattaforma GSE.</w:t>
      </w:r>
    </w:p>
    <w:p/>
    <w:sectPr>
      <w:headerReference w:type="default" r:id="rId2"/>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tabs>
        <w:tab w:val="right" w:pos="9638"/>
      </w:tabs>
    </w:pPr>
    <w:r>
      <w:t xml:space="preserve">Bozza generata dal simulatore FV + BESS</w:t>
    </w:r>
    <w:r>
      <w:tab/>
      <w:t xml:space="preserve">Pag. </w:t>
    </w:r>
    <w:fldSimple w:instr=" PAGE ">
      <w:r>
        <w:t>1</w:t>
      </w:r>
    </w:fldSimple>
    <w:r>
      <w:t xml:space="preserve"> di </w:t>
    </w:r>
    <w:fldSimple w:instr=" NUMPAGES ">
      <w:r>
        <w:t>1</w:t>
      </w:r>
    </w:fldSimple>
  </w:p>
</w:ftr>
</file>

<file path=word/header1.xml><?xml version="1.0" encoding="utf-8"?>
<w:hdr xmlns:w="http://schemas.openxmlformats.org/wordprocessingml/2006/main" xmlns:r="http://schemas.openxmlformats.org/officeDocument/2006/relationships">
  <w:p>
    <w:pPr>
      <w:pStyle w:val="Header"/>
      <w:tabs>
        <w:tab w:val="right" w:pos="9638"/>
      </w:tabs>
    </w:pPr>
    <w:r>
      <w:t xml:space="preserve">Simulatore FV + BESS · FVB-ECO-001</w:t>
    </w:r>
    <w:r>
      <w:tab/>
      <w:t xml:space="preserve">Rev. A</w:t>
    </w:r>
  </w:p>
</w:hdr>
</file>

<file path=word/settings.xml><?xml version="1.0" encoding="utf-8"?>
<w:settings xmlns:w="http://schemas.openxmlformats.org/wordprocessingml/2006/main" xmlns:r="http://schemas.openxmlformats.org/officeDocument/2006/relationships">
  <w:defaultTabStop w:val="708"/>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0"/>
        <w:szCs w:val="20"/>
        <w:lang w:val="it-IT"/>
      </w:rPr>
    </w:rPrDefault>
    <w:pPrDefault>
      <w:pPr>
        <w:spacing w:after="100" w:line="264" w:lineRule="auto"/>
      </w:pPr>
    </w:pPrDefault>
  </w:docDefaults>
  <w:style w:type="paragraph" w:styleId="Normal" w:default="1">
    <w:name w:val="Normal"/>
  </w:style>
  <w:style w:type="paragraph" w:styleId="Title">
    <w:name w:val="Title"/>
    <w:basedOn w:val="Normal"/>
    <w:next w:val="Normal"/>
    <w:pPr>
      <w:keepNext/>
      <w:spacing w:after="200"/>
    </w:pPr>
    <w:rPr>
      <w:b/>
      <w:color w:val="13283A"/>
      <w:sz w:val="32"/>
      <w:szCs w:val="32"/>
    </w:rPr>
  </w:style>
  <w:style w:type="paragraph" w:styleId="Heading1">
    <w:name w:val="heading 1"/>
    <w:basedOn w:val="Normal"/>
    <w:next w:val="Normal"/>
    <w:pPr>
      <w:keepNext/>
      <w:spacing w:before="280" w:after="120"/>
      <w:pBdr>
        <w:bottom w:val="single" w:sz="4" w:space="2" w:color="B86A10"/>
      </w:pBdr>
      <w:outlineLvl w:val="0"/>
    </w:pPr>
    <w:rPr>
      <w:b/>
      <w:color w:val="13283A"/>
      <w:sz w:val="26"/>
      <w:szCs w:val="26"/>
    </w:rPr>
  </w:style>
  <w:style w:type="paragraph" w:styleId="Heading2">
    <w:name w:val="heading 2"/>
    <w:basedOn w:val="Normal"/>
    <w:next w:val="Normal"/>
    <w:pPr>
      <w:keepNext/>
      <w:spacing w:before="200" w:after="80"/>
      <w:outlineLvl w:val="1"/>
    </w:pPr>
    <w:rPr>
      <w:b/>
      <w:color w:val="13283A"/>
      <w:sz w:val="22"/>
      <w:szCs w:val="22"/>
    </w:rPr>
  </w:style>
  <w:style w:type="paragraph" w:styleId="Heading3">
    <w:name w:val="heading 3"/>
    <w:basedOn w:val="Normal"/>
    <w:next w:val="Normal"/>
    <w:pPr>
      <w:keepNext/>
      <w:spacing w:before="160" w:after="60"/>
      <w:outlineLvl w:val="2"/>
    </w:pPr>
    <w:rPr>
      <w:b/>
      <w:color w:val="57666F"/>
      <w:sz w:val="20"/>
      <w:szCs w:val="20"/>
    </w:rPr>
  </w:style>
  <w:style w:type="paragraph" w:styleId="Quote">
    <w:name w:val="Quote"/>
    <w:basedOn w:val="Normal"/>
    <w:pPr>
      <w:pBdr>
        <w:left w:val="single" w:sz="18" w:space="6" w:color="B86A10"/>
      </w:pBdr>
      <w:shd w:val="clear" w:color="auto" w:fill="FBF4E6"/>
      <w:ind w:left="170"/>
    </w:pPr>
    <w:rPr>
      <w:color w:val="57666F"/>
      <w:sz w:val="18"/>
      <w:szCs w:val="18"/>
    </w:rPr>
  </w:style>
  <w:style w:type="paragraph" w:styleId="Code">
    <w:name w:val="Code"/>
    <w:basedOn w:val="Normal"/>
    <w:pPr>
      <w:spacing w:after="0" w:line="240" w:lineRule="auto"/>
    </w:pPr>
    <w:rPr>
      <w:rFonts w:ascii="Consolas" w:hAnsi="Consolas" w:cs="Consolas"/>
      <w:sz w:val="16"/>
      <w:szCs w:val="16"/>
    </w:rPr>
  </w:style>
  <w:style w:type="paragraph" w:styleId="TableText">
    <w:name w:val="Table Text"/>
    <w:basedOn w:val="Normal"/>
    <w:pPr>
      <w:spacing w:after="0" w:line="240" w:lineRule="auto"/>
    </w:pPr>
    <w:rPr>
      <w:sz w:val="16"/>
      <w:szCs w:val="16"/>
    </w:rPr>
  </w:style>
  <w:style w:type="paragraph" w:styleId="ListParagraph">
    <w:name w:val="List Paragraph"/>
    <w:basedOn w:val="Normal"/>
    <w:pPr>
      <w:spacing w:after="40"/>
      <w:ind w:left="360" w:hanging="240"/>
    </w:pPr>
  </w:style>
  <w:style w:type="paragraph" w:styleId="Header">
    <w:name w:val="header"/>
    <w:basedOn w:val="Normal"/>
    <w:pPr>
      <w:spacing w:after="0"/>
      <w:pBdr>
        <w:bottom w:val="single" w:sz="4" w:space="2" w:color="A0A8AE"/>
      </w:pBdr>
    </w:pPr>
    <w:rPr>
      <w:color w:val="57666F"/>
      <w:sz w:val="15"/>
      <w:szCs w:val="15"/>
    </w:rPr>
  </w:style>
  <w:style w:type="paragraph" w:styleId="Footer">
    <w:name w:val="footer"/>
    <w:basedOn w:val="Normal"/>
    <w:pPr>
      <w:spacing w:after="0"/>
    </w:pPr>
    <w:rPr>
      <w:color w:val="57666F"/>
      <w:sz w:val="15"/>
      <w:szCs w:val="1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

<file path=docProps/app.xml><?xml version="1.0" encoding="utf-8"?>
<Properties xmlns="http://schemas.openxmlformats.org/officeDocument/2006/extended-properties">
  <Application>Simulatore FV + BESS</Application>
</Properties>
</file>

<file path=docProps/core.xml><?xml version="1.0" encoding="utf-8"?>
<cp:coreProperties xmlns:cp="http://schemas.openxmlformats.org/package/2006/metadata/core-properties" xmlns:dc="http://purl.org/dc/elements/1.1/" xmlns:dcterms="http://purl.org/dc/terms/" xmlns:xsi="http://www.w3.org/2001/XMLSchema-instance">
  <dc:title>Analisi economica – Impianto fotovoltaico industriale con sistema di accumulo</dc:title>
  <dc:creator>Simulatore FV + BESS</dc:creator>
  <dcterms:created xsi:type="dcterms:W3CDTF">2026-10-28T11:18:15Z</dcterms:created>
  <dcterms:modified xsi:type="dcterms:W3CDTF">2026-10-28T11:18:15Z</dcterms:modified>
</cp:coreProperties>
</file>