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Valutazione del CAPEX – Impianto FV industriale con BESS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511"/>
        <w:gridCol w:w="1384"/>
        <w:gridCol w:w="1395"/>
        <w:gridCol w:w="5348"/>
      </w:tblGrid>
      <w:tr>
        <w:trPr>
          <w:tblHeader/>
        </w:trPr>
        <w:tc>
          <w:tcPr>
            <w:tcW w:w="151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Documento</w:t>
            </w:r>
          </w:p>
        </w:tc>
        <w:tc>
          <w:tcPr>
            <w:tcW w:w="138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Revisione</w:t>
            </w:r>
          </w:p>
        </w:tc>
        <w:tc>
          <w:tcPr>
            <w:tcW w:w="139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Data</w:t>
            </w:r>
          </w:p>
        </w:tc>
        <w:tc>
          <w:tcPr>
            <w:tcW w:w="534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Stato</w:t>
            </w:r>
          </w:p>
        </w:tc>
      </w:tr>
      <w:tr>
        <w:tc>
          <w:tcPr>
            <w:tcW w:w="1511" w:type="dxa"/>
          </w:tcPr>
          <w:p>
            <w:pPr>
              <w:pStyle w:val="TableText"/>
            </w:pPr>
            <w:r>
              <w:t xml:space="preserve">FVB-CST-001</w:t>
            </w:r>
          </w:p>
        </w:tc>
        <w:tc>
          <w:tcPr>
            <w:tcW w:w="1384" w:type="dxa"/>
          </w:tcPr>
          <w:p>
            <w:pPr>
              <w:pStyle w:val="TableText"/>
            </w:pPr>
            <w:r>
              <w:t xml:space="preserve">A</w:t>
            </w:r>
          </w:p>
        </w:tc>
        <w:tc>
          <w:tcPr>
            <w:tcW w:w="1395" w:type="dxa"/>
          </w:tcPr>
          <w:p>
            <w:pPr>
              <w:pStyle w:val="TableText"/>
            </w:pPr>
            <w:r>
              <w:t xml:space="preserve">28/10/2026</w:t>
            </w:r>
          </w:p>
        </w:tc>
        <w:tc>
          <w:tcPr>
            <w:tcW w:w="5348" w:type="dxa"/>
          </w:tcPr>
          <w:p>
            <w:pPr>
              <w:pStyle w:val="TableText"/>
            </w:pPr>
            <w:r>
              <w:t xml:space="preserve">Emesso per commenti – stima di classe AACE 4</w:t>
            </w:r>
          </w:p>
        </w:tc>
      </w:tr>
    </w:tbl>
    <w:p>
      <w:pPr>
        <w:pStyle w:val="Normal"/>
        <w:spacing w:after="60"/>
      </w:pPr>
    </w:p>
    <w:p>
      <w:pPr>
        <w:pStyle w:val="Quote"/>
      </w:pPr>
      <w:r>
        <w:rPr>
          <w:b/>
        </w:rPr>
        <w:t xml:space="preserve">Avvertenza.</w:t>
      </w:r>
      <w:r>
        <w:t xml:space="preserve"> Stima parametrica per voci, basata sui benchmark di mercato raccolti in </w:t>
      </w:r>
      <w:r>
        <w:t xml:space="preserve">A2</w:t>
      </w:r>
      <w:r>
        <w:t xml:space="preserve"> (ottobre 2026). Molte voci sono stime motivate e non quotazioni: la stima va portata alla classe 3 con offerte di fornitori ed EPC prima della decisione di investimento. Prezzi in euro correnti 2026, IVA esclusa.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1. Sintesi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3551"/>
        <w:gridCol w:w="6087"/>
      </w:tblGrid>
      <w:tr>
        <w:trPr>
          <w:tblHeader/>
        </w:trPr>
        <w:tc>
          <w:tcPr>
            <w:tcW w:w="355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Grandezza</w:t>
            </w:r>
          </w:p>
        </w:tc>
        <w:tc>
          <w:tcPr>
            <w:tcW w:w="608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Caso A (3 MWp a terra + BESS 2 MWh / 1 MW, Milano)</w:t>
            </w:r>
          </w:p>
        </w:tc>
      </w:tr>
      <w:tr>
        <w:tc>
          <w:tcPr>
            <w:tcW w:w="3551" w:type="dxa"/>
          </w:tcPr>
          <w:p>
            <w:pPr>
              <w:pStyle w:val="TableText"/>
            </w:pPr>
            <w:r>
              <w:t xml:space="preserve">CAPEX deterministico</w:t>
            </w:r>
          </w:p>
        </w:tc>
        <w:tc>
          <w:tcPr>
            <w:tcW w:w="6087" w:type="dxa"/>
          </w:tcPr>
          <w:p>
            <w:pPr>
              <w:pStyle w:val="TableText"/>
            </w:pPr>
            <w:r>
              <w:rPr>
                <w:b/>
              </w:rPr>
              <w:t xml:space="preserve">2.409 k€</w:t>
            </w:r>
            <w:r>
              <w:t xml:space="preserve"> (di cui contingenze 175 k€ e costi del committente 44 k€)</w:t>
            </w:r>
          </w:p>
        </w:tc>
      </w:tr>
      <w:tr>
        <w:tc>
          <w:tcPr>
            <w:tcW w:w="355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6087" w:type="dxa"/>
          </w:tcPr>
          <w:p>
            <w:pPr>
              <w:pStyle w:val="TableText"/>
            </w:pPr>
            <w:r>
              <w:t xml:space="preserve">1.848 k€ = </w:t>
            </w:r>
            <w:r>
              <w:rPr>
                <w:b/>
              </w:rPr>
              <w:t xml:space="preserve">616 €/kWp</w:t>
            </w:r>
          </w:p>
        </w:tc>
      </w:tr>
      <w:tr>
        <w:tc>
          <w:tcPr>
            <w:tcW w:w="3551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6087" w:type="dxa"/>
          </w:tcPr>
          <w:p>
            <w:pPr>
              <w:pStyle w:val="TableText"/>
            </w:pPr>
            <w:r>
              <w:t xml:space="preserve">561 k€ = </w:t>
            </w:r>
            <w:r>
              <w:rPr>
                <w:b/>
              </w:rPr>
              <w:t xml:space="preserve">281 €/kWh</w:t>
            </w:r>
            <w:r>
              <w:t xml:space="preserve"> (561 €/kW)</w:t>
            </w:r>
          </w:p>
        </w:tc>
      </w:tr>
      <w:tr>
        <w:tc>
          <w:tcPr>
            <w:tcW w:w="3551" w:type="dxa"/>
          </w:tcPr>
          <w:p>
            <w:pPr>
              <w:pStyle w:val="TableText"/>
            </w:pPr>
            <w:r>
              <w:t xml:space="preserve">Intervallo Monte Carlo (P10 – P50 – P90)</w:t>
            </w:r>
          </w:p>
        </w:tc>
        <w:tc>
          <w:tcPr>
            <w:tcW w:w="6087" w:type="dxa"/>
          </w:tcPr>
          <w:p>
            <w:pPr>
              <w:pStyle w:val="TableText"/>
            </w:pPr>
            <w:r>
              <w:t xml:space="preserve">2.288 – 2.430 – 2.581 k€</w:t>
            </w:r>
          </w:p>
        </w:tc>
      </w:tr>
      <w:tr>
        <w:tc>
          <w:tcPr>
            <w:tcW w:w="3551" w:type="dxa"/>
          </w:tcPr>
          <w:p>
            <w:pPr>
              <w:pStyle w:val="TableText"/>
            </w:pPr>
            <w:r>
              <w:t xml:space="preserve">FV €/kWp (P10 – P50 – P90)</w:t>
            </w:r>
          </w:p>
        </w:tc>
        <w:tc>
          <w:tcPr>
            <w:tcW w:w="6087" w:type="dxa"/>
          </w:tcPr>
          <w:p>
            <w:pPr>
              <w:pStyle w:val="TableText"/>
            </w:pPr>
            <w:r>
              <w:t xml:space="preserve">582 – 623 – 669</w:t>
            </w:r>
          </w:p>
        </w:tc>
      </w:tr>
      <w:tr>
        <w:tc>
          <w:tcPr>
            <w:tcW w:w="3551" w:type="dxa"/>
          </w:tcPr>
          <w:p>
            <w:pPr>
              <w:pStyle w:val="TableText"/>
            </w:pPr>
            <w:r>
              <w:t xml:space="preserve">BESS €/kWh (P10 – P50 – P90)</w:t>
            </w:r>
          </w:p>
        </w:tc>
        <w:tc>
          <w:tcPr>
            <w:tcW w:w="6087" w:type="dxa"/>
          </w:tcPr>
          <w:p>
            <w:pPr>
              <w:pStyle w:val="TableText"/>
            </w:pPr>
            <w:r>
              <w:t xml:space="preserve">254 – 279 – 306</w:t>
            </w:r>
          </w:p>
        </w:tc>
      </w:tr>
      <w:tr>
        <w:tc>
          <w:tcPr>
            <w:tcW w:w="3551" w:type="dxa"/>
          </w:tcPr>
          <w:p>
            <w:pPr>
              <w:pStyle w:val="TableText"/>
            </w:pPr>
            <w:r>
              <w:t xml:space="preserve">Classe di stima</w:t>
            </w:r>
          </w:p>
        </w:tc>
        <w:tc>
          <w:tcPr>
            <w:tcW w:w="6087" w:type="dxa"/>
          </w:tcPr>
          <w:p>
            <w:pPr>
              <w:pStyle w:val="TableText"/>
            </w:pPr>
            <w:r>
              <w:t xml:space="preserve">AACE 18R-97 classe 4 (accuratezza attesa −20 % / +30 %)</w:t>
            </w:r>
          </w:p>
        </w:tc>
      </w:tr>
      <w:tr>
        <w:tc>
          <w:tcPr>
            <w:tcW w:w="3551" w:type="dxa"/>
          </w:tcPr>
          <w:p>
            <w:pPr>
              <w:pStyle w:val="TableText"/>
            </w:pPr>
            <w:r>
              <w:t xml:space="preserve">Contingenza consigliata</w:t>
            </w:r>
          </w:p>
        </w:tc>
        <w:tc>
          <w:tcPr>
            <w:tcW w:w="6087" w:type="dxa"/>
          </w:tcPr>
          <w:p>
            <w:pPr>
              <w:pStyle w:val="TableText"/>
            </w:pPr>
            <w:r>
              <w:rPr>
                <w:b/>
              </w:rPr>
              <w:t xml:space="preserve">12–13 %</w:t>
            </w:r>
            <w:r>
              <w:t xml:space="preserve"> dei costi diretti per un budget P80 (oggi nel simulatore: 8 %)</w:t>
            </w:r>
          </w:p>
        </w:tc>
      </w:tr>
      <w:tr>
        <w:tc>
          <w:tcPr>
            <w:tcW w:w="3551" w:type="dxa"/>
          </w:tcPr>
          <w:p>
            <w:pPr>
              <w:pStyle w:val="TableText"/>
            </w:pPr>
            <w:r>
              <w:t xml:space="preserve">Validità</w:t>
            </w:r>
          </w:p>
        </w:tc>
        <w:tc>
          <w:tcPr>
            <w:tcW w:w="6087" w:type="dxa"/>
          </w:tcPr>
          <w:p>
            <w:pPr>
              <w:pStyle w:val="TableText"/>
            </w:pPr>
            <w:r>
              <w:t xml:space="preserve">3 mesi; da aggiornare con gli indici dei moduli e delle celle LFP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t xml:space="preserve">Messaggi principali:</w:t>
      </w:r>
    </w:p>
    <w:p>
      <w:pPr>
        <w:pStyle w:val="ListParagraph"/>
      </w:pPr>
      <w:r>
        <w:t xml:space="preserve">•  </w:t>
      </w:r>
      <w:r>
        <w:t xml:space="preserve">Il CAPEX FV (616 €/kWp a terra fisso, 534–578 €/kWp su copertura, 671 €/kWp con tracker) è in linea con i totali EPC italiani 2026 (0,62 €/Wp a terra fisso, 0,65 €/Wp su tetto C&amp;I 0,5–2 MWp, 0,69 €/Wp tracker, A2 §1.2).</w:t>
      </w:r>
    </w:p>
    <w:p>
      <w:pPr>
        <w:pStyle w:val="ListParagraph"/>
      </w:pPr>
      <w:r>
        <w:t xml:space="preserve">•  </w:t>
      </w:r>
      <w:r>
        <w:t xml:space="preserve">Moduli e montaggi pesano un terzo del CAPEX FV. Il prezzo dei moduli è salito nel 2026 (0,108 → 0,15 €/Wp per l'alta efficienza tra gennaio e maggio): è la voce di mercato più volatile.</w:t>
      </w:r>
    </w:p>
    <w:p>
      <w:pPr>
        <w:pStyle w:val="ListParagraph"/>
      </w:pPr>
      <w:r>
        <w:t xml:space="preserve">•  </w:t>
      </w:r>
      <w:r>
        <w:t xml:space="preserve">Il BESS C&amp;I costa circa il doppio del BESS utility (281 contro ~110–150 €/kWh dei riferimenti MACSE e BNEF) per le economie di scala, i PCS piccoli e l'integrazione nella cabina d'utente.</w:t>
      </w:r>
    </w:p>
    <w:p>
      <w:pPr>
        <w:pStyle w:val="ListParagraph"/>
      </w:pPr>
      <w:r>
        <w:t xml:space="preserve">•  </w:t>
      </w:r>
      <w:r>
        <w:t xml:space="preserve">La contingenza dell'8 % copre il P50 ma non il P80: per il budget di approvazione si consiglia il 12–13 %.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2. Metodo</w:t>
      </w:r>
    </w:p>
    <w:p>
      <w:pPr>
        <w:pStyle w:val="ListParagraph"/>
      </w:pPr>
      <w:r>
        <w:t xml:space="preserve">1. </w:t>
      </w:r>
      <w:r>
        <w:rPr>
          <w:b/>
        </w:rPr>
        <w:t xml:space="preserve">Struttura per voci (WBS di costo).</w:t>
      </w:r>
      <w:r>
        <w:t xml:space="preserve"> 11 voci FV e 7 voci BESS, ciascuna con un'unità di misura che segue il driver di costo: €/kWp per le voci proporzionali alla potenza DC, €/kWh per l'energia del BESS (celle, container, installazione), €/kW per la conversione (PCS, trasformatori), € a corpo per le voci fisse (EMS/SCADA).</w:t>
      </w:r>
    </w:p>
    <w:p>
      <w:pPr>
        <w:pStyle w:val="ListParagraph"/>
      </w:pPr>
      <w:r>
        <w:t xml:space="preserve">2. </w:t>
      </w:r>
      <w:r>
        <w:rPr>
          <w:b/>
        </w:rPr>
        <w:t xml:space="preserve">Valori unitari</w:t>
      </w:r>
      <w:r>
        <w:t xml:space="preserve"> dai benchmark 2025–2026 (A2 §1–2), con un valore tipico e un intervallo min–max per voce.</w:t>
      </w:r>
    </w:p>
    <w:p>
      <w:pPr>
        <w:pStyle w:val="ListParagraph"/>
      </w:pPr>
      <w:r>
        <w:t xml:space="preserve">3. </w:t>
      </w:r>
      <w:r>
        <w:rPr>
          <w:b/>
        </w:rPr>
        <w:t xml:space="preserve">Voci dipendenti dalla tipologia di installazione</w:t>
      </w:r>
      <w:r>
        <w:t xml:space="preserve"> (strutture, opere civili, sicurezza, sviluppo, montaggi): valori diversi per a terra fisso, tracker, falda, est-ovest su tetto piano (tabella </w:t>
      </w:r>
      <w:r>
        <w:rPr>
          <w:rFonts w:ascii="Consolas" w:hAnsi="Consolas" w:cs="Consolas"/>
        </w:rPr>
        <w:t xml:space="preserve">MOUNT_CAPEX</w:t>
      </w:r>
      <w:r>
        <w:t xml:space="preserve"> in </w:t>
      </w:r>
      <w:r>
        <w:rPr>
          <w:rFonts w:ascii="Consolas" w:hAnsi="Consolas" w:cs="Consolas"/>
        </w:rPr>
        <w:t xml:space="preserve">js/data.js</w:t>
      </w:r>
      <w:r>
        <w:t xml:space="preserve">).</w:t>
      </w:r>
    </w:p>
    <w:p>
      <w:pPr>
        <w:pStyle w:val="ListParagraph"/>
      </w:pPr>
      <w:r>
        <w:t xml:space="preserve">4. </w:t>
      </w:r>
      <w:r>
        <w:rPr>
          <w:b/>
        </w:rPr>
        <w:t xml:space="preserve">Contingenze</w:t>
      </w:r>
      <w:r>
        <w:t xml:space="preserve"> (8 %) e </w:t>
      </w:r>
      <w:r>
        <w:rPr>
          <w:b/>
        </w:rPr>
        <w:t xml:space="preserve">costi del committente</w:t>
      </w:r>
      <w:r>
        <w:t xml:space="preserve"> (2 %: project management interno, assicurazione CAR, legali) sui costi diretti.</w:t>
      </w:r>
    </w:p>
    <w:p>
      <w:pPr>
        <w:pStyle w:val="ListParagraph"/>
      </w:pPr>
      <w:r>
        <w:t xml:space="preserve">5. </w:t>
      </w:r>
      <w:r>
        <w:rPr>
          <w:b/>
        </w:rPr>
        <w:t xml:space="preserve">Analisi di rischio Monte Carlo</w:t>
      </w:r>
      <w:r>
        <w:t xml:space="preserve"> (</w:t>
      </w:r>
      <w:r>
        <w:rPr>
          <w:rFonts w:ascii="Consolas" w:hAnsi="Consolas" w:cs="Consolas"/>
        </w:rPr>
        <w:t xml:space="preserve">node tools/capex-montecarlo.js</w:t>
      </w:r>
      <w:r>
        <w:t xml:space="preserve">, 20.000 iterazioni): distribuzioni triangolari min/tipico/max per voce; moduli, DC block e PCS correlati da un fattore di mercato comune (0,7) per rappresentare l'andamento congiunto di polisilicio, celle e semiconduttori.</w:t>
      </w:r>
    </w:p>
    <w:p>
      <w:pPr>
        <w:pStyle w:val="ListParagraph"/>
      </w:pPr>
      <w:r>
        <w:t xml:space="preserve">6. </w:t>
      </w:r>
      <w:r>
        <w:rPr>
          <w:b/>
        </w:rPr>
        <w:t xml:space="preserve">Esclusioni</w:t>
      </w:r>
      <w:r>
        <w:t xml:space="preserve">: IVA, oneri finanziari in costruzione, acquisto del terreno, rinforzi di rete a carico dell'utente oltre il preventivo TICA, bonifiche, demolizioni, adeguamento strutturale delle coperture, compensazioni ambientali, costi di sviluppo pregressi.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3. CAPEX per voce – caso A</w:t>
      </w:r>
    </w:p>
    <w:p>
      <w:pPr>
        <w:pStyle w:val="Heading2"/>
      </w:pPr>
      <w:r>
        <w:t xml:space="preserve">3.1 Fotovoltaico (3.000 kWp, a terra struttura fissa)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4838"/>
        <w:gridCol w:w="819"/>
        <w:gridCol w:w="1704"/>
        <w:gridCol w:w="819"/>
        <w:gridCol w:w="1459"/>
      </w:tblGrid>
      <w:tr>
        <w:trPr>
          <w:tblHeader/>
        </w:trPr>
        <w:tc>
          <w:tcPr>
            <w:tcW w:w="483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81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Unitario</w:t>
            </w:r>
          </w:p>
        </w:tc>
        <w:tc>
          <w:tcPr>
            <w:tcW w:w="1704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Min – max benchmark</w:t>
            </w:r>
          </w:p>
        </w:tc>
        <w:tc>
          <w:tcPr>
            <w:tcW w:w="81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Totale €</w:t>
            </w:r>
          </w:p>
        </w:tc>
        <w:tc>
          <w:tcPr>
            <w:tcW w:w="145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Quota sul totale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Moduli fotovoltaici TOPCon bifacciali, franco cantiere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130 €/kWp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120 – 160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390.000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16,2 %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Inverter di stringa 350 kW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35 €/kWp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24 – 50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105.000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4,4 %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Strutture fisse infisse o a vite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50 €/kWp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40 – 70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150.000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6,2 %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BOS elettrico DC/AC (cavi, quadri, cavidotti, terra, SPD)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60 €/kWp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40 – 90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180.000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7,5 %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Cabina di trasformazione, trasformatore 3.150 kVA, quadri MT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50 €/kWp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40 – 70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150.000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6,2 %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Connessione (TICA) e adeguamento della cabina utente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30 €/kWp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10 – 80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90.000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3,7 %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Opere civili, viabilità, drenaggi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35 €/kWp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20 – 60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105.000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4,4 %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Recinzione, videosorveglianza, antintrusione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20 €/kWp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10 – 35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60.000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2,5 %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Montaggi meccanici ed elettrici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80 €/kWp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50 – 120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240.000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10,0 %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Ingegneria, direzione lavori, coordinamento sicurezza, collaudi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30 €/kWp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20 – 50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90.000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3,7 %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t xml:space="preserve">Sviluppo, autorizzazioni, pratiche GSE e distributore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40 €/kWp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20 – 100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t xml:space="preserve">120.000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>5,0 %</w:t>
            </w:r>
          </w:p>
        </w:tc>
      </w:tr>
      <w:tr>
        <w:tc>
          <w:tcPr>
            <w:tcW w:w="4838" w:type="dxa"/>
          </w:tcPr>
          <w:p>
            <w:pPr>
              <w:pStyle w:val="TableText"/>
            </w:pPr>
            <w:r>
              <w:rPr>
                <w:b/>
              </w:rPr>
              <w:t xml:space="preserve">Costi diretti FV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560 €/kWp</w:t>
            </w:r>
          </w:p>
        </w:tc>
        <w:tc>
          <w:tcPr>
            <w:tcW w:w="1704" w:type="dxa"/>
          </w:tcPr>
          <w:p>
            <w:pPr>
              <w:pStyle w:val="TableText"/>
              <w:jc w:val="right"/>
            </w:pPr>
            <w:r>
              <w:t xml:space="preserve">394 – 885</w:t>
            </w:r>
          </w:p>
        </w:tc>
        <w:tc>
          <w:tcPr>
            <w:tcW w:w="819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1.680.000</w:t>
            </w:r>
          </w:p>
        </w:tc>
        <w:tc>
          <w:tcPr>
            <w:tcW w:w="1459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3.2 Sistema di accumulo (2.000 kWh / 1.000 kW, 8 cabinet AC)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5024"/>
        <w:gridCol w:w="789"/>
        <w:gridCol w:w="1643"/>
        <w:gridCol w:w="775"/>
        <w:gridCol w:w="1407"/>
      </w:tblGrid>
      <w:tr>
        <w:trPr>
          <w:tblHeader/>
        </w:trPr>
        <w:tc>
          <w:tcPr>
            <w:tcW w:w="502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78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Unitario</w:t>
            </w:r>
          </w:p>
        </w:tc>
        <w:tc>
          <w:tcPr>
            <w:tcW w:w="1643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Min – max benchmark</w:t>
            </w:r>
          </w:p>
        </w:tc>
        <w:tc>
          <w:tcPr>
            <w:tcW w:w="775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Totale €</w:t>
            </w:r>
          </w:p>
        </w:tc>
        <w:tc>
          <w:tcPr>
            <w:tcW w:w="1407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Quota sul totale</w:t>
            </w:r>
          </w:p>
        </w:tc>
      </w:tr>
      <w:tr>
        <w:tc>
          <w:tcPr>
            <w:tcW w:w="5024" w:type="dxa"/>
          </w:tcPr>
          <w:p>
            <w:pPr>
              <w:pStyle w:val="TableText"/>
            </w:pPr>
            <w:r>
              <w:t xml:space="preserve">DC block: celle LFP, moduli, rack, BMS, involucro, HVAC, antincendio</w:t>
            </w:r>
          </w:p>
        </w:tc>
        <w:tc>
          <w:tcPr>
            <w:tcW w:w="789" w:type="dxa"/>
          </w:tcPr>
          <w:p>
            <w:pPr>
              <w:pStyle w:val="TableText"/>
              <w:jc w:val="right"/>
            </w:pPr>
            <w:r>
              <w:t xml:space="preserve">110 €/kWh</w:t>
            </w:r>
          </w:p>
        </w:tc>
        <w:tc>
          <w:tcPr>
            <w:tcW w:w="1643" w:type="dxa"/>
          </w:tcPr>
          <w:p>
            <w:pPr>
              <w:pStyle w:val="TableText"/>
              <w:jc w:val="right"/>
            </w:pPr>
            <w:r>
              <w:t xml:space="preserve">75 – 150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220.000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9,1 %</w:t>
            </w:r>
          </w:p>
        </w:tc>
      </w:tr>
      <w:tr>
        <w:tc>
          <w:tcPr>
            <w:tcW w:w="5024" w:type="dxa"/>
          </w:tcPr>
          <w:p>
            <w:pPr>
              <w:pStyle w:val="TableText"/>
            </w:pPr>
            <w:r>
              <w:t xml:space="preserve">PCS bidirezionali</w:t>
            </w:r>
          </w:p>
        </w:tc>
        <w:tc>
          <w:tcPr>
            <w:tcW w:w="789" w:type="dxa"/>
          </w:tcPr>
          <w:p>
            <w:pPr>
              <w:pStyle w:val="TableText"/>
              <w:jc w:val="right"/>
            </w:pPr>
            <w:r>
              <w:t xml:space="preserve">60 €/kW</w:t>
            </w:r>
          </w:p>
        </w:tc>
        <w:tc>
          <w:tcPr>
            <w:tcW w:w="1643" w:type="dxa"/>
          </w:tcPr>
          <w:p>
            <w:pPr>
              <w:pStyle w:val="TableText"/>
              <w:jc w:val="right"/>
            </w:pPr>
            <w:r>
              <w:t xml:space="preserve">40 – 90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60.000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2,5 %</w:t>
            </w:r>
          </w:p>
        </w:tc>
      </w:tr>
      <w:tr>
        <w:tc>
          <w:tcPr>
            <w:tcW w:w="5024" w:type="dxa"/>
          </w:tcPr>
          <w:p>
            <w:pPr>
              <w:pStyle w:val="TableText"/>
            </w:pPr>
            <w:r>
              <w:t xml:space="preserve">BoP elettrico: trasformatore 1.250 kVA, quadri MT, cavi, protezioni</w:t>
            </w:r>
          </w:p>
        </w:tc>
        <w:tc>
          <w:tcPr>
            <w:tcW w:w="789" w:type="dxa"/>
          </w:tcPr>
          <w:p>
            <w:pPr>
              <w:pStyle w:val="TableText"/>
              <w:jc w:val="right"/>
            </w:pPr>
            <w:r>
              <w:t xml:space="preserve">70 €/kW</w:t>
            </w:r>
          </w:p>
        </w:tc>
        <w:tc>
          <w:tcPr>
            <w:tcW w:w="1643" w:type="dxa"/>
          </w:tcPr>
          <w:p>
            <w:pPr>
              <w:pStyle w:val="TableText"/>
              <w:jc w:val="right"/>
            </w:pPr>
            <w:r>
              <w:t xml:space="preserve">40 – 120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70.000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2,9 %</w:t>
            </w:r>
          </w:p>
        </w:tc>
      </w:tr>
      <w:tr>
        <w:tc>
          <w:tcPr>
            <w:tcW w:w="5024" w:type="dxa"/>
          </w:tcPr>
          <w:p>
            <w:pPr>
              <w:pStyle w:val="TableText"/>
            </w:pPr>
            <w:r>
              <w:t xml:space="preserve">EMS, SCADA, integrazione con il CCI</w:t>
            </w:r>
          </w:p>
        </w:tc>
        <w:tc>
          <w:tcPr>
            <w:tcW w:w="789" w:type="dxa"/>
          </w:tcPr>
          <w:p>
            <w:pPr>
              <w:pStyle w:val="TableText"/>
              <w:jc w:val="right"/>
            </w:pPr>
            <w:r>
              <w:t xml:space="preserve">40.000 €</w:t>
            </w:r>
          </w:p>
        </w:tc>
        <w:tc>
          <w:tcPr>
            <w:tcW w:w="1643" w:type="dxa"/>
          </w:tcPr>
          <w:p>
            <w:pPr>
              <w:pStyle w:val="TableText"/>
              <w:jc w:val="right"/>
            </w:pPr>
            <w:r>
              <w:t xml:space="preserve">20.000 – 80.000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40.000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1,7 %</w:t>
            </w:r>
          </w:p>
        </w:tc>
      </w:tr>
      <w:tr>
        <w:tc>
          <w:tcPr>
            <w:tcW w:w="5024" w:type="dxa"/>
          </w:tcPr>
          <w:p>
            <w:pPr>
              <w:pStyle w:val="TableText"/>
            </w:pPr>
            <w:r>
              <w:t xml:space="preserve">Installazione, basamenti, trasporti, messa in servizio</w:t>
            </w:r>
          </w:p>
        </w:tc>
        <w:tc>
          <w:tcPr>
            <w:tcW w:w="789" w:type="dxa"/>
          </w:tcPr>
          <w:p>
            <w:pPr>
              <w:pStyle w:val="TableText"/>
              <w:jc w:val="right"/>
            </w:pPr>
            <w:r>
              <w:t xml:space="preserve">40 €/kWh</w:t>
            </w:r>
          </w:p>
        </w:tc>
        <w:tc>
          <w:tcPr>
            <w:tcW w:w="1643" w:type="dxa"/>
          </w:tcPr>
          <w:p>
            <w:pPr>
              <w:pStyle w:val="TableText"/>
              <w:jc w:val="right"/>
            </w:pPr>
            <w:r>
              <w:t xml:space="preserve">25 – 70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80.000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3,3 %</w:t>
            </w:r>
          </w:p>
        </w:tc>
      </w:tr>
      <w:tr>
        <w:tc>
          <w:tcPr>
            <w:tcW w:w="5024" w:type="dxa"/>
          </w:tcPr>
          <w:p>
            <w:pPr>
              <w:pStyle w:val="TableText"/>
            </w:pPr>
            <w:r>
              <w:t xml:space="preserve">Prevenzione incendi e distanze di sicurezza</w:t>
            </w:r>
          </w:p>
        </w:tc>
        <w:tc>
          <w:tcPr>
            <w:tcW w:w="789" w:type="dxa"/>
          </w:tcPr>
          <w:p>
            <w:pPr>
              <w:pStyle w:val="TableText"/>
              <w:jc w:val="right"/>
            </w:pPr>
            <w:r>
              <w:t xml:space="preserve">5 €/kWh</w:t>
            </w:r>
          </w:p>
        </w:tc>
        <w:tc>
          <w:tcPr>
            <w:tcW w:w="1643" w:type="dxa"/>
          </w:tcPr>
          <w:p>
            <w:pPr>
              <w:pStyle w:val="TableText"/>
              <w:jc w:val="right"/>
            </w:pPr>
            <w:r>
              <w:t xml:space="preserve">3 – 10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10.000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0,4 %</w:t>
            </w:r>
          </w:p>
        </w:tc>
      </w:tr>
      <w:tr>
        <w:tc>
          <w:tcPr>
            <w:tcW w:w="5024" w:type="dxa"/>
          </w:tcPr>
          <w:p>
            <w:pPr>
              <w:pStyle w:val="TableText"/>
            </w:pPr>
            <w:r>
              <w:t xml:space="preserve">Ingegneria, permessi, aggiornamento della connessione</w:t>
            </w:r>
          </w:p>
        </w:tc>
        <w:tc>
          <w:tcPr>
            <w:tcW w:w="789" w:type="dxa"/>
          </w:tcPr>
          <w:p>
            <w:pPr>
              <w:pStyle w:val="TableText"/>
              <w:jc w:val="right"/>
            </w:pPr>
            <w:r>
              <w:t xml:space="preserve">15 €/kWh</w:t>
            </w:r>
          </w:p>
        </w:tc>
        <w:tc>
          <w:tcPr>
            <w:tcW w:w="1643" w:type="dxa"/>
          </w:tcPr>
          <w:p>
            <w:pPr>
              <w:pStyle w:val="TableText"/>
              <w:jc w:val="right"/>
            </w:pPr>
            <w:r>
              <w:t xml:space="preserve">10 – 30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30.000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1,2 %</w:t>
            </w:r>
          </w:p>
        </w:tc>
      </w:tr>
      <w:tr>
        <w:tc>
          <w:tcPr>
            <w:tcW w:w="5024" w:type="dxa"/>
          </w:tcPr>
          <w:p>
            <w:pPr>
              <w:pStyle w:val="TableText"/>
            </w:pPr>
            <w:r>
              <w:rPr>
                <w:b/>
              </w:rPr>
              <w:t xml:space="preserve">Costi diretti BESS</w:t>
            </w:r>
          </w:p>
        </w:tc>
        <w:tc>
          <w:tcPr>
            <w:tcW w:w="789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255 €/kWh</w:t>
            </w:r>
          </w:p>
        </w:tc>
        <w:tc>
          <w:tcPr>
            <w:tcW w:w="1643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510.000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3.3 Riepilogo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4581"/>
        <w:gridCol w:w="1867"/>
        <w:gridCol w:w="1833"/>
        <w:gridCol w:w="1357"/>
      </w:tblGrid>
      <w:tr>
        <w:trPr>
          <w:tblHeader/>
        </w:trPr>
        <w:tc>
          <w:tcPr>
            <w:tcW w:w="458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1867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€</w:t>
            </w:r>
          </w:p>
        </w:tc>
        <w:tc>
          <w:tcPr>
            <w:tcW w:w="1833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€/kWp FV</w:t>
            </w:r>
          </w:p>
        </w:tc>
        <w:tc>
          <w:tcPr>
            <w:tcW w:w="1357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Quota</w:t>
            </w:r>
          </w:p>
        </w:tc>
      </w:tr>
      <w:tr>
        <w:tc>
          <w:tcPr>
            <w:tcW w:w="4581" w:type="dxa"/>
          </w:tcPr>
          <w:p>
            <w:pPr>
              <w:pStyle w:val="TableText"/>
            </w:pPr>
            <w:r>
              <w:t xml:space="preserve">Costi diretti FV</w:t>
            </w:r>
          </w:p>
        </w:tc>
        <w:tc>
          <w:tcPr>
            <w:tcW w:w="1867" w:type="dxa"/>
          </w:tcPr>
          <w:p>
            <w:pPr>
              <w:pStyle w:val="TableText"/>
              <w:jc w:val="right"/>
            </w:pPr>
            <w:r>
              <w:t xml:space="preserve">1.680.000</w:t>
            </w:r>
          </w:p>
        </w:tc>
        <w:tc>
          <w:tcPr>
            <w:tcW w:w="1833" w:type="dxa"/>
          </w:tcPr>
          <w:p>
            <w:pPr>
              <w:pStyle w:val="TableText"/>
              <w:jc w:val="right"/>
            </w:pPr>
            <w:r>
              <w:t xml:space="preserve">560</w:t>
            </w:r>
          </w:p>
        </w:tc>
        <w:tc>
          <w:tcPr>
            <w:tcW w:w="1357" w:type="dxa"/>
          </w:tcPr>
          <w:p>
            <w:pPr>
              <w:pStyle w:val="TableText"/>
              <w:jc w:val="right"/>
            </w:pPr>
            <w:r>
              <w:t xml:space="preserve">69,7 %</w:t>
            </w:r>
          </w:p>
        </w:tc>
      </w:tr>
      <w:tr>
        <w:tc>
          <w:tcPr>
            <w:tcW w:w="4581" w:type="dxa"/>
          </w:tcPr>
          <w:p>
            <w:pPr>
              <w:pStyle w:val="TableText"/>
            </w:pPr>
            <w:r>
              <w:t xml:space="preserve">Costi diretti BESS</w:t>
            </w:r>
          </w:p>
        </w:tc>
        <w:tc>
          <w:tcPr>
            <w:tcW w:w="1867" w:type="dxa"/>
          </w:tcPr>
          <w:p>
            <w:pPr>
              <w:pStyle w:val="TableText"/>
              <w:jc w:val="right"/>
            </w:pPr>
            <w:r>
              <w:t xml:space="preserve">510.000</w:t>
            </w:r>
          </w:p>
        </w:tc>
        <w:tc>
          <w:tcPr>
            <w:tcW w:w="1833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1357" w:type="dxa"/>
          </w:tcPr>
          <w:p>
            <w:pPr>
              <w:pStyle w:val="TableText"/>
              <w:jc w:val="right"/>
            </w:pPr>
            <w:r>
              <w:t xml:space="preserve">21,2 %</w:t>
            </w:r>
          </w:p>
        </w:tc>
      </w:tr>
      <w:tr>
        <w:tc>
          <w:tcPr>
            <w:tcW w:w="4581" w:type="dxa"/>
          </w:tcPr>
          <w:p>
            <w:pPr>
              <w:pStyle w:val="TableText"/>
            </w:pPr>
            <w:r>
              <w:t xml:space="preserve">Contingenze 8 %</w:t>
            </w:r>
          </w:p>
        </w:tc>
        <w:tc>
          <w:tcPr>
            <w:tcW w:w="1867" w:type="dxa"/>
          </w:tcPr>
          <w:p>
            <w:pPr>
              <w:pStyle w:val="TableText"/>
              <w:jc w:val="right"/>
            </w:pPr>
            <w:r>
              <w:t xml:space="preserve">175.200</w:t>
            </w:r>
          </w:p>
        </w:tc>
        <w:tc>
          <w:tcPr>
            <w:tcW w:w="1833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1357" w:type="dxa"/>
          </w:tcPr>
          <w:p>
            <w:pPr>
              <w:pStyle w:val="TableText"/>
              <w:jc w:val="right"/>
            </w:pPr>
            <w:r>
              <w:t xml:space="preserve">7,3 %</w:t>
            </w:r>
          </w:p>
        </w:tc>
      </w:tr>
      <w:tr>
        <w:tc>
          <w:tcPr>
            <w:tcW w:w="4581" w:type="dxa"/>
          </w:tcPr>
          <w:p>
            <w:pPr>
              <w:pStyle w:val="TableText"/>
            </w:pPr>
            <w:r>
              <w:t xml:space="preserve">Costi del committente 2 %</w:t>
            </w:r>
          </w:p>
        </w:tc>
        <w:tc>
          <w:tcPr>
            <w:tcW w:w="1867" w:type="dxa"/>
          </w:tcPr>
          <w:p>
            <w:pPr>
              <w:pStyle w:val="TableText"/>
              <w:jc w:val="right"/>
            </w:pPr>
            <w:r>
              <w:t xml:space="preserve">43.800</w:t>
            </w:r>
          </w:p>
        </w:tc>
        <w:tc>
          <w:tcPr>
            <w:tcW w:w="1833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1357" w:type="dxa"/>
          </w:tcPr>
          <w:p>
            <w:pPr>
              <w:pStyle w:val="TableText"/>
              <w:jc w:val="right"/>
            </w:pPr>
            <w:r>
              <w:t xml:space="preserve">1,8 %</w:t>
            </w:r>
          </w:p>
        </w:tc>
      </w:tr>
      <w:tr>
        <w:tc>
          <w:tcPr>
            <w:tcW w:w="4581" w:type="dxa"/>
          </w:tcPr>
          <w:p>
            <w:pPr>
              <w:pStyle w:val="TableText"/>
            </w:pPr>
            <w:r>
              <w:rPr>
                <w:b/>
              </w:rPr>
              <w:t xml:space="preserve">Totale CAPEX</w:t>
            </w:r>
          </w:p>
        </w:tc>
        <w:tc>
          <w:tcPr>
            <w:tcW w:w="1867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2.409.000</w:t>
            </w:r>
          </w:p>
        </w:tc>
        <w:tc>
          <w:tcPr>
            <w:tcW w:w="1833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1357" w:type="dxa"/>
          </w:tcPr>
          <w:p>
            <w:pPr>
              <w:pStyle w:val="TableText"/>
              <w:jc w:val="right"/>
            </w:pPr>
            <w:r>
              <w:t xml:space="preserve">100 %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t xml:space="preserve">Ripartizione per natura: forniture principali (moduli, inverter, strutture, cabina e trasformatori, DC block, PCS, BoP BESS, EMS) 49 %; lavori (montaggi, opere civili, sicurezza, installazione BESS) 21 %; BOS e connessione 11 %; servizi tecnici e sviluppo 10 %; contingenze e costi del committente 9 %.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4. Analisi di rischio</w:t>
      </w:r>
    </w:p>
    <w:p>
      <w:pPr>
        <w:pStyle w:val="Heading2"/>
      </w:pPr>
      <w:r>
        <w:t xml:space="preserve">4.1 Risultati Monte Carlo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677"/>
        <w:gridCol w:w="2059"/>
        <w:gridCol w:w="2224"/>
        <w:gridCol w:w="2677"/>
      </w:tblGrid>
      <w:tr>
        <w:trPr>
          <w:tblHeader/>
        </w:trPr>
        <w:tc>
          <w:tcPr>
            <w:tcW w:w="267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Percentile</w:t>
            </w:r>
          </w:p>
        </w:tc>
        <w:tc>
          <w:tcPr>
            <w:tcW w:w="205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Totale</w:t>
            </w:r>
          </w:p>
        </w:tc>
        <w:tc>
          <w:tcPr>
            <w:tcW w:w="2224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FV €/kWp</w:t>
            </w:r>
          </w:p>
        </w:tc>
        <w:tc>
          <w:tcPr>
            <w:tcW w:w="2677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BESS €/kWh</w:t>
            </w:r>
          </w:p>
        </w:tc>
      </w:tr>
      <w:tr>
        <w:tc>
          <w:tcPr>
            <w:tcW w:w="2677" w:type="dxa"/>
          </w:tcPr>
          <w:p>
            <w:pPr>
              <w:pStyle w:val="TableText"/>
            </w:pPr>
            <w:r>
              <w:t xml:space="preserve">P10</w:t>
            </w:r>
          </w:p>
        </w:tc>
        <w:tc>
          <w:tcPr>
            <w:tcW w:w="2059" w:type="dxa"/>
          </w:tcPr>
          <w:p>
            <w:pPr>
              <w:pStyle w:val="TableText"/>
              <w:jc w:val="right"/>
            </w:pPr>
            <w:r>
              <w:t xml:space="preserve">2.288 k€</w:t>
            </w:r>
          </w:p>
        </w:tc>
        <w:tc>
          <w:tcPr>
            <w:tcW w:w="2224" w:type="dxa"/>
          </w:tcPr>
          <w:p>
            <w:pPr>
              <w:pStyle w:val="TableText"/>
              <w:jc w:val="right"/>
            </w:pPr>
            <w:r>
              <w:t xml:space="preserve">582</w:t>
            </w:r>
          </w:p>
        </w:tc>
        <w:tc>
          <w:tcPr>
            <w:tcW w:w="2677" w:type="dxa"/>
          </w:tcPr>
          <w:p>
            <w:pPr>
              <w:pStyle w:val="TableText"/>
              <w:jc w:val="right"/>
            </w:pPr>
            <w:r>
              <w:t xml:space="preserve">254</w:t>
            </w:r>
          </w:p>
        </w:tc>
      </w:tr>
      <w:tr>
        <w:tc>
          <w:tcPr>
            <w:tcW w:w="2677" w:type="dxa"/>
          </w:tcPr>
          <w:p>
            <w:pPr>
              <w:pStyle w:val="TableText"/>
            </w:pPr>
            <w:r>
              <w:t xml:space="preserve">P50</w:t>
            </w:r>
          </w:p>
        </w:tc>
        <w:tc>
          <w:tcPr>
            <w:tcW w:w="2059" w:type="dxa"/>
          </w:tcPr>
          <w:p>
            <w:pPr>
              <w:pStyle w:val="TableText"/>
              <w:jc w:val="right"/>
            </w:pPr>
            <w:r>
              <w:t xml:space="preserve">2.430 k€</w:t>
            </w:r>
          </w:p>
        </w:tc>
        <w:tc>
          <w:tcPr>
            <w:tcW w:w="2224" w:type="dxa"/>
          </w:tcPr>
          <w:p>
            <w:pPr>
              <w:pStyle w:val="TableText"/>
              <w:jc w:val="right"/>
            </w:pPr>
            <w:r>
              <w:t xml:space="preserve">623</w:t>
            </w:r>
          </w:p>
        </w:tc>
        <w:tc>
          <w:tcPr>
            <w:tcW w:w="2677" w:type="dxa"/>
          </w:tcPr>
          <w:p>
            <w:pPr>
              <w:pStyle w:val="TableText"/>
              <w:jc w:val="right"/>
            </w:pPr>
            <w:r>
              <w:t xml:space="preserve">279</w:t>
            </w:r>
          </w:p>
        </w:tc>
      </w:tr>
      <w:tr>
        <w:tc>
          <w:tcPr>
            <w:tcW w:w="2677" w:type="dxa"/>
          </w:tcPr>
          <w:p>
            <w:pPr>
              <w:pStyle w:val="TableText"/>
            </w:pPr>
            <w:r>
              <w:t xml:space="preserve">P80</w:t>
            </w:r>
          </w:p>
        </w:tc>
        <w:tc>
          <w:tcPr>
            <w:tcW w:w="2059" w:type="dxa"/>
          </w:tcPr>
          <w:p>
            <w:pPr>
              <w:pStyle w:val="TableText"/>
              <w:jc w:val="right"/>
            </w:pPr>
            <w:r>
              <w:t xml:space="preserve">2.529 k€</w:t>
            </w:r>
          </w:p>
        </w:tc>
        <w:tc>
          <w:tcPr>
            <w:tcW w:w="2224" w:type="dxa"/>
          </w:tcPr>
          <w:p>
            <w:pPr>
              <w:pStyle w:val="TableText"/>
              <w:jc w:val="right"/>
            </w:pPr>
            <w:r>
              <w:t xml:space="preserve">–</w:t>
            </w:r>
          </w:p>
        </w:tc>
        <w:tc>
          <w:tcPr>
            <w:tcW w:w="2677" w:type="dxa"/>
          </w:tcPr>
          <w:p>
            <w:pPr>
              <w:pStyle w:val="TableText"/>
              <w:jc w:val="right"/>
            </w:pPr>
            <w:r>
              <w:t xml:space="preserve">–</w:t>
            </w:r>
          </w:p>
        </w:tc>
      </w:tr>
      <w:tr>
        <w:tc>
          <w:tcPr>
            <w:tcW w:w="2677" w:type="dxa"/>
          </w:tcPr>
          <w:p>
            <w:pPr>
              <w:pStyle w:val="TableText"/>
            </w:pPr>
            <w:r>
              <w:t xml:space="preserve">P90</w:t>
            </w:r>
          </w:p>
        </w:tc>
        <w:tc>
          <w:tcPr>
            <w:tcW w:w="2059" w:type="dxa"/>
          </w:tcPr>
          <w:p>
            <w:pPr>
              <w:pStyle w:val="TableText"/>
              <w:jc w:val="right"/>
            </w:pPr>
            <w:r>
              <w:t xml:space="preserve">2.581 k€</w:t>
            </w:r>
          </w:p>
        </w:tc>
        <w:tc>
          <w:tcPr>
            <w:tcW w:w="2224" w:type="dxa"/>
          </w:tcPr>
          <w:p>
            <w:pPr>
              <w:pStyle w:val="TableText"/>
              <w:jc w:val="right"/>
            </w:pPr>
            <w:r>
              <w:t xml:space="preserve">669</w:t>
            </w:r>
          </w:p>
        </w:tc>
        <w:tc>
          <w:tcPr>
            <w:tcW w:w="2677" w:type="dxa"/>
          </w:tcPr>
          <w:p>
            <w:pPr>
              <w:pStyle w:val="TableText"/>
              <w:jc w:val="right"/>
            </w:pPr>
            <w:r>
              <w:t xml:space="preserve">306</w:t>
            </w:r>
          </w:p>
        </w:tc>
      </w:tr>
    </w:tbl>
    <w:p>
      <w:pPr>
        <w:pStyle w:val="Normal"/>
        <w:spacing w:after="60"/>
      </w:pPr>
    </w:p>
    <w:p>
      <w:pPr>
        <w:pStyle w:val="ListParagraph"/>
      </w:pPr>
      <w:r>
        <w:t xml:space="preserve">•  </w:t>
      </w:r>
      <w:r>
        <w:t xml:space="preserve">Il P50 (2.430 k€) supera il deterministico senza contingenze (2.234 k€) dell'8,8 %, perché le distribuzioni sono asimmetriche verso l'alto (connessione, sviluppo, BoP BESS).</w:t>
      </w:r>
    </w:p>
    <w:p>
      <w:pPr>
        <w:pStyle w:val="ListParagraph"/>
      </w:pPr>
      <w:r>
        <w:t xml:space="preserve">•  </w:t>
      </w:r>
      <w:r>
        <w:t xml:space="preserve">Il P80 richiede una contingenza del </w:t>
      </w:r>
      <w:r>
        <w:rPr>
          <w:b/>
        </w:rPr>
        <w:t xml:space="preserve">13,2 %</w:t>
      </w:r>
      <w:r>
        <w:t xml:space="preserve"> sui costi diretti. Il valore dell'8 % usato nel simulatore è adatto al P50; per il budget autorizzato si consiglia di portarlo al 12–13 % finché non si hanno offerte.</w:t>
      </w:r>
    </w:p>
    <w:p>
      <w:pPr>
        <w:pStyle w:val="Heading2"/>
      </w:pPr>
      <w:r>
        <w:t xml:space="preserve">4.2 Registro dei rischi di costo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3892"/>
        <w:gridCol w:w="1297"/>
        <w:gridCol w:w="1705"/>
        <w:gridCol w:w="2743"/>
      </w:tblGrid>
      <w:tr>
        <w:trPr>
          <w:tblHeader/>
        </w:trPr>
        <w:tc>
          <w:tcPr>
            <w:tcW w:w="389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Rischio</w:t>
            </w:r>
          </w:p>
        </w:tc>
        <w:tc>
          <w:tcPr>
            <w:tcW w:w="129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Voci colpite</w:t>
            </w:r>
          </w:p>
        </w:tc>
        <w:tc>
          <w:tcPr>
            <w:tcW w:w="170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Effetto stimato</w:t>
            </w:r>
          </w:p>
        </w:tc>
        <w:tc>
          <w:tcPr>
            <w:tcW w:w="274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Mitigazione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Prezzo dei moduli (polisilicio, dazi, fine dei rimborsi IVA all'export cinese, domanda UE)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Moduli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±0,02–0,04 €/Wp = ±60–120 k€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Prezzo bloccato in offerta con validità ≥ 90 giorni; acquisto anticipato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Moduli ENEA categoria B/C per l'iper-ammortamento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Moduli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+0,05–0,15 €/Wp (offerta ristretta)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Confronto tra beneficio fiscale e sovrapprezzo (doc. 02 §4)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Regolamento UE 2024/3015 sul lavoro forzato (applicabile da dicembre 2027) e criteri di resilienza NZIA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Moduli, celle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Possibile sovrapprezzo per filiere tracciate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Tracciabilità della filiera nei contratti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Prezzo delle celle LFP (+22 % tra ottobre 2025 e aprile 2026)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DC block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±15–25 €/kWh = ±30–50 k€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Formula di indicizzazione o prezzo fisso; augmentation contrattualizzata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Preventivo di connessione e opere sulla cabina utente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Connessione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da 10 a 80 €/kWp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TICA anticipato; sopralluogo in cabina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Prescrizioni dei Vigili del Fuoco sul BESS (distanze, muri REI, estinzione)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Prevenzione incendi, opere civili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+5–20 €/kWh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Valutazione del rischio incendio in fase di progetto (doc. 01 §8)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Terreno (portanza, falda, invarianza idraulica)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Strutture, opere civili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+10–30 €/kWp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Indagini geotecniche e prove di estrazione dei pali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Rame e alluminio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BOS, cavi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±5 €/kWp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Clausole di indicizzazione LME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Cambio EUR/USD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Inverter, PCS, BESS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±3–5 % sulle forniture in dollari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Contratti in euro</w:t>
            </w:r>
          </w:p>
        </w:tc>
      </w:tr>
      <w:tr>
        <w:tc>
          <w:tcPr>
            <w:tcW w:w="3892" w:type="dxa"/>
          </w:tcPr>
          <w:p>
            <w:pPr>
              <w:pStyle w:val="TableText"/>
            </w:pPr>
            <w:r>
              <w:t xml:space="preserve">Costo della manodopera e disponibilità di montatori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Montaggi</w:t>
            </w:r>
          </w:p>
        </w:tc>
        <w:tc>
          <w:tcPr>
            <w:tcW w:w="1705" w:type="dxa"/>
          </w:tcPr>
          <w:p>
            <w:pPr>
              <w:pStyle w:val="TableText"/>
            </w:pPr>
            <w:r>
              <w:t xml:space="preserve">±10 €/kWp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Pianificazione fuori dai picchi di cantiere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5. Effetto della tipologia e della taglia</w:t>
      </w:r>
    </w:p>
    <w:p>
      <w:pPr>
        <w:pStyle w:val="Heading2"/>
      </w:pPr>
      <w:r>
        <w:t xml:space="preserve">5.1 Tipologia di installazione (3 MWp, solo FV, Milano)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4250"/>
        <w:gridCol w:w="1508"/>
        <w:gridCol w:w="2235"/>
        <w:gridCol w:w="1645"/>
      </w:tblGrid>
      <w:tr>
        <w:trPr>
          <w:tblHeader/>
        </w:trPr>
        <w:tc>
          <w:tcPr>
            <w:tcW w:w="425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Tipologia</w:t>
            </w:r>
          </w:p>
        </w:tc>
        <w:tc>
          <w:tcPr>
            <w:tcW w:w="1508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CAPEX FV</w:t>
            </w:r>
          </w:p>
        </w:tc>
        <w:tc>
          <w:tcPr>
            <w:tcW w:w="2235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Producibilità</w:t>
            </w:r>
          </w:p>
        </w:tc>
        <w:tc>
          <w:tcPr>
            <w:tcW w:w="1645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LCOE</w:t>
            </w:r>
          </w:p>
        </w:tc>
      </w:tr>
      <w:tr>
        <w:tc>
          <w:tcPr>
            <w:tcW w:w="4250" w:type="dxa"/>
          </w:tcPr>
          <w:p>
            <w:pPr>
              <w:pStyle w:val="TableText"/>
            </w:pPr>
            <w:r>
              <w:t xml:space="preserve">A terra, struttura fissa 25°</w:t>
            </w:r>
          </w:p>
        </w:tc>
        <w:tc>
          <w:tcPr>
            <w:tcW w:w="1508" w:type="dxa"/>
          </w:tcPr>
          <w:p>
            <w:pPr>
              <w:pStyle w:val="TableText"/>
              <w:jc w:val="right"/>
            </w:pPr>
            <w:r>
              <w:t xml:space="preserve">616 €/kWp</w:t>
            </w:r>
          </w:p>
        </w:tc>
        <w:tc>
          <w:tcPr>
            <w:tcW w:w="2235" w:type="dxa"/>
          </w:tcPr>
          <w:p>
            <w:pPr>
              <w:pStyle w:val="TableText"/>
              <w:jc w:val="right"/>
            </w:pPr>
            <w:r>
              <w:t xml:space="preserve">1.310 kWh/kWp</w:t>
            </w:r>
          </w:p>
        </w:tc>
        <w:tc>
          <w:tcPr>
            <w:tcW w:w="1645" w:type="dxa"/>
          </w:tcPr>
          <w:p>
            <w:pPr>
              <w:pStyle w:val="TableText"/>
              <w:jc w:val="right"/>
            </w:pPr>
            <w:r>
              <w:t xml:space="preserve">59,8 €/MWh</w:t>
            </w:r>
          </w:p>
        </w:tc>
      </w:tr>
      <w:tr>
        <w:tc>
          <w:tcPr>
            <w:tcW w:w="4250" w:type="dxa"/>
          </w:tcPr>
          <w:p>
            <w:pPr>
              <w:pStyle w:val="TableText"/>
            </w:pPr>
            <w:r>
              <w:t xml:space="preserve">A terra, tracker monoassiale</w:t>
            </w:r>
          </w:p>
        </w:tc>
        <w:tc>
          <w:tcPr>
            <w:tcW w:w="1508" w:type="dxa"/>
          </w:tcPr>
          <w:p>
            <w:pPr>
              <w:pStyle w:val="TableText"/>
              <w:jc w:val="right"/>
            </w:pPr>
            <w:r>
              <w:t xml:space="preserve">671 €/kWp</w:t>
            </w:r>
          </w:p>
        </w:tc>
        <w:tc>
          <w:tcPr>
            <w:tcW w:w="2235" w:type="dxa"/>
          </w:tcPr>
          <w:p>
            <w:pPr>
              <w:pStyle w:val="TableText"/>
              <w:jc w:val="right"/>
            </w:pPr>
            <w:r>
              <w:t xml:space="preserve">1.542 kWh/kWp</w:t>
            </w:r>
          </w:p>
        </w:tc>
        <w:tc>
          <w:tcPr>
            <w:tcW w:w="1645" w:type="dxa"/>
          </w:tcPr>
          <w:p>
            <w:pPr>
              <w:pStyle w:val="TableText"/>
              <w:jc w:val="right"/>
            </w:pPr>
            <w:r>
              <w:t xml:space="preserve">54,2 €/MWh</w:t>
            </w:r>
          </w:p>
        </w:tc>
      </w:tr>
      <w:tr>
        <w:tc>
          <w:tcPr>
            <w:tcW w:w="4250" w:type="dxa"/>
          </w:tcPr>
          <w:p>
            <w:pPr>
              <w:pStyle w:val="TableText"/>
            </w:pPr>
            <w:r>
              <w:t xml:space="preserve">Copertura a falda 15°</w:t>
            </w:r>
          </w:p>
        </w:tc>
        <w:tc>
          <w:tcPr>
            <w:tcW w:w="1508" w:type="dxa"/>
          </w:tcPr>
          <w:p>
            <w:pPr>
              <w:pStyle w:val="TableText"/>
              <w:jc w:val="right"/>
            </w:pPr>
            <w:r>
              <w:t xml:space="preserve">534 €/kWp</w:t>
            </w:r>
          </w:p>
        </w:tc>
        <w:tc>
          <w:tcPr>
            <w:tcW w:w="2235" w:type="dxa"/>
          </w:tcPr>
          <w:p>
            <w:pPr>
              <w:pStyle w:val="TableText"/>
              <w:jc w:val="right"/>
            </w:pPr>
            <w:r>
              <w:t xml:space="preserve">1.237 kWh/kWp</w:t>
            </w:r>
          </w:p>
        </w:tc>
        <w:tc>
          <w:tcPr>
            <w:tcW w:w="1645" w:type="dxa"/>
          </w:tcPr>
          <w:p>
            <w:pPr>
              <w:pStyle w:val="TableText"/>
              <w:jc w:val="right"/>
            </w:pPr>
            <w:r>
              <w:t xml:space="preserve">53,6 €/MWh</w:t>
            </w:r>
          </w:p>
        </w:tc>
      </w:tr>
      <w:tr>
        <w:tc>
          <w:tcPr>
            <w:tcW w:w="4250" w:type="dxa"/>
          </w:tcPr>
          <w:p>
            <w:pPr>
              <w:pStyle w:val="TableText"/>
            </w:pPr>
            <w:r>
              <w:t xml:space="preserve">Copertura piana est-ovest 10°</w:t>
            </w:r>
          </w:p>
        </w:tc>
        <w:tc>
          <w:tcPr>
            <w:tcW w:w="1508" w:type="dxa"/>
          </w:tcPr>
          <w:p>
            <w:pPr>
              <w:pStyle w:val="TableText"/>
              <w:jc w:val="right"/>
            </w:pPr>
            <w:r>
              <w:t xml:space="preserve">578 €/kWp</w:t>
            </w:r>
          </w:p>
        </w:tc>
        <w:tc>
          <w:tcPr>
            <w:tcW w:w="2235" w:type="dxa"/>
          </w:tcPr>
          <w:p>
            <w:pPr>
              <w:pStyle w:val="TableText"/>
              <w:jc w:val="right"/>
            </w:pPr>
            <w:r>
              <w:t xml:space="preserve">1.151 kWh/kWp</w:t>
            </w:r>
          </w:p>
        </w:tc>
        <w:tc>
          <w:tcPr>
            <w:tcW w:w="1645" w:type="dxa"/>
          </w:tcPr>
          <w:p>
            <w:pPr>
              <w:pStyle w:val="TableText"/>
              <w:jc w:val="right"/>
            </w:pPr>
            <w:r>
              <w:t xml:space="preserve">61,2 €/MWh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t xml:space="preserve">Il tracker costa il 9 % in più e produce il 18 % in più, quindi ha un LCOE più basso; richiede però più terreno (GCR minore) e più manutenzione. Le coperture hanno il CAPEX più basso ma richiedono la verifica statica della copertura (non inclusa) e, se in cemento-amianto, la bonifica.</w:t>
      </w:r>
    </w:p>
    <w:p>
      <w:pPr>
        <w:pStyle w:val="Heading2"/>
      </w:pPr>
      <w:r>
        <w:t xml:space="preserve">5.2 Economie di scala (benchmark A2 §1.2 e §2.1)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3008"/>
        <w:gridCol w:w="1964"/>
        <w:gridCol w:w="4666"/>
      </w:tblGrid>
      <w:tr>
        <w:trPr>
          <w:tblHeader/>
        </w:trPr>
        <w:tc>
          <w:tcPr>
            <w:tcW w:w="300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Taglia</w:t>
            </w:r>
          </w:p>
        </w:tc>
        <w:tc>
          <w:tcPr>
            <w:tcW w:w="196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FV chiavi in mano</w:t>
            </w:r>
          </w:p>
        </w:tc>
        <w:tc>
          <w:tcPr>
            <w:tcW w:w="466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BESS chiavi in mano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100–200 kWp su tetto</w:t>
            </w:r>
          </w:p>
        </w:tc>
        <w:tc>
          <w:tcPr>
            <w:tcW w:w="1964" w:type="dxa"/>
          </w:tcPr>
          <w:p>
            <w:pPr>
              <w:pStyle w:val="TableText"/>
            </w:pPr>
            <w:r>
              <w:t xml:space="preserve">0,68 – 0,79 €/Wp</w:t>
            </w:r>
          </w:p>
        </w:tc>
        <w:tc>
          <w:tcPr>
            <w:tcW w:w="4666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250–500 kWp su tetto</w:t>
            </w:r>
          </w:p>
        </w:tc>
        <w:tc>
          <w:tcPr>
            <w:tcW w:w="1964" w:type="dxa"/>
          </w:tcPr>
          <w:p>
            <w:pPr>
              <w:pStyle w:val="TableText"/>
            </w:pPr>
            <w:r>
              <w:t xml:space="preserve">0,61 – 0,72 €/Wp</w:t>
            </w:r>
          </w:p>
        </w:tc>
        <w:tc>
          <w:tcPr>
            <w:tcW w:w="4666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0,5–2 MWp su tetto</w:t>
            </w:r>
          </w:p>
        </w:tc>
        <w:tc>
          <w:tcPr>
            <w:tcW w:w="1964" w:type="dxa"/>
          </w:tcPr>
          <w:p>
            <w:pPr>
              <w:pStyle w:val="TableText"/>
            </w:pPr>
            <w:r>
              <w:t xml:space="preserve">0,55 – 0,80 €/Wp (tipico 0,65)</w:t>
            </w:r>
          </w:p>
        </w:tc>
        <w:tc>
          <w:tcPr>
            <w:tcW w:w="4666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1–10 MWp a terra fisso</w:t>
            </w:r>
          </w:p>
        </w:tc>
        <w:tc>
          <w:tcPr>
            <w:tcW w:w="1964" w:type="dxa"/>
          </w:tcPr>
          <w:p>
            <w:pPr>
              <w:pStyle w:val="TableText"/>
            </w:pPr>
            <w:r>
              <w:t xml:space="preserve">0,52 – 0,80 €/Wp (tipico 0,62)</w:t>
            </w:r>
          </w:p>
        </w:tc>
        <w:tc>
          <w:tcPr>
            <w:tcW w:w="4666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1–10 MWp a terra tracker</w:t>
            </w:r>
          </w:p>
        </w:tc>
        <w:tc>
          <w:tcPr>
            <w:tcW w:w="1964" w:type="dxa"/>
          </w:tcPr>
          <w:p>
            <w:pPr>
              <w:pStyle w:val="TableText"/>
            </w:pPr>
            <w:r>
              <w:t xml:space="preserve">0,58 – 0,90 €/Wp (tipico 0,69)</w:t>
            </w:r>
          </w:p>
        </w:tc>
        <w:tc>
          <w:tcPr>
            <w:tcW w:w="4666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BESS C&amp;I 0,5–5 MWh</w:t>
            </w:r>
          </w:p>
        </w:tc>
        <w:tc>
          <w:tcPr>
            <w:tcW w:w="196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4666" w:type="dxa"/>
          </w:tcPr>
          <w:p>
            <w:pPr>
              <w:pStyle w:val="TableText"/>
            </w:pPr>
            <w:r>
              <w:t xml:space="preserve">280 – 450 €/kWh (fonti commerciali); 180 – 400 €/kWh (stima per voci, 2 h)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BESS 2 h utility, Europa</w:t>
            </w:r>
          </w:p>
        </w:tc>
        <w:tc>
          <w:tcPr>
            <w:tcW w:w="196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4666" w:type="dxa"/>
          </w:tcPr>
          <w:p>
            <w:pPr>
              <w:pStyle w:val="TableText"/>
            </w:pPr>
            <w:r>
              <w:t xml:space="preserve">~150 – 240 €/kWh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BESS 4 h utility (riferimento MACSE ARERA 2026)</w:t>
            </w:r>
          </w:p>
        </w:tc>
        <w:tc>
          <w:tcPr>
            <w:tcW w:w="196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4666" w:type="dxa"/>
          </w:tcPr>
          <w:p>
            <w:pPr>
              <w:pStyle w:val="TableText"/>
            </w:pPr>
            <w:r>
              <w:t xml:space="preserve">125 – 150,5 €/kWh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t xml:space="preserve">Nel simulatore le voci a corpo (EMS) e le voci in €/kW producono l'effetto di scala del BESS; per il FV le voci sono lineari: per taglie sotto 1 MWp aumentare cabina, connessione e ingegneria del 30–60 %.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6. Distribuzione temporale della spesa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4859"/>
        <w:gridCol w:w="817"/>
        <w:gridCol w:w="706"/>
        <w:gridCol w:w="3256"/>
      </w:tblGrid>
      <w:tr>
        <w:trPr>
          <w:tblHeader/>
        </w:trPr>
        <w:tc>
          <w:tcPr>
            <w:tcW w:w="485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Fase</w:t>
            </w:r>
          </w:p>
        </w:tc>
        <w:tc>
          <w:tcPr>
            <w:tcW w:w="81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Durata tipica</w:t>
            </w:r>
          </w:p>
        </w:tc>
        <w:tc>
          <w:tcPr>
            <w:tcW w:w="70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Quota CAPEX</w:t>
            </w:r>
          </w:p>
        </w:tc>
        <w:tc>
          <w:tcPr>
            <w:tcW w:w="325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Milestone di pagamento tipiche (EPC)</w:t>
            </w:r>
          </w:p>
        </w:tc>
      </w:tr>
      <w:tr>
        <w:tc>
          <w:tcPr>
            <w:tcW w:w="4859" w:type="dxa"/>
          </w:tcPr>
          <w:p>
            <w:pPr>
              <w:pStyle w:val="TableText"/>
            </w:pPr>
            <w:r>
              <w:t xml:space="preserve">Sviluppo e autorizzazioni (PAS o edilizia libera, TICA, VVF)</w:t>
            </w:r>
          </w:p>
        </w:tc>
        <w:tc>
          <w:tcPr>
            <w:tcW w:w="817" w:type="dxa"/>
          </w:tcPr>
          <w:p>
            <w:pPr>
              <w:pStyle w:val="TableText"/>
            </w:pPr>
            <w:r>
              <w:t xml:space="preserve">3–9 mesi</w:t>
            </w:r>
          </w:p>
        </w:tc>
        <w:tc>
          <w:tcPr>
            <w:tcW w:w="706" w:type="dxa"/>
          </w:tcPr>
          <w:p>
            <w:pPr>
              <w:pStyle w:val="TableText"/>
              <w:jc w:val="right"/>
            </w:pPr>
            <w:r>
              <w:t xml:space="preserve">5 %</w:t>
            </w:r>
          </w:p>
        </w:tc>
        <w:tc>
          <w:tcPr>
            <w:tcW w:w="3256" w:type="dxa"/>
          </w:tcPr>
          <w:p>
            <w:pPr>
              <w:pStyle w:val="TableText"/>
            </w:pPr>
            <w:r>
              <w:t xml:space="preserve">A stato di avanzamento delle pratiche</w:t>
            </w:r>
          </w:p>
        </w:tc>
      </w:tr>
      <w:tr>
        <w:tc>
          <w:tcPr>
            <w:tcW w:w="4859" w:type="dxa"/>
          </w:tcPr>
          <w:p>
            <w:pPr>
              <w:pStyle w:val="TableText"/>
            </w:pPr>
            <w:r>
              <w:t xml:space="preserve">Ingegneria esecutiva e ordini</w:t>
            </w:r>
          </w:p>
        </w:tc>
        <w:tc>
          <w:tcPr>
            <w:tcW w:w="817" w:type="dxa"/>
          </w:tcPr>
          <w:p>
            <w:pPr>
              <w:pStyle w:val="TableText"/>
            </w:pPr>
            <w:r>
              <w:t xml:space="preserve">1–2 mesi</w:t>
            </w:r>
          </w:p>
        </w:tc>
        <w:tc>
          <w:tcPr>
            <w:tcW w:w="706" w:type="dxa"/>
          </w:tcPr>
          <w:p>
            <w:pPr>
              <w:pStyle w:val="TableText"/>
              <w:jc w:val="right"/>
            </w:pPr>
            <w:r>
              <w:t xml:space="preserve">10 %</w:t>
            </w:r>
          </w:p>
        </w:tc>
        <w:tc>
          <w:tcPr>
            <w:tcW w:w="3256" w:type="dxa"/>
          </w:tcPr>
          <w:p>
            <w:pPr>
              <w:pStyle w:val="TableText"/>
            </w:pPr>
            <w:r>
              <w:t xml:space="preserve">Anticipo 10 % alla firma dell'EPC</w:t>
            </w:r>
          </w:p>
        </w:tc>
      </w:tr>
      <w:tr>
        <w:tc>
          <w:tcPr>
            <w:tcW w:w="4859" w:type="dxa"/>
          </w:tcPr>
          <w:p>
            <w:pPr>
              <w:pStyle w:val="TableText"/>
            </w:pPr>
            <w:r>
              <w:t xml:space="preserve">Approvvigionamento (moduli 6–10 settimane, trasformatori 16–30 settimane, BESS 12–20 settimane)</w:t>
            </w:r>
          </w:p>
        </w:tc>
        <w:tc>
          <w:tcPr>
            <w:tcW w:w="817" w:type="dxa"/>
          </w:tcPr>
          <w:p>
            <w:pPr>
              <w:pStyle w:val="TableText"/>
            </w:pPr>
            <w:r>
              <w:t xml:space="preserve">2–6 mesi</w:t>
            </w:r>
          </w:p>
        </w:tc>
        <w:tc>
          <w:tcPr>
            <w:tcW w:w="706" w:type="dxa"/>
          </w:tcPr>
          <w:p>
            <w:pPr>
              <w:pStyle w:val="TableText"/>
              <w:jc w:val="right"/>
            </w:pPr>
            <w:r>
              <w:t xml:space="preserve">50 %</w:t>
            </w:r>
          </w:p>
        </w:tc>
        <w:tc>
          <w:tcPr>
            <w:tcW w:w="3256" w:type="dxa"/>
          </w:tcPr>
          <w:p>
            <w:pPr>
              <w:pStyle w:val="TableText"/>
            </w:pPr>
            <w:r>
              <w:t xml:space="preserve">50–60 % alla consegna in cantiere</w:t>
            </w:r>
          </w:p>
        </w:tc>
      </w:tr>
      <w:tr>
        <w:tc>
          <w:tcPr>
            <w:tcW w:w="4859" w:type="dxa"/>
          </w:tcPr>
          <w:p>
            <w:pPr>
              <w:pStyle w:val="TableText"/>
            </w:pPr>
            <w:r>
              <w:t xml:space="preserve">Costruzione e montaggio</w:t>
            </w:r>
          </w:p>
        </w:tc>
        <w:tc>
          <w:tcPr>
            <w:tcW w:w="817" w:type="dxa"/>
          </w:tcPr>
          <w:p>
            <w:pPr>
              <w:pStyle w:val="TableText"/>
            </w:pPr>
            <w:r>
              <w:t xml:space="preserve">3–5 mesi</w:t>
            </w:r>
          </w:p>
        </w:tc>
        <w:tc>
          <w:tcPr>
            <w:tcW w:w="706" w:type="dxa"/>
          </w:tcPr>
          <w:p>
            <w:pPr>
              <w:pStyle w:val="TableText"/>
              <w:jc w:val="right"/>
            </w:pPr>
            <w:r>
              <w:t xml:space="preserve">30 %</w:t>
            </w:r>
          </w:p>
        </w:tc>
        <w:tc>
          <w:tcPr>
            <w:tcW w:w="3256" w:type="dxa"/>
          </w:tcPr>
          <w:p>
            <w:pPr>
              <w:pStyle w:val="TableText"/>
            </w:pPr>
            <w:r>
              <w:t xml:space="preserve">SAL mensili</w:t>
            </w:r>
          </w:p>
        </w:tc>
      </w:tr>
      <w:tr>
        <w:tc>
          <w:tcPr>
            <w:tcW w:w="4859" w:type="dxa"/>
          </w:tcPr>
          <w:p>
            <w:pPr>
              <w:pStyle w:val="TableText"/>
            </w:pPr>
            <w:r>
              <w:t xml:space="preserve">Messa in servizio, collaudo, connessione</w:t>
            </w:r>
          </w:p>
        </w:tc>
        <w:tc>
          <w:tcPr>
            <w:tcW w:w="817" w:type="dxa"/>
          </w:tcPr>
          <w:p>
            <w:pPr>
              <w:pStyle w:val="TableText"/>
            </w:pPr>
            <w:r>
              <w:t xml:space="preserve">1–2 mesi</w:t>
            </w:r>
          </w:p>
        </w:tc>
        <w:tc>
          <w:tcPr>
            <w:tcW w:w="706" w:type="dxa"/>
          </w:tcPr>
          <w:p>
            <w:pPr>
              <w:pStyle w:val="TableText"/>
              <w:jc w:val="right"/>
            </w:pPr>
            <w:r>
              <w:t xml:space="preserve">5 %</w:t>
            </w:r>
          </w:p>
        </w:tc>
        <w:tc>
          <w:tcPr>
            <w:tcW w:w="3256" w:type="dxa"/>
          </w:tcPr>
          <w:p>
            <w:pPr>
              <w:pStyle w:val="TableText"/>
            </w:pPr>
            <w:r>
              <w:t xml:space="preserve">10 % al collaudo; 5 % trattenuta di garanzia fino al test di PR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t xml:space="preserve">Il trasformatore MT e il PCS del BESS sono le forniture a più lungo approvvigionamento: ordinarli subito dopo il preventivo di connessione.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7. Costi operativi (riferimento)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4576"/>
        <w:gridCol w:w="2288"/>
        <w:gridCol w:w="2774"/>
      </w:tblGrid>
      <w:tr>
        <w:trPr>
          <w:tblHeader/>
        </w:trPr>
        <w:tc>
          <w:tcPr>
            <w:tcW w:w="457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228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Valore</w:t>
            </w:r>
          </w:p>
        </w:tc>
        <w:tc>
          <w:tcPr>
            <w:tcW w:w="2774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Totale caso A, anno 1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t xml:space="preserve">O&amp;M FV (pulizia, sfalcio, manutenzione preventiva e correttiva)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11 €/kWp·a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t xml:space="preserve">33 k€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t xml:space="preserve">Vigilanza (a terra)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2 €/kWp·a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t xml:space="preserve">6 k€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t xml:space="preserve">O&amp;M BESS (LTSA, ricambi, HVAC)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4 €/kWh·a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t xml:space="preserve">8 k€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t xml:space="preserve">Assicurazione all risks e RC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0,30 % del CAPEX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t xml:space="preserve">7 k€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t xml:space="preserve">IMU e tributi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4,5 k€/a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t xml:space="preserve">4,5 k€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t xml:space="preserve">Monitoraggio, telecontrollo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3 k€/a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t xml:space="preserve">3 k€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t xml:space="preserve">Gestione e pratiche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5 k€/a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t xml:space="preserve">5 k€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rPr>
                <w:b/>
              </w:rPr>
              <w:t xml:space="preserve">Totale OPEX ordinario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≈ 22 €/kWp·a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≈ 67 k€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t xml:space="preserve">Sostituzione inverter (anno 13)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45 €/kWac a prezzi 2026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t xml:space="preserve">146 k€ nominali (110 k€ a prezzi 2026)</w:t>
            </w:r>
          </w:p>
        </w:tc>
      </w:tr>
      <w:tr>
        <w:tc>
          <w:tcPr>
            <w:tcW w:w="4576" w:type="dxa"/>
          </w:tcPr>
          <w:p>
            <w:pPr>
              <w:pStyle w:val="TableText"/>
            </w:pPr>
            <w:r>
              <w:t xml:space="preserve">Augmentation BESS (all'80 % di SOH, anno 15 nel caso A: 426 kWh)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120 €/kWh di oggi, −3 %/a reale</w:t>
            </w:r>
          </w:p>
        </w:tc>
        <w:tc>
          <w:tcPr>
            <w:tcW w:w="2774" w:type="dxa"/>
          </w:tcPr>
          <w:p>
            <w:pPr>
              <w:pStyle w:val="TableText"/>
              <w:jc w:val="right"/>
            </w:pPr>
            <w:r>
              <w:t xml:space="preserve">45 k€ nominali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8. Come portare la stima alla classe 3</w:t>
      </w:r>
    </w:p>
    <w:p>
      <w:pPr>
        <w:pStyle w:val="ListParagraph"/>
      </w:pPr>
      <w:r>
        <w:t xml:space="preserve">1. </w:t>
      </w:r>
      <w:r>
        <w:t xml:space="preserve">Layout di dettaglio (ombre, distanze, viabilità, percorsi cavi) e computo metrico delle quantità.</w:t>
      </w:r>
    </w:p>
    <w:p>
      <w:pPr>
        <w:pStyle w:val="ListParagraph"/>
      </w:pPr>
      <w:r>
        <w:t xml:space="preserve">2. </w:t>
      </w:r>
      <w:r>
        <w:t xml:space="preserve">Indagini geotecniche e prove di estrazione dei pali; per le coperture, verifica statica e stato del manto.</w:t>
      </w:r>
    </w:p>
    <w:p>
      <w:pPr>
        <w:pStyle w:val="ListParagraph"/>
      </w:pPr>
      <w:r>
        <w:t xml:space="preserve">3. </w:t>
      </w:r>
      <w:r>
        <w:t xml:space="preserve">Preventivo di connessione (TICA) e sopralluogo in cabina utente.</w:t>
      </w:r>
    </w:p>
    <w:p>
      <w:pPr>
        <w:pStyle w:val="ListParagraph"/>
      </w:pPr>
      <w:r>
        <w:t xml:space="preserve">4. </w:t>
      </w:r>
      <w:r>
        <w:t xml:space="preserve">Offerte vincolanti: almeno 3 EPC FV (con e senza moduli ENEA B/C), 3 fornitori BESS chiavi in mano con LTSA, trasformatori.</w:t>
      </w:r>
    </w:p>
    <w:p>
      <w:pPr>
        <w:pStyle w:val="ListParagraph"/>
      </w:pPr>
      <w:r>
        <w:t xml:space="preserve">5. </w:t>
      </w:r>
      <w:r>
        <w:t xml:space="preserve">Parere preventivo VVF sul BESS, se richiesto.</w:t>
      </w:r>
    </w:p>
    <w:p>
      <w:pPr>
        <w:pStyle w:val="ListParagraph"/>
      </w:pPr>
      <w:r>
        <w:t xml:space="preserve">6. </w:t>
      </w:r>
      <w:r>
        <w:t xml:space="preserve">Aggiornamento del simulatore con i prezzi offerti (scheda CAPEX) e ricalcolo della contingenza (Monte Carlo con intervalli ridotti a ±10 %).</w:t>
      </w:r>
    </w:p>
    <w:p/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638"/>
      </w:tabs>
    </w:pPr>
    <w:r>
      <w:t xml:space="preserve">Bozza generata dal simulatore FV + BESS</w:t>
    </w:r>
    <w:r>
      <w:tab/>
      <w:t xml:space="preserve">Pag. </w:t>
    </w:r>
    <w:fldSimple w:instr=" PAGE ">
      <w:r>
        <w:t>1</w:t>
      </w:r>
    </w:fldSimple>
    <w:r>
      <w:t xml:space="preserve"> di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638"/>
      </w:tabs>
    </w:pPr>
    <w:r>
      <w:t xml:space="preserve">Simulatore FV + BESS · FVB-CST-001</w:t>
    </w:r>
    <w:r>
      <w:tab/>
      <w:t xml:space="preserve">Rev. A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0"/>
        <w:szCs w:val="20"/>
        <w:lang w:val="it-IT"/>
      </w:rPr>
    </w:rPrDefault>
    <w:pPrDefault>
      <w:pPr>
        <w:spacing w:after="10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after="200"/>
    </w:pPr>
    <w:rPr>
      <w:b/>
      <w:color w:val="13283A"/>
      <w:sz w:val="32"/>
      <w:szCs w:val="32"/>
    </w:rPr>
  </w:style>
  <w:style w:type="paragraph" w:styleId="Heading1">
    <w:name w:val="heading 1"/>
    <w:basedOn w:val="Normal"/>
    <w:next w:val="Normal"/>
    <w:pPr>
      <w:keepNext/>
      <w:spacing w:before="280" w:after="120"/>
      <w:pBdr>
        <w:bottom w:val="single" w:sz="4" w:space="2" w:color="B86A10"/>
      </w:pBdr>
      <w:outlineLvl w:val="0"/>
    </w:pPr>
    <w:rPr>
      <w:b/>
      <w:color w:val="13283A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color w:val="13283A"/>
      <w:sz w:val="22"/>
      <w:szCs w:val="22"/>
    </w:rPr>
  </w:style>
  <w:style w:type="paragraph" w:styleId="Heading3">
    <w:name w:val="heading 3"/>
    <w:basedOn w:val="Normal"/>
    <w:next w:val="Normal"/>
    <w:pPr>
      <w:keepNext/>
      <w:spacing w:before="160" w:after="60"/>
      <w:outlineLvl w:val="2"/>
    </w:pPr>
    <w:rPr>
      <w:b/>
      <w:color w:val="57666F"/>
      <w:sz w:val="20"/>
      <w:szCs w:val="20"/>
    </w:rPr>
  </w:style>
  <w:style w:type="paragraph" w:styleId="Quote">
    <w:name w:val="Quote"/>
    <w:basedOn w:val="Normal"/>
    <w:pPr>
      <w:pBdr>
        <w:left w:val="single" w:sz="18" w:space="6" w:color="B86A10"/>
      </w:pBdr>
      <w:shd w:val="clear" w:color="auto" w:fill="FBF4E6"/>
      <w:ind w:left="170"/>
    </w:pPr>
    <w:rPr>
      <w:color w:val="57666F"/>
      <w:sz w:val="18"/>
      <w:szCs w:val="18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 w:cs="Consolas"/>
      <w:sz w:val="16"/>
      <w:szCs w:val="16"/>
    </w:rPr>
  </w:style>
  <w:style w:type="paragraph" w:styleId="TableText">
    <w:name w:val="Table Text"/>
    <w:basedOn w:val="Normal"/>
    <w:pPr>
      <w:spacing w:after="0" w:line="240" w:lineRule="auto"/>
    </w:pPr>
    <w:rPr>
      <w:sz w:val="16"/>
      <w:szCs w:val="16"/>
    </w:rPr>
  </w:style>
  <w:style w:type="paragraph" w:styleId="ListParagraph">
    <w:name w:val="List Paragraph"/>
    <w:basedOn w:val="Normal"/>
    <w:pPr>
      <w:spacing w:after="40"/>
      <w:ind w:left="360" w:hanging="240"/>
    </w:pPr>
  </w:style>
  <w:style w:type="paragraph" w:styleId="Header">
    <w:name w:val="header"/>
    <w:basedOn w:val="Normal"/>
    <w:pPr>
      <w:spacing w:after="0"/>
      <w:pBdr>
        <w:bottom w:val="single" w:sz="4" w:space="2" w:color="A0A8AE"/>
      </w:pBdr>
    </w:pPr>
    <w:rPr>
      <w:color w:val="57666F"/>
      <w:sz w:val="15"/>
      <w:szCs w:val="15"/>
    </w:rPr>
  </w:style>
  <w:style w:type="paragraph" w:styleId="Footer">
    <w:name w:val="footer"/>
    <w:basedOn w:val="Normal"/>
    <w:pPr>
      <w:spacing w:after="0"/>
    </w:pPr>
    <w:rPr>
      <w:color w:val="57666F"/>
      <w:sz w:val="15"/>
      <w:szCs w:val="1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Simulatore FV + BESS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Valutazione del CAPEX – Impianto FV industriale con BESS</dc:title>
  <dc:creator>Simulatore FV + BESS</dc:creator>
  <dcterms:created xsi:type="dcterms:W3CDTF">2026-10-28T11:18:15Z</dcterms:created>
  <dcterms:modified xsi:type="dcterms:W3CDTF">2026-10-28T11:18:15Z</dcterms:modified>
</cp:coreProperties>
</file>