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Allegato A1 – Risultati dei casi di studio</w:t>
      </w:r>
    </w:p>
    <w:p>
      <w:pPr>
        <w:pStyle w:val="Normal"/>
      </w:pPr>
      <w:r>
        <w:t xml:space="preserve">Generato con </w:t>
      </w:r>
      <w:r>
        <w:rPr>
          <w:rFonts w:ascii="Consolas" w:hAnsi="Consolas" w:cs="Consolas"/>
        </w:rPr>
        <w:t xml:space="preserve">node tools/report-cases.js</w:t>
      </w:r>
      <w:r>
        <w:t xml:space="preserve"> il 2026-10-28 (simulatore FV+BESS v1.0, default di docs/allegati/A2_Benchmark_costi_2026.md). Valori in euro nominali, orizzonte 25 anni.</w:t>
      </w:r>
    </w:p>
    <w:p>
      <w:pPr>
        <w:pStyle w:val="Heading1"/>
      </w:pPr>
      <w:r>
        <w:t xml:space="preserve">1. Casi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517"/>
        <w:gridCol w:w="9121"/>
      </w:tblGrid>
      <w:tr>
        <w:trPr>
          <w:tblHeader/>
        </w:trPr>
        <w:tc>
          <w:tcPr>
            <w:tcW w:w="517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Caso</w:t>
            </w:r>
          </w:p>
        </w:tc>
        <w:tc>
          <w:tcPr>
            <w:tcW w:w="912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Descrizione</w:t>
            </w:r>
          </w:p>
        </w:tc>
      </w:tr>
      <w:tr>
        <w:tc>
          <w:tcPr>
            <w:tcW w:w="517" w:type="dxa"/>
          </w:tcPr>
          <w:p>
            <w:pPr>
              <w:pStyle w:val="TableText"/>
            </w:pPr>
            <w:r>
              <w:t xml:space="preserve">A</w:t>
            </w:r>
          </w:p>
        </w:tc>
        <w:tc>
          <w:tcPr>
            <w:tcW w:w="9121" w:type="dxa"/>
          </w:tcPr>
          <w:p>
            <w:pPr>
              <w:pStyle w:val="TableText"/>
            </w:pPr>
            <w:r>
              <w:t xml:space="preserve">Riferimento: Milano, 3 MWp a terra fisso, BESS 2 MWh / 1 MW, senza incentivi</w:t>
            </w:r>
          </w:p>
        </w:tc>
      </w:tr>
      <w:tr>
        <w:tc>
          <w:tcPr>
            <w:tcW w:w="517" w:type="dxa"/>
          </w:tcPr>
          <w:p>
            <w:pPr>
              <w:pStyle w:val="TableText"/>
            </w:pPr>
            <w:r>
              <w:t xml:space="preserve">A0</w:t>
            </w:r>
          </w:p>
        </w:tc>
        <w:tc>
          <w:tcPr>
            <w:tcW w:w="9121" w:type="dxa"/>
          </w:tcPr>
          <w:p>
            <w:pPr>
              <w:pStyle w:val="TableText"/>
            </w:pPr>
            <w:r>
              <w:t xml:space="preserve">Come A, solo FV</w:t>
            </w:r>
          </w:p>
        </w:tc>
      </w:tr>
      <w:tr>
        <w:tc>
          <w:tcPr>
            <w:tcW w:w="517" w:type="dxa"/>
          </w:tcPr>
          <w:p>
            <w:pPr>
              <w:pStyle w:val="TableText"/>
            </w:pPr>
            <w:r>
              <w:t xml:space="preserve">A1</w:t>
            </w:r>
          </w:p>
        </w:tc>
        <w:tc>
          <w:tcPr>
            <w:tcW w:w="9121" w:type="dxa"/>
          </w:tcPr>
          <w:p>
            <w:pPr>
              <w:pStyle w:val="TableText"/>
            </w:pPr>
            <w:r>
              <w:t xml:space="preserve">Come A + iper-ammortamento (moduli ENEA B/C)</w:t>
            </w:r>
          </w:p>
        </w:tc>
      </w:tr>
      <w:tr>
        <w:tc>
          <w:tcPr>
            <w:tcW w:w="517" w:type="dxa"/>
          </w:tcPr>
          <w:p>
            <w:pPr>
              <w:pStyle w:val="TableText"/>
            </w:pPr>
            <w:r>
              <w:t xml:space="preserve">A2</w:t>
            </w:r>
          </w:p>
        </w:tc>
        <w:tc>
          <w:tcPr>
            <w:tcW w:w="9121" w:type="dxa"/>
          </w:tcPr>
          <w:p>
            <w:pPr>
              <w:pStyle w:val="TableText"/>
            </w:pPr>
            <w:r>
              <w:t xml:space="preserve">Come A + iper-ammortamento + Nuova Sabatini</w:t>
            </w:r>
          </w:p>
        </w:tc>
      </w:tr>
      <w:tr>
        <w:tc>
          <w:tcPr>
            <w:tcW w:w="517" w:type="dxa"/>
          </w:tcPr>
          <w:p>
            <w:pPr>
              <w:pStyle w:val="TableText"/>
            </w:pPr>
            <w:r>
              <w:t xml:space="preserve">A3</w:t>
            </w:r>
          </w:p>
        </w:tc>
        <w:tc>
          <w:tcPr>
            <w:tcW w:w="9121" w:type="dxa"/>
          </w:tcPr>
          <w:p>
            <w:pPr>
              <w:pStyle w:val="TableText"/>
            </w:pPr>
            <w:r>
              <w:t xml:space="preserve">Come A + ricavi UVA/MSD 15 €/kW·a + peak shaving</w:t>
            </w:r>
          </w:p>
        </w:tc>
      </w:tr>
      <w:tr>
        <w:tc>
          <w:tcPr>
            <w:tcW w:w="517" w:type="dxa"/>
          </w:tcPr>
          <w:p>
            <w:pPr>
              <w:pStyle w:val="TableText"/>
            </w:pPr>
            <w:r>
              <w:t xml:space="preserve">B</w:t>
            </w:r>
          </w:p>
        </w:tc>
        <w:tc>
          <w:tcPr>
            <w:tcW w:w="9121" w:type="dxa"/>
          </w:tcPr>
          <w:p>
            <w:pPr>
              <w:pStyle w:val="TableText"/>
            </w:pPr>
            <w:r>
              <w:t xml:space="preserve">Sud: Bari, 3 MWp a terra, BESS 2 MWh, iper-ammortamento + ZES (24 %)</w:t>
            </w:r>
          </w:p>
        </w:tc>
      </w:tr>
      <w:tr>
        <w:tc>
          <w:tcPr>
            <w:tcW w:w="517" w:type="dxa"/>
          </w:tcPr>
          <w:p>
            <w:pPr>
              <w:pStyle w:val="TableText"/>
            </w:pPr>
            <w:r>
              <w:t xml:space="preserve">B0</w:t>
            </w:r>
          </w:p>
        </w:tc>
        <w:tc>
          <w:tcPr>
            <w:tcW w:w="9121" w:type="dxa"/>
          </w:tcPr>
          <w:p>
            <w:pPr>
              <w:pStyle w:val="TableText"/>
            </w:pPr>
            <w:r>
              <w:t xml:space="preserve">Come B, solo FV</w:t>
            </w:r>
          </w:p>
        </w:tc>
      </w:tr>
      <w:tr>
        <w:tc>
          <w:tcPr>
            <w:tcW w:w="517" w:type="dxa"/>
          </w:tcPr>
          <w:p>
            <w:pPr>
              <w:pStyle w:val="TableText"/>
            </w:pPr>
            <w:r>
              <w:t xml:space="preserve">C</w:t>
            </w:r>
          </w:p>
        </w:tc>
        <w:tc>
          <w:tcPr>
            <w:tcW w:w="9121" w:type="dxa"/>
          </w:tcPr>
          <w:p>
            <w:pPr>
              <w:pStyle w:val="TableText"/>
            </w:pPr>
            <w:r>
              <w:t xml:space="preserve">PMI Centro-Nord: Bologna, 1 MWp su copertura est-ovest, 3 GWh/a a 1 turno, BESS 1 MWh / 0,5 MW, iper + Sabatini</w:t>
            </w:r>
          </w:p>
        </w:tc>
      </w:tr>
      <w:tr>
        <w:tc>
          <w:tcPr>
            <w:tcW w:w="517" w:type="dxa"/>
          </w:tcPr>
          <w:p>
            <w:pPr>
              <w:pStyle w:val="TableText"/>
            </w:pPr>
            <w:r>
              <w:t xml:space="preserve">C0</w:t>
            </w:r>
          </w:p>
        </w:tc>
        <w:tc>
          <w:tcPr>
            <w:tcW w:w="9121" w:type="dxa"/>
          </w:tcPr>
          <w:p>
            <w:pPr>
              <w:pStyle w:val="TableText"/>
            </w:pPr>
            <w:r>
              <w:t xml:space="preserve">Come C senza incentivi</w:t>
            </w:r>
          </w:p>
        </w:tc>
      </w:tr>
      <w:tr>
        <w:tc>
          <w:tcPr>
            <w:tcW w:w="517" w:type="dxa"/>
          </w:tcPr>
          <w:p>
            <w:pPr>
              <w:pStyle w:val="TableText"/>
            </w:pPr>
            <w:r>
              <w:t xml:space="preserve">D</w:t>
            </w:r>
          </w:p>
        </w:tc>
        <w:tc>
          <w:tcPr>
            <w:tcW w:w="9121" w:type="dxa"/>
          </w:tcPr>
          <w:p>
            <w:pPr>
              <w:pStyle w:val="TableText"/>
            </w:pPr>
            <w:r>
              <w:t xml:space="preserve">Energivoro a ciclo continuo: Milano, 8 MWp a terra tracker, 40 GWh/a, BESS 8 MWh / 4 MW</w:t>
            </w:r>
          </w:p>
        </w:tc>
      </w:tr>
    </w:tbl>
    <w:p>
      <w:pPr>
        <w:pStyle w:val="Normal"/>
        <w:spacing w:after="60"/>
      </w:pPr>
    </w:p>
    <w:p>
      <w:pPr>
        <w:pStyle w:val="Heading1"/>
      </w:pPr>
      <w:r>
        <w:t xml:space="preserve">2. Indicatori principali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383"/>
        <w:gridCol w:w="646"/>
        <w:gridCol w:w="646"/>
        <w:gridCol w:w="778"/>
        <w:gridCol w:w="844"/>
        <w:gridCol w:w="580"/>
        <w:gridCol w:w="712"/>
        <w:gridCol w:w="712"/>
        <w:gridCol w:w="646"/>
        <w:gridCol w:w="515"/>
        <w:gridCol w:w="712"/>
        <w:gridCol w:w="778"/>
        <w:gridCol w:w="909"/>
        <w:gridCol w:w="778"/>
      </w:tblGrid>
      <w:tr>
        <w:trPr>
          <w:tblHeader/>
        </w:trPr>
        <w:tc>
          <w:tcPr>
            <w:tcW w:w="383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Caso</w:t>
            </w:r>
          </w:p>
        </w:tc>
        <w:tc>
          <w:tcPr>
            <w:tcW w:w="646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CAPEX k€</w:t>
            </w:r>
          </w:p>
        </w:tc>
        <w:tc>
          <w:tcPr>
            <w:tcW w:w="646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€/kWp FV</w:t>
            </w:r>
          </w:p>
        </w:tc>
        <w:tc>
          <w:tcPr>
            <w:tcW w:w="778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€/kWh BESS</w:t>
            </w:r>
          </w:p>
        </w:tc>
        <w:tc>
          <w:tcPr>
            <w:tcW w:w="844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Prod. MWh/a</w:t>
            </w:r>
          </w:p>
        </w:tc>
        <w:tc>
          <w:tcPr>
            <w:tcW w:w="580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kWh/kWp</w:t>
            </w:r>
          </w:p>
        </w:tc>
        <w:tc>
          <w:tcPr>
            <w:tcW w:w="712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Autocons.</w:t>
            </w:r>
          </w:p>
        </w:tc>
        <w:tc>
          <w:tcPr>
            <w:tcW w:w="712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Autosuff.</w:t>
            </w:r>
          </w:p>
        </w:tc>
        <w:tc>
          <w:tcPr>
            <w:tcW w:w="646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Aiuti k€</w:t>
            </w:r>
          </w:p>
        </w:tc>
        <w:tc>
          <w:tcPr>
            <w:tcW w:w="515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VAN k€</w:t>
            </w:r>
          </w:p>
        </w:tc>
        <w:tc>
          <w:tcPr>
            <w:tcW w:w="712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TIR prog.</w:t>
            </w:r>
          </w:p>
        </w:tc>
        <w:tc>
          <w:tcPr>
            <w:tcW w:w="778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TIR equity</w:t>
            </w:r>
          </w:p>
        </w:tc>
        <w:tc>
          <w:tcPr>
            <w:tcW w:w="909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Payback anni</w:t>
            </w:r>
          </w:p>
        </w:tc>
        <w:tc>
          <w:tcPr>
            <w:tcW w:w="778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LCOE €/MWh</w:t>
            </w:r>
          </w:p>
        </w:tc>
      </w:tr>
      <w:tr>
        <w:tc>
          <w:tcPr>
            <w:tcW w:w="383" w:type="dxa"/>
          </w:tcPr>
          <w:p>
            <w:pPr>
              <w:pStyle w:val="TableText"/>
            </w:pPr>
            <w:r>
              <w:t xml:space="preserve">A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2409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616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281</w:t>
            </w:r>
          </w:p>
        </w:tc>
        <w:tc>
          <w:tcPr>
            <w:tcW w:w="844" w:type="dxa"/>
          </w:tcPr>
          <w:p>
            <w:pPr>
              <w:pStyle w:val="TableText"/>
              <w:jc w:val="right"/>
            </w:pPr>
            <w:r>
              <w:t xml:space="preserve">3931</w:t>
            </w:r>
          </w:p>
        </w:tc>
        <w:tc>
          <w:tcPr>
            <w:tcW w:w="580" w:type="dxa"/>
          </w:tcPr>
          <w:p>
            <w:pPr>
              <w:pStyle w:val="TableText"/>
              <w:jc w:val="right"/>
            </w:pPr>
            <w:r>
              <w:t xml:space="preserve">1310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86 %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40 %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515" w:type="dxa"/>
          </w:tcPr>
          <w:p>
            <w:pPr>
              <w:pStyle w:val="TableText"/>
              <w:jc w:val="right"/>
            </w:pPr>
            <w:r>
              <w:t xml:space="preserve">4541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23,7 %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42,9 %</w:t>
            </w:r>
          </w:p>
        </w:tc>
        <w:tc>
          <w:tcPr>
            <w:tcW w:w="909" w:type="dxa"/>
          </w:tcPr>
          <w:p>
            <w:pPr>
              <w:pStyle w:val="TableText"/>
              <w:jc w:val="right"/>
            </w:pPr>
            <w:r>
              <w:t xml:space="preserve">4,3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59,8</w:t>
            </w:r>
          </w:p>
        </w:tc>
      </w:tr>
      <w:tr>
        <w:tc>
          <w:tcPr>
            <w:tcW w:w="383" w:type="dxa"/>
          </w:tcPr>
          <w:p>
            <w:pPr>
              <w:pStyle w:val="TableText"/>
            </w:pPr>
            <w:r>
              <w:t xml:space="preserve">A0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1848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616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–</w:t>
            </w:r>
          </w:p>
        </w:tc>
        <w:tc>
          <w:tcPr>
            <w:tcW w:w="844" w:type="dxa"/>
          </w:tcPr>
          <w:p>
            <w:pPr>
              <w:pStyle w:val="TableText"/>
              <w:jc w:val="right"/>
            </w:pPr>
            <w:r>
              <w:t xml:space="preserve">3931</w:t>
            </w:r>
          </w:p>
        </w:tc>
        <w:tc>
          <w:tcPr>
            <w:tcW w:w="580" w:type="dxa"/>
          </w:tcPr>
          <w:p>
            <w:pPr>
              <w:pStyle w:val="TableText"/>
              <w:jc w:val="right"/>
            </w:pPr>
            <w:r>
              <w:t xml:space="preserve">1310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80 %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35 %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515" w:type="dxa"/>
          </w:tcPr>
          <w:p>
            <w:pPr>
              <w:pStyle w:val="TableText"/>
              <w:jc w:val="right"/>
            </w:pPr>
            <w:r>
              <w:t xml:space="preserve">4861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29,4 %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56,5 %</w:t>
            </w:r>
          </w:p>
        </w:tc>
        <w:tc>
          <w:tcPr>
            <w:tcW w:w="909" w:type="dxa"/>
          </w:tcPr>
          <w:p>
            <w:pPr>
              <w:pStyle w:val="TableText"/>
              <w:jc w:val="right"/>
            </w:pPr>
            <w:r>
              <w:t xml:space="preserve">3,5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59,8</w:t>
            </w:r>
          </w:p>
        </w:tc>
      </w:tr>
      <w:tr>
        <w:tc>
          <w:tcPr>
            <w:tcW w:w="383" w:type="dxa"/>
          </w:tcPr>
          <w:p>
            <w:pPr>
              <w:pStyle w:val="TableText"/>
            </w:pPr>
            <w:r>
              <w:t xml:space="preserve">A1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2409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616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281</w:t>
            </w:r>
          </w:p>
        </w:tc>
        <w:tc>
          <w:tcPr>
            <w:tcW w:w="844" w:type="dxa"/>
          </w:tcPr>
          <w:p>
            <w:pPr>
              <w:pStyle w:val="TableText"/>
              <w:jc w:val="right"/>
            </w:pPr>
            <w:r>
              <w:t xml:space="preserve">3931</w:t>
            </w:r>
          </w:p>
        </w:tc>
        <w:tc>
          <w:tcPr>
            <w:tcW w:w="580" w:type="dxa"/>
          </w:tcPr>
          <w:p>
            <w:pPr>
              <w:pStyle w:val="TableText"/>
              <w:jc w:val="right"/>
            </w:pPr>
            <w:r>
              <w:t xml:space="preserve">1310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86 %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40 %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1041</w:t>
            </w:r>
          </w:p>
        </w:tc>
        <w:tc>
          <w:tcPr>
            <w:tcW w:w="515" w:type="dxa"/>
          </w:tcPr>
          <w:p>
            <w:pPr>
              <w:pStyle w:val="TableText"/>
              <w:jc w:val="right"/>
            </w:pPr>
            <w:r>
              <w:t xml:space="preserve">5225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26,8 %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50,5 %</w:t>
            </w:r>
          </w:p>
        </w:tc>
        <w:tc>
          <w:tcPr>
            <w:tcW w:w="909" w:type="dxa"/>
          </w:tcPr>
          <w:p>
            <w:pPr>
              <w:pStyle w:val="TableText"/>
              <w:jc w:val="right"/>
            </w:pPr>
            <w:r>
              <w:t xml:space="preserve">3,8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59,8</w:t>
            </w:r>
          </w:p>
        </w:tc>
      </w:tr>
      <w:tr>
        <w:tc>
          <w:tcPr>
            <w:tcW w:w="383" w:type="dxa"/>
          </w:tcPr>
          <w:p>
            <w:pPr>
              <w:pStyle w:val="TableText"/>
            </w:pPr>
            <w:r>
              <w:t xml:space="preserve">A2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2409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616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281</w:t>
            </w:r>
          </w:p>
        </w:tc>
        <w:tc>
          <w:tcPr>
            <w:tcW w:w="844" w:type="dxa"/>
          </w:tcPr>
          <w:p>
            <w:pPr>
              <w:pStyle w:val="TableText"/>
              <w:jc w:val="right"/>
            </w:pPr>
            <w:r>
              <w:t xml:space="preserve">3931</w:t>
            </w:r>
          </w:p>
        </w:tc>
        <w:tc>
          <w:tcPr>
            <w:tcW w:w="580" w:type="dxa"/>
          </w:tcPr>
          <w:p>
            <w:pPr>
              <w:pStyle w:val="TableText"/>
              <w:jc w:val="right"/>
            </w:pPr>
            <w:r>
              <w:t xml:space="preserve">1310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86 %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40 %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1179</w:t>
            </w:r>
          </w:p>
        </w:tc>
        <w:tc>
          <w:tcPr>
            <w:tcW w:w="515" w:type="dxa"/>
          </w:tcPr>
          <w:p>
            <w:pPr>
              <w:pStyle w:val="TableText"/>
              <w:jc w:val="right"/>
            </w:pPr>
            <w:r>
              <w:t xml:space="preserve">5311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27,7 %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53,5 %</w:t>
            </w:r>
          </w:p>
        </w:tc>
        <w:tc>
          <w:tcPr>
            <w:tcW w:w="909" w:type="dxa"/>
          </w:tcPr>
          <w:p>
            <w:pPr>
              <w:pStyle w:val="TableText"/>
              <w:jc w:val="right"/>
            </w:pPr>
            <w:r>
              <w:t xml:space="preserve">3,6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59,8</w:t>
            </w:r>
          </w:p>
        </w:tc>
      </w:tr>
      <w:tr>
        <w:tc>
          <w:tcPr>
            <w:tcW w:w="383" w:type="dxa"/>
          </w:tcPr>
          <w:p>
            <w:pPr>
              <w:pStyle w:val="TableText"/>
            </w:pPr>
            <w:r>
              <w:t xml:space="preserve">A3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2409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616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281</w:t>
            </w:r>
          </w:p>
        </w:tc>
        <w:tc>
          <w:tcPr>
            <w:tcW w:w="844" w:type="dxa"/>
          </w:tcPr>
          <w:p>
            <w:pPr>
              <w:pStyle w:val="TableText"/>
              <w:jc w:val="right"/>
            </w:pPr>
            <w:r>
              <w:t xml:space="preserve">3931</w:t>
            </w:r>
          </w:p>
        </w:tc>
        <w:tc>
          <w:tcPr>
            <w:tcW w:w="580" w:type="dxa"/>
          </w:tcPr>
          <w:p>
            <w:pPr>
              <w:pStyle w:val="TableText"/>
              <w:jc w:val="right"/>
            </w:pPr>
            <w:r>
              <w:t xml:space="preserve">1310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85 %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39 %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515" w:type="dxa"/>
          </w:tcPr>
          <w:p>
            <w:pPr>
              <w:pStyle w:val="TableText"/>
              <w:jc w:val="right"/>
            </w:pPr>
            <w:r>
              <w:t xml:space="preserve">4615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24,0 %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43,9 %</w:t>
            </w:r>
          </w:p>
        </w:tc>
        <w:tc>
          <w:tcPr>
            <w:tcW w:w="909" w:type="dxa"/>
          </w:tcPr>
          <w:p>
            <w:pPr>
              <w:pStyle w:val="TableText"/>
              <w:jc w:val="right"/>
            </w:pPr>
            <w:r>
              <w:t xml:space="preserve">4,2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59,8</w:t>
            </w:r>
          </w:p>
        </w:tc>
      </w:tr>
      <w:tr>
        <w:tc>
          <w:tcPr>
            <w:tcW w:w="383" w:type="dxa"/>
          </w:tcPr>
          <w:p>
            <w:pPr>
              <w:pStyle w:val="TableText"/>
            </w:pPr>
            <w:r>
              <w:t xml:space="preserve">B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2409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616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281</w:t>
            </w:r>
          </w:p>
        </w:tc>
        <w:tc>
          <w:tcPr>
            <w:tcW w:w="844" w:type="dxa"/>
          </w:tcPr>
          <w:p>
            <w:pPr>
              <w:pStyle w:val="TableText"/>
              <w:jc w:val="right"/>
            </w:pPr>
            <w:r>
              <w:t xml:space="preserve">5065</w:t>
            </w:r>
          </w:p>
        </w:tc>
        <w:tc>
          <w:tcPr>
            <w:tcW w:w="580" w:type="dxa"/>
          </w:tcPr>
          <w:p>
            <w:pPr>
              <w:pStyle w:val="TableText"/>
              <w:jc w:val="right"/>
            </w:pPr>
            <w:r>
              <w:t xml:space="preserve">1688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82 %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48 %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1369</w:t>
            </w:r>
          </w:p>
        </w:tc>
        <w:tc>
          <w:tcPr>
            <w:tcW w:w="515" w:type="dxa"/>
          </w:tcPr>
          <w:p>
            <w:pPr>
              <w:pStyle w:val="TableText"/>
              <w:jc w:val="right"/>
            </w:pPr>
            <w:r>
              <w:t xml:space="preserve">7524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38,7 %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90,7 %</w:t>
            </w:r>
          </w:p>
        </w:tc>
        <w:tc>
          <w:tcPr>
            <w:tcW w:w="909" w:type="dxa"/>
          </w:tcPr>
          <w:p>
            <w:pPr>
              <w:pStyle w:val="TableText"/>
              <w:jc w:val="right"/>
            </w:pPr>
            <w:r>
              <w:t xml:space="preserve">2,4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46,4</w:t>
            </w:r>
          </w:p>
        </w:tc>
      </w:tr>
      <w:tr>
        <w:tc>
          <w:tcPr>
            <w:tcW w:w="383" w:type="dxa"/>
          </w:tcPr>
          <w:p>
            <w:pPr>
              <w:pStyle w:val="TableText"/>
            </w:pPr>
            <w:r>
              <w:t xml:space="preserve">B0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1848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616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–</w:t>
            </w:r>
          </w:p>
        </w:tc>
        <w:tc>
          <w:tcPr>
            <w:tcW w:w="844" w:type="dxa"/>
          </w:tcPr>
          <w:p>
            <w:pPr>
              <w:pStyle w:val="TableText"/>
              <w:jc w:val="right"/>
            </w:pPr>
            <w:r>
              <w:t xml:space="preserve">5065</w:t>
            </w:r>
          </w:p>
        </w:tc>
        <w:tc>
          <w:tcPr>
            <w:tcW w:w="580" w:type="dxa"/>
          </w:tcPr>
          <w:p>
            <w:pPr>
              <w:pStyle w:val="TableText"/>
              <w:jc w:val="right"/>
            </w:pPr>
            <w:r>
              <w:t xml:space="preserve">1688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75 %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42 %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1050</w:t>
            </w:r>
          </w:p>
        </w:tc>
        <w:tc>
          <w:tcPr>
            <w:tcW w:w="515" w:type="dxa"/>
          </w:tcPr>
          <w:p>
            <w:pPr>
              <w:pStyle w:val="TableText"/>
              <w:jc w:val="right"/>
            </w:pPr>
            <w:r>
              <w:t xml:space="preserve">7523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46,6 %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110,8 %</w:t>
            </w:r>
          </w:p>
        </w:tc>
        <w:tc>
          <w:tcPr>
            <w:tcW w:w="909" w:type="dxa"/>
          </w:tcPr>
          <w:p>
            <w:pPr>
              <w:pStyle w:val="TableText"/>
              <w:jc w:val="right"/>
            </w:pPr>
            <w:r>
              <w:t xml:space="preserve">2,0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46,4</w:t>
            </w:r>
          </w:p>
        </w:tc>
      </w:tr>
      <w:tr>
        <w:tc>
          <w:tcPr>
            <w:tcW w:w="383" w:type="dxa"/>
          </w:tcPr>
          <w:p>
            <w:pPr>
              <w:pStyle w:val="TableText"/>
            </w:pPr>
            <w:r>
              <w:t xml:space="preserve">C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897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594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303</w:t>
            </w:r>
          </w:p>
        </w:tc>
        <w:tc>
          <w:tcPr>
            <w:tcW w:w="844" w:type="dxa"/>
          </w:tcPr>
          <w:p>
            <w:pPr>
              <w:pStyle w:val="TableText"/>
              <w:jc w:val="right"/>
            </w:pPr>
            <w:r>
              <w:t xml:space="preserve">1241</w:t>
            </w:r>
          </w:p>
        </w:tc>
        <w:tc>
          <w:tcPr>
            <w:tcW w:w="580" w:type="dxa"/>
          </w:tcPr>
          <w:p>
            <w:pPr>
              <w:pStyle w:val="TableText"/>
              <w:jc w:val="right"/>
            </w:pPr>
            <w:r>
              <w:t xml:space="preserve">1241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90 %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39 %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437</w:t>
            </w:r>
          </w:p>
        </w:tc>
        <w:tc>
          <w:tcPr>
            <w:tcW w:w="515" w:type="dxa"/>
          </w:tcPr>
          <w:p>
            <w:pPr>
              <w:pStyle w:val="TableText"/>
              <w:jc w:val="right"/>
            </w:pPr>
            <w:r>
              <w:t xml:space="preserve">1646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24,7 %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46,6 %</w:t>
            </w:r>
          </w:p>
        </w:tc>
        <w:tc>
          <w:tcPr>
            <w:tcW w:w="909" w:type="dxa"/>
          </w:tcPr>
          <w:p>
            <w:pPr>
              <w:pStyle w:val="TableText"/>
              <w:jc w:val="right"/>
            </w:pPr>
            <w:r>
              <w:t xml:space="preserve">4,0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60,0</w:t>
            </w:r>
          </w:p>
        </w:tc>
      </w:tr>
      <w:tr>
        <w:tc>
          <w:tcPr>
            <w:tcW w:w="383" w:type="dxa"/>
          </w:tcPr>
          <w:p>
            <w:pPr>
              <w:pStyle w:val="TableText"/>
            </w:pPr>
            <w:r>
              <w:t xml:space="preserve">C0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897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594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303</w:t>
            </w:r>
          </w:p>
        </w:tc>
        <w:tc>
          <w:tcPr>
            <w:tcW w:w="844" w:type="dxa"/>
          </w:tcPr>
          <w:p>
            <w:pPr>
              <w:pStyle w:val="TableText"/>
              <w:jc w:val="right"/>
            </w:pPr>
            <w:r>
              <w:t xml:space="preserve">1241</w:t>
            </w:r>
          </w:p>
        </w:tc>
        <w:tc>
          <w:tcPr>
            <w:tcW w:w="580" w:type="dxa"/>
          </w:tcPr>
          <w:p>
            <w:pPr>
              <w:pStyle w:val="TableText"/>
              <w:jc w:val="right"/>
            </w:pPr>
            <w:r>
              <w:t xml:space="preserve">1241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90 %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39 %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515" w:type="dxa"/>
          </w:tcPr>
          <w:p>
            <w:pPr>
              <w:pStyle w:val="TableText"/>
              <w:jc w:val="right"/>
            </w:pPr>
            <w:r>
              <w:t xml:space="preserve">1361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20,7 %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36,2 %</w:t>
            </w:r>
          </w:p>
        </w:tc>
        <w:tc>
          <w:tcPr>
            <w:tcW w:w="909" w:type="dxa"/>
          </w:tcPr>
          <w:p>
            <w:pPr>
              <w:pStyle w:val="TableText"/>
              <w:jc w:val="right"/>
            </w:pPr>
            <w:r>
              <w:t xml:space="preserve">4,9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60,0</w:t>
            </w:r>
          </w:p>
        </w:tc>
      </w:tr>
      <w:tr>
        <w:tc>
          <w:tcPr>
            <w:tcW w:w="383" w:type="dxa"/>
          </w:tcPr>
          <w:p>
            <w:pPr>
              <w:pStyle w:val="TableText"/>
            </w:pPr>
            <w:r>
              <w:t xml:space="preserve">D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7392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660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264</w:t>
            </w:r>
          </w:p>
        </w:tc>
        <w:tc>
          <w:tcPr>
            <w:tcW w:w="844" w:type="dxa"/>
          </w:tcPr>
          <w:p>
            <w:pPr>
              <w:pStyle w:val="TableText"/>
              <w:jc w:val="right"/>
            </w:pPr>
            <w:r>
              <w:t xml:space="preserve">12.334</w:t>
            </w:r>
          </w:p>
        </w:tc>
        <w:tc>
          <w:tcPr>
            <w:tcW w:w="580" w:type="dxa"/>
          </w:tcPr>
          <w:p>
            <w:pPr>
              <w:pStyle w:val="TableText"/>
              <w:jc w:val="right"/>
            </w:pPr>
            <w:r>
              <w:t xml:space="preserve">1542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100 %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34 %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515" w:type="dxa"/>
          </w:tcPr>
          <w:p>
            <w:pPr>
              <w:pStyle w:val="TableText"/>
              <w:jc w:val="right"/>
            </w:pPr>
            <w:r>
              <w:t xml:space="preserve">13.837</w:t>
            </w:r>
          </w:p>
        </w:tc>
        <w:tc>
          <w:tcPr>
            <w:tcW w:w="712" w:type="dxa"/>
          </w:tcPr>
          <w:p>
            <w:pPr>
              <w:pStyle w:val="TableText"/>
              <w:jc w:val="right"/>
            </w:pPr>
            <w:r>
              <w:t xml:space="preserve">23,5 %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42,7 %</w:t>
            </w:r>
          </w:p>
        </w:tc>
        <w:tc>
          <w:tcPr>
            <w:tcW w:w="909" w:type="dxa"/>
          </w:tcPr>
          <w:p>
            <w:pPr>
              <w:pStyle w:val="TableText"/>
              <w:jc w:val="right"/>
            </w:pPr>
            <w:r>
              <w:t xml:space="preserve">4,3</w:t>
            </w:r>
          </w:p>
        </w:tc>
        <w:tc>
          <w:tcPr>
            <w:tcW w:w="778" w:type="dxa"/>
          </w:tcPr>
          <w:p>
            <w:pPr>
              <w:pStyle w:val="TableText"/>
              <w:jc w:val="right"/>
            </w:pPr>
            <w:r>
              <w:t xml:space="preserve">52,2</w:t>
            </w:r>
          </w:p>
        </w:tc>
      </w:tr>
    </w:tbl>
    <w:p>
      <w:pPr>
        <w:pStyle w:val="Normal"/>
        <w:spacing w:after="60"/>
      </w:pPr>
    </w:p>
    <w:p>
      <w:pPr>
        <w:pStyle w:val="Heading1"/>
      </w:pPr>
      <w:r>
        <w:t xml:space="preserve">3. Valore incrementale del BESS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1470"/>
        <w:gridCol w:w="1470"/>
        <w:gridCol w:w="1199"/>
        <w:gridCol w:w="2694"/>
        <w:gridCol w:w="1199"/>
        <w:gridCol w:w="1606"/>
      </w:tblGrid>
      <w:tr>
        <w:trPr>
          <w:tblHeader/>
        </w:trPr>
        <w:tc>
          <w:tcPr>
            <w:tcW w:w="147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Confronto</w:t>
            </w:r>
          </w:p>
        </w:tc>
        <w:tc>
          <w:tcPr>
            <w:tcW w:w="1470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ΔCAPEX k€</w:t>
            </w:r>
          </w:p>
        </w:tc>
        <w:tc>
          <w:tcPr>
            <w:tcW w:w="1199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ΔVAN k€</w:t>
            </w:r>
          </w:p>
        </w:tc>
        <w:tc>
          <w:tcPr>
            <w:tcW w:w="2694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Scarica BESS MWh/a</w:t>
            </w:r>
          </w:p>
        </w:tc>
        <w:tc>
          <w:tcPr>
            <w:tcW w:w="1199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Cicli/a</w:t>
            </w:r>
          </w:p>
        </w:tc>
        <w:tc>
          <w:tcPr>
            <w:tcW w:w="1606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LCOS €/MWh</w:t>
            </w:r>
          </w:p>
        </w:tc>
      </w:tr>
      <w:tr>
        <w:tc>
          <w:tcPr>
            <w:tcW w:w="1470" w:type="dxa"/>
          </w:tcPr>
          <w:p>
            <w:pPr>
              <w:pStyle w:val="TableText"/>
            </w:pPr>
            <w:r>
              <w:t xml:space="preserve">A vs A0</w:t>
            </w:r>
          </w:p>
        </w:tc>
        <w:tc>
          <w:tcPr>
            <w:tcW w:w="1470" w:type="dxa"/>
          </w:tcPr>
          <w:p>
            <w:pPr>
              <w:pStyle w:val="TableText"/>
              <w:jc w:val="right"/>
            </w:pPr>
            <w:r>
              <w:t xml:space="preserve">561</w:t>
            </w:r>
          </w:p>
        </w:tc>
        <w:tc>
          <w:tcPr>
            <w:tcW w:w="1199" w:type="dxa"/>
          </w:tcPr>
          <w:p>
            <w:pPr>
              <w:pStyle w:val="TableText"/>
              <w:jc w:val="right"/>
            </w:pPr>
            <w:r>
              <w:t xml:space="preserve">-320</w:t>
            </w:r>
          </w:p>
        </w:tc>
        <w:tc>
          <w:tcPr>
            <w:tcW w:w="2694" w:type="dxa"/>
          </w:tcPr>
          <w:p>
            <w:pPr>
              <w:pStyle w:val="TableText"/>
              <w:jc w:val="right"/>
            </w:pPr>
            <w:r>
              <w:t xml:space="preserve">405</w:t>
            </w:r>
          </w:p>
        </w:tc>
        <w:tc>
          <w:tcPr>
            <w:tcW w:w="1199" w:type="dxa"/>
          </w:tcPr>
          <w:p>
            <w:pPr>
              <w:pStyle w:val="TableText"/>
              <w:jc w:val="right"/>
            </w:pPr>
            <w:r>
              <w:t xml:space="preserve">225</w:t>
            </w:r>
          </w:p>
        </w:tc>
        <w:tc>
          <w:tcPr>
            <w:tcW w:w="1606" w:type="dxa"/>
          </w:tcPr>
          <w:p>
            <w:pPr>
              <w:pStyle w:val="TableText"/>
              <w:jc w:val="right"/>
            </w:pPr>
            <w:r>
              <w:t xml:space="preserve">162</w:t>
            </w:r>
          </w:p>
        </w:tc>
      </w:tr>
      <w:tr>
        <w:tc>
          <w:tcPr>
            <w:tcW w:w="1470" w:type="dxa"/>
          </w:tcPr>
          <w:p>
            <w:pPr>
              <w:pStyle w:val="TableText"/>
            </w:pPr>
            <w:r>
              <w:t xml:space="preserve">B vs B0</w:t>
            </w:r>
          </w:p>
        </w:tc>
        <w:tc>
          <w:tcPr>
            <w:tcW w:w="1470" w:type="dxa"/>
          </w:tcPr>
          <w:p>
            <w:pPr>
              <w:pStyle w:val="TableText"/>
              <w:jc w:val="right"/>
            </w:pPr>
            <w:r>
              <w:t xml:space="preserve">561</w:t>
            </w:r>
          </w:p>
        </w:tc>
        <w:tc>
          <w:tcPr>
            <w:tcW w:w="1199" w:type="dxa"/>
          </w:tcPr>
          <w:p>
            <w:pPr>
              <w:pStyle w:val="TableText"/>
              <w:jc w:val="right"/>
            </w:pPr>
            <w:r>
              <w:t xml:space="preserve">1</w:t>
            </w:r>
          </w:p>
        </w:tc>
        <w:tc>
          <w:tcPr>
            <w:tcW w:w="2694" w:type="dxa"/>
          </w:tcPr>
          <w:p>
            <w:pPr>
              <w:pStyle w:val="TableText"/>
              <w:jc w:val="right"/>
            </w:pPr>
            <w:r>
              <w:t xml:space="preserve">471</w:t>
            </w:r>
          </w:p>
        </w:tc>
        <w:tc>
          <w:tcPr>
            <w:tcW w:w="1199" w:type="dxa"/>
          </w:tcPr>
          <w:p>
            <w:pPr>
              <w:pStyle w:val="TableText"/>
              <w:jc w:val="right"/>
            </w:pPr>
            <w:r>
              <w:t xml:space="preserve">261</w:t>
            </w:r>
          </w:p>
        </w:tc>
        <w:tc>
          <w:tcPr>
            <w:tcW w:w="1606" w:type="dxa"/>
          </w:tcPr>
          <w:p>
            <w:pPr>
              <w:pStyle w:val="TableText"/>
              <w:jc w:val="right"/>
            </w:pPr>
            <w:r>
              <w:t xml:space="preserve">143</w:t>
            </w:r>
          </w:p>
        </w:tc>
      </w:tr>
      <w:tr>
        <w:tc>
          <w:tcPr>
            <w:tcW w:w="1470" w:type="dxa"/>
          </w:tcPr>
          <w:p>
            <w:pPr>
              <w:pStyle w:val="TableText"/>
            </w:pPr>
            <w:r>
              <w:t xml:space="preserve">A3 vs A0</w:t>
            </w:r>
          </w:p>
        </w:tc>
        <w:tc>
          <w:tcPr>
            <w:tcW w:w="1470" w:type="dxa"/>
          </w:tcPr>
          <w:p>
            <w:pPr>
              <w:pStyle w:val="TableText"/>
              <w:jc w:val="right"/>
            </w:pPr>
            <w:r>
              <w:t xml:space="preserve">561</w:t>
            </w:r>
          </w:p>
        </w:tc>
        <w:tc>
          <w:tcPr>
            <w:tcW w:w="1199" w:type="dxa"/>
          </w:tcPr>
          <w:p>
            <w:pPr>
              <w:pStyle w:val="TableText"/>
              <w:jc w:val="right"/>
            </w:pPr>
            <w:r>
              <w:t xml:space="preserve">-246</w:t>
            </w:r>
          </w:p>
        </w:tc>
        <w:tc>
          <w:tcPr>
            <w:tcW w:w="2694" w:type="dxa"/>
          </w:tcPr>
          <w:p>
            <w:pPr>
              <w:pStyle w:val="TableText"/>
              <w:jc w:val="right"/>
            </w:pPr>
            <w:r>
              <w:t xml:space="preserve">367</w:t>
            </w:r>
          </w:p>
        </w:tc>
        <w:tc>
          <w:tcPr>
            <w:tcW w:w="1199" w:type="dxa"/>
          </w:tcPr>
          <w:p>
            <w:pPr>
              <w:pStyle w:val="TableText"/>
              <w:jc w:val="right"/>
            </w:pPr>
            <w:r>
              <w:t xml:space="preserve">204</w:t>
            </w:r>
          </w:p>
        </w:tc>
        <w:tc>
          <w:tcPr>
            <w:tcW w:w="1606" w:type="dxa"/>
          </w:tcPr>
          <w:p>
            <w:pPr>
              <w:pStyle w:val="TableText"/>
              <w:jc w:val="right"/>
            </w:pPr>
            <w:r>
              <w:t xml:space="preserve">178</w:t>
            </w:r>
          </w:p>
        </w:tc>
      </w:tr>
    </w:tbl>
    <w:p>
      <w:pPr>
        <w:pStyle w:val="Normal"/>
        <w:spacing w:after="60"/>
      </w:pPr>
    </w:p>
    <w:p>
      <w:pPr>
        <w:pStyle w:val="Heading2"/>
      </w:pPr>
      <w:r>
        <w:t xml:space="preserve">Scansione della taglia del BESS (caso A, rapporto 2 h)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1249"/>
        <w:gridCol w:w="1566"/>
        <w:gridCol w:w="826"/>
        <w:gridCol w:w="2095"/>
        <w:gridCol w:w="769"/>
        <w:gridCol w:w="1566"/>
        <w:gridCol w:w="1566"/>
      </w:tblGrid>
      <w:tr>
        <w:trPr>
          <w:tblHeader/>
        </w:trPr>
        <w:tc>
          <w:tcPr>
            <w:tcW w:w="1249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kWh / kW</w:t>
            </w:r>
          </w:p>
        </w:tc>
        <w:tc>
          <w:tcPr>
            <w:tcW w:w="1566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CAPEX BESS k€</w:t>
            </w:r>
          </w:p>
        </w:tc>
        <w:tc>
          <w:tcPr>
            <w:tcW w:w="826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VAN k€</w:t>
            </w:r>
          </w:p>
        </w:tc>
        <w:tc>
          <w:tcPr>
            <w:tcW w:w="2095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ΔVAN vs solo FV k€</w:t>
            </w:r>
          </w:p>
        </w:tc>
        <w:tc>
          <w:tcPr>
            <w:tcW w:w="769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TIR</w:t>
            </w:r>
          </w:p>
        </w:tc>
        <w:tc>
          <w:tcPr>
            <w:tcW w:w="1566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Scarica MWh/a</w:t>
            </w:r>
          </w:p>
        </w:tc>
        <w:tc>
          <w:tcPr>
            <w:tcW w:w="1566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Da rete MWh/a</w:t>
            </w:r>
          </w:p>
        </w:tc>
      </w:tr>
      <w:tr>
        <w:tc>
          <w:tcPr>
            <w:tcW w:w="1249" w:type="dxa"/>
          </w:tcPr>
          <w:p>
            <w:pPr>
              <w:pStyle w:val="TableText"/>
            </w:pPr>
            <w:r>
              <w:t xml:space="preserve">0 / 0</w:t>
            </w:r>
          </w:p>
        </w:tc>
        <w:tc>
          <w:tcPr>
            <w:tcW w:w="1566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826" w:type="dxa"/>
          </w:tcPr>
          <w:p>
            <w:pPr>
              <w:pStyle w:val="TableText"/>
              <w:jc w:val="right"/>
            </w:pPr>
            <w:r>
              <w:t xml:space="preserve">4861</w:t>
            </w:r>
          </w:p>
        </w:tc>
        <w:tc>
          <w:tcPr>
            <w:tcW w:w="2095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769" w:type="dxa"/>
          </w:tcPr>
          <w:p>
            <w:pPr>
              <w:pStyle w:val="TableText"/>
              <w:jc w:val="right"/>
            </w:pPr>
            <w:r>
              <w:t xml:space="preserve">29,4 %</w:t>
            </w:r>
          </w:p>
        </w:tc>
        <w:tc>
          <w:tcPr>
            <w:tcW w:w="1566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1566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</w:tr>
      <w:tr>
        <w:tc>
          <w:tcPr>
            <w:tcW w:w="1249" w:type="dxa"/>
          </w:tcPr>
          <w:p>
            <w:pPr>
              <w:pStyle w:val="TableText"/>
            </w:pPr>
            <w:r>
              <w:t xml:space="preserve">1000 / 500</w:t>
            </w:r>
          </w:p>
        </w:tc>
        <w:tc>
          <w:tcPr>
            <w:tcW w:w="1566" w:type="dxa"/>
          </w:tcPr>
          <w:p>
            <w:pPr>
              <w:pStyle w:val="TableText"/>
              <w:jc w:val="right"/>
            </w:pPr>
            <w:r>
              <w:t xml:space="preserve">303</w:t>
            </w:r>
          </w:p>
        </w:tc>
        <w:tc>
          <w:tcPr>
            <w:tcW w:w="826" w:type="dxa"/>
          </w:tcPr>
          <w:p>
            <w:pPr>
              <w:pStyle w:val="TableText"/>
              <w:jc w:val="right"/>
            </w:pPr>
            <w:r>
              <w:t xml:space="preserve">4699</w:t>
            </w:r>
          </w:p>
        </w:tc>
        <w:tc>
          <w:tcPr>
            <w:tcW w:w="2095" w:type="dxa"/>
          </w:tcPr>
          <w:p>
            <w:pPr>
              <w:pStyle w:val="TableText"/>
              <w:jc w:val="right"/>
            </w:pPr>
            <w:r>
              <w:t xml:space="preserve">-162</w:t>
            </w:r>
          </w:p>
        </w:tc>
        <w:tc>
          <w:tcPr>
            <w:tcW w:w="769" w:type="dxa"/>
          </w:tcPr>
          <w:p>
            <w:pPr>
              <w:pStyle w:val="TableText"/>
              <w:jc w:val="right"/>
            </w:pPr>
            <w:r>
              <w:t xml:space="preserve">26,0 %</w:t>
            </w:r>
          </w:p>
        </w:tc>
        <w:tc>
          <w:tcPr>
            <w:tcW w:w="1566" w:type="dxa"/>
          </w:tcPr>
          <w:p>
            <w:pPr>
              <w:pStyle w:val="TableText"/>
              <w:jc w:val="right"/>
            </w:pPr>
            <w:r>
              <w:t xml:space="preserve">229</w:t>
            </w:r>
          </w:p>
        </w:tc>
        <w:tc>
          <w:tcPr>
            <w:tcW w:w="1566" w:type="dxa"/>
          </w:tcPr>
          <w:p>
            <w:pPr>
              <w:pStyle w:val="TableText"/>
              <w:jc w:val="right"/>
            </w:pPr>
            <w:r>
              <w:t xml:space="preserve">122</w:t>
            </w:r>
          </w:p>
        </w:tc>
      </w:tr>
      <w:tr>
        <w:tc>
          <w:tcPr>
            <w:tcW w:w="1249" w:type="dxa"/>
          </w:tcPr>
          <w:p>
            <w:pPr>
              <w:pStyle w:val="TableText"/>
            </w:pPr>
            <w:r>
              <w:t xml:space="preserve">2000 / 1000</w:t>
            </w:r>
          </w:p>
        </w:tc>
        <w:tc>
          <w:tcPr>
            <w:tcW w:w="1566" w:type="dxa"/>
          </w:tcPr>
          <w:p>
            <w:pPr>
              <w:pStyle w:val="TableText"/>
              <w:jc w:val="right"/>
            </w:pPr>
            <w:r>
              <w:t xml:space="preserve">561</w:t>
            </w:r>
          </w:p>
        </w:tc>
        <w:tc>
          <w:tcPr>
            <w:tcW w:w="826" w:type="dxa"/>
          </w:tcPr>
          <w:p>
            <w:pPr>
              <w:pStyle w:val="TableText"/>
              <w:jc w:val="right"/>
            </w:pPr>
            <w:r>
              <w:t xml:space="preserve">4541</w:t>
            </w:r>
          </w:p>
        </w:tc>
        <w:tc>
          <w:tcPr>
            <w:tcW w:w="2095" w:type="dxa"/>
          </w:tcPr>
          <w:p>
            <w:pPr>
              <w:pStyle w:val="TableText"/>
              <w:jc w:val="right"/>
            </w:pPr>
            <w:r>
              <w:t xml:space="preserve">-320</w:t>
            </w:r>
          </w:p>
        </w:tc>
        <w:tc>
          <w:tcPr>
            <w:tcW w:w="769" w:type="dxa"/>
          </w:tcPr>
          <w:p>
            <w:pPr>
              <w:pStyle w:val="TableText"/>
              <w:jc w:val="right"/>
            </w:pPr>
            <w:r>
              <w:t xml:space="preserve">23,7 %</w:t>
            </w:r>
          </w:p>
        </w:tc>
        <w:tc>
          <w:tcPr>
            <w:tcW w:w="1566" w:type="dxa"/>
          </w:tcPr>
          <w:p>
            <w:pPr>
              <w:pStyle w:val="TableText"/>
              <w:jc w:val="right"/>
            </w:pPr>
            <w:r>
              <w:t xml:space="preserve">405</w:t>
            </w:r>
          </w:p>
        </w:tc>
        <w:tc>
          <w:tcPr>
            <w:tcW w:w="1566" w:type="dxa"/>
          </w:tcPr>
          <w:p>
            <w:pPr>
              <w:pStyle w:val="TableText"/>
              <w:jc w:val="right"/>
            </w:pPr>
            <w:r>
              <w:t xml:space="preserve">227</w:t>
            </w:r>
          </w:p>
        </w:tc>
      </w:tr>
      <w:tr>
        <w:tc>
          <w:tcPr>
            <w:tcW w:w="1249" w:type="dxa"/>
          </w:tcPr>
          <w:p>
            <w:pPr>
              <w:pStyle w:val="TableText"/>
            </w:pPr>
            <w:r>
              <w:t xml:space="preserve">4000 / 2000</w:t>
            </w:r>
          </w:p>
        </w:tc>
        <w:tc>
          <w:tcPr>
            <w:tcW w:w="1566" w:type="dxa"/>
          </w:tcPr>
          <w:p>
            <w:pPr>
              <w:pStyle w:val="TableText"/>
              <w:jc w:val="right"/>
            </w:pPr>
            <w:r>
              <w:t xml:space="preserve">1078</w:t>
            </w:r>
          </w:p>
        </w:tc>
        <w:tc>
          <w:tcPr>
            <w:tcW w:w="826" w:type="dxa"/>
          </w:tcPr>
          <w:p>
            <w:pPr>
              <w:pStyle w:val="TableText"/>
              <w:jc w:val="right"/>
            </w:pPr>
            <w:r>
              <w:t xml:space="preserve">4161</w:t>
            </w:r>
          </w:p>
        </w:tc>
        <w:tc>
          <w:tcPr>
            <w:tcW w:w="2095" w:type="dxa"/>
          </w:tcPr>
          <w:p>
            <w:pPr>
              <w:pStyle w:val="TableText"/>
              <w:jc w:val="right"/>
            </w:pPr>
            <w:r>
              <w:t xml:space="preserve">-700</w:t>
            </w:r>
          </w:p>
        </w:tc>
        <w:tc>
          <w:tcPr>
            <w:tcW w:w="769" w:type="dxa"/>
          </w:tcPr>
          <w:p>
            <w:pPr>
              <w:pStyle w:val="TableText"/>
              <w:jc w:val="right"/>
            </w:pPr>
            <w:r>
              <w:t xml:space="preserve">20,0 %</w:t>
            </w:r>
          </w:p>
        </w:tc>
        <w:tc>
          <w:tcPr>
            <w:tcW w:w="1566" w:type="dxa"/>
          </w:tcPr>
          <w:p>
            <w:pPr>
              <w:pStyle w:val="TableText"/>
              <w:jc w:val="right"/>
            </w:pPr>
            <w:r>
              <w:t xml:space="preserve">718</w:t>
            </w:r>
          </w:p>
        </w:tc>
        <w:tc>
          <w:tcPr>
            <w:tcW w:w="1566" w:type="dxa"/>
          </w:tcPr>
          <w:p>
            <w:pPr>
              <w:pStyle w:val="TableText"/>
              <w:jc w:val="right"/>
            </w:pPr>
            <w:r>
              <w:t xml:space="preserve">469</w:t>
            </w:r>
          </w:p>
        </w:tc>
      </w:tr>
      <w:tr>
        <w:tc>
          <w:tcPr>
            <w:tcW w:w="1249" w:type="dxa"/>
          </w:tcPr>
          <w:p>
            <w:pPr>
              <w:pStyle w:val="TableText"/>
            </w:pPr>
            <w:r>
              <w:t xml:space="preserve">6000 / 3000</w:t>
            </w:r>
          </w:p>
        </w:tc>
        <w:tc>
          <w:tcPr>
            <w:tcW w:w="1566" w:type="dxa"/>
          </w:tcPr>
          <w:p>
            <w:pPr>
              <w:pStyle w:val="TableText"/>
              <w:jc w:val="right"/>
            </w:pPr>
            <w:r>
              <w:t xml:space="preserve">1595</w:t>
            </w:r>
          </w:p>
        </w:tc>
        <w:tc>
          <w:tcPr>
            <w:tcW w:w="826" w:type="dxa"/>
          </w:tcPr>
          <w:p>
            <w:pPr>
              <w:pStyle w:val="TableText"/>
              <w:jc w:val="right"/>
            </w:pPr>
            <w:r>
              <w:t xml:space="preserve">3733</w:t>
            </w:r>
          </w:p>
        </w:tc>
        <w:tc>
          <w:tcPr>
            <w:tcW w:w="2095" w:type="dxa"/>
          </w:tcPr>
          <w:p>
            <w:pPr>
              <w:pStyle w:val="TableText"/>
              <w:jc w:val="right"/>
            </w:pPr>
            <w:r>
              <w:t xml:space="preserve">-1128</w:t>
            </w:r>
          </w:p>
        </w:tc>
        <w:tc>
          <w:tcPr>
            <w:tcW w:w="769" w:type="dxa"/>
          </w:tcPr>
          <w:p>
            <w:pPr>
              <w:pStyle w:val="TableText"/>
              <w:jc w:val="right"/>
            </w:pPr>
            <w:r>
              <w:t xml:space="preserve">17,2 %</w:t>
            </w:r>
          </w:p>
        </w:tc>
        <w:tc>
          <w:tcPr>
            <w:tcW w:w="1566" w:type="dxa"/>
          </w:tcPr>
          <w:p>
            <w:pPr>
              <w:pStyle w:val="TableText"/>
              <w:jc w:val="right"/>
            </w:pPr>
            <w:r>
              <w:t xml:space="preserve">1021</w:t>
            </w:r>
          </w:p>
        </w:tc>
        <w:tc>
          <w:tcPr>
            <w:tcW w:w="1566" w:type="dxa"/>
          </w:tcPr>
          <w:p>
            <w:pPr>
              <w:pStyle w:val="TableText"/>
              <w:jc w:val="right"/>
            </w:pPr>
            <w:r>
              <w:t xml:space="preserve">750</w:t>
            </w:r>
          </w:p>
        </w:tc>
      </w:tr>
    </w:tbl>
    <w:p>
      <w:pPr>
        <w:pStyle w:val="Normal"/>
        <w:spacing w:after="60"/>
      </w:pPr>
    </w:p>
    <w:p>
      <w:pPr>
        <w:pStyle w:val="Heading2"/>
      </w:pPr>
      <w:r>
        <w:t xml:space="preserve">Strategie EMS (caso A)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3675"/>
        <w:gridCol w:w="645"/>
        <w:gridCol w:w="1223"/>
        <w:gridCol w:w="1223"/>
        <w:gridCol w:w="2873"/>
      </w:tblGrid>
      <w:tr>
        <w:trPr>
          <w:tblHeader/>
        </w:trPr>
        <w:tc>
          <w:tcPr>
            <w:tcW w:w="3675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Strategia</w:t>
            </w:r>
          </w:p>
        </w:tc>
        <w:tc>
          <w:tcPr>
            <w:tcW w:w="645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VAN k€</w:t>
            </w:r>
          </w:p>
        </w:tc>
        <w:tc>
          <w:tcPr>
            <w:tcW w:w="1223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Scarica MWh/a</w:t>
            </w:r>
          </w:p>
        </w:tc>
        <w:tc>
          <w:tcPr>
            <w:tcW w:w="1223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Da rete MWh/a</w:t>
            </w:r>
          </w:p>
        </w:tc>
        <w:tc>
          <w:tcPr>
            <w:tcW w:w="2873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Risparmio quota potenza anno 1 k€</w:t>
            </w:r>
          </w:p>
        </w:tc>
      </w:tr>
      <w:tr>
        <w:tc>
          <w:tcPr>
            <w:tcW w:w="3675" w:type="dxa"/>
          </w:tcPr>
          <w:p>
            <w:pPr>
              <w:pStyle w:val="TableText"/>
            </w:pPr>
            <w:r>
              <w:t xml:space="preserve">Solo autoconsumo</w:t>
            </w:r>
          </w:p>
        </w:tc>
        <w:tc>
          <w:tcPr>
            <w:tcW w:w="645" w:type="dxa"/>
          </w:tcPr>
          <w:p>
            <w:pPr>
              <w:pStyle w:val="TableText"/>
              <w:jc w:val="right"/>
            </w:pPr>
            <w:r>
              <w:t xml:space="preserve">4499</w:t>
            </w:r>
          </w:p>
        </w:tc>
        <w:tc>
          <w:tcPr>
            <w:tcW w:w="1223" w:type="dxa"/>
          </w:tcPr>
          <w:p>
            <w:pPr>
              <w:pStyle w:val="TableText"/>
              <w:jc w:val="right"/>
            </w:pPr>
            <w:r>
              <w:t xml:space="preserve">220</w:t>
            </w:r>
          </w:p>
        </w:tc>
        <w:tc>
          <w:tcPr>
            <w:tcW w:w="1223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2873" w:type="dxa"/>
          </w:tcPr>
          <w:p>
            <w:pPr>
              <w:pStyle w:val="TableText"/>
              <w:jc w:val="right"/>
            </w:pPr>
            <w:r>
              <w:t xml:space="preserve">1,7</w:t>
            </w:r>
          </w:p>
        </w:tc>
      </w:tr>
      <w:tr>
        <w:tc>
          <w:tcPr>
            <w:tcW w:w="3675" w:type="dxa"/>
          </w:tcPr>
          <w:p>
            <w:pPr>
              <w:pStyle w:val="TableText"/>
            </w:pPr>
            <w:r>
              <w:t xml:space="preserve">Autoconsumo + arbitraggio</w:t>
            </w:r>
          </w:p>
        </w:tc>
        <w:tc>
          <w:tcPr>
            <w:tcW w:w="645" w:type="dxa"/>
          </w:tcPr>
          <w:p>
            <w:pPr>
              <w:pStyle w:val="TableText"/>
              <w:jc w:val="right"/>
            </w:pPr>
            <w:r>
              <w:t xml:space="preserve">4541</w:t>
            </w:r>
          </w:p>
        </w:tc>
        <w:tc>
          <w:tcPr>
            <w:tcW w:w="1223" w:type="dxa"/>
          </w:tcPr>
          <w:p>
            <w:pPr>
              <w:pStyle w:val="TableText"/>
              <w:jc w:val="right"/>
            </w:pPr>
            <w:r>
              <w:t xml:space="preserve">405</w:t>
            </w:r>
          </w:p>
        </w:tc>
        <w:tc>
          <w:tcPr>
            <w:tcW w:w="1223" w:type="dxa"/>
          </w:tcPr>
          <w:p>
            <w:pPr>
              <w:pStyle w:val="TableText"/>
              <w:jc w:val="right"/>
            </w:pPr>
            <w:r>
              <w:t xml:space="preserve">227</w:t>
            </w:r>
          </w:p>
        </w:tc>
        <w:tc>
          <w:tcPr>
            <w:tcW w:w="2873" w:type="dxa"/>
          </w:tcPr>
          <w:p>
            <w:pPr>
              <w:pStyle w:val="TableText"/>
              <w:jc w:val="right"/>
            </w:pPr>
            <w:r>
              <w:t xml:space="preserve">1,9</w:t>
            </w:r>
          </w:p>
        </w:tc>
      </w:tr>
      <w:tr>
        <w:tc>
          <w:tcPr>
            <w:tcW w:w="3675" w:type="dxa"/>
          </w:tcPr>
          <w:p>
            <w:pPr>
              <w:pStyle w:val="TableText"/>
            </w:pPr>
            <w:r>
              <w:t xml:space="preserve">Autoconsumo + arbitraggio + peak shaving 1,7 MW</w:t>
            </w:r>
          </w:p>
        </w:tc>
        <w:tc>
          <w:tcPr>
            <w:tcW w:w="645" w:type="dxa"/>
          </w:tcPr>
          <w:p>
            <w:pPr>
              <w:pStyle w:val="TableText"/>
              <w:jc w:val="right"/>
            </w:pPr>
            <w:r>
              <w:t xml:space="preserve">4539</w:t>
            </w:r>
          </w:p>
        </w:tc>
        <w:tc>
          <w:tcPr>
            <w:tcW w:w="1223" w:type="dxa"/>
          </w:tcPr>
          <w:p>
            <w:pPr>
              <w:pStyle w:val="TableText"/>
              <w:jc w:val="right"/>
            </w:pPr>
            <w:r>
              <w:t xml:space="preserve">367</w:t>
            </w:r>
          </w:p>
        </w:tc>
        <w:tc>
          <w:tcPr>
            <w:tcW w:w="1223" w:type="dxa"/>
          </w:tcPr>
          <w:p>
            <w:pPr>
              <w:pStyle w:val="TableText"/>
              <w:jc w:val="right"/>
            </w:pPr>
            <w:r>
              <w:t xml:space="preserve">238</w:t>
            </w:r>
          </w:p>
        </w:tc>
        <w:tc>
          <w:tcPr>
            <w:tcW w:w="2873" w:type="dxa"/>
          </w:tcPr>
          <w:p>
            <w:pPr>
              <w:pStyle w:val="TableText"/>
              <w:jc w:val="right"/>
            </w:pPr>
            <w:r>
              <w:t xml:space="preserve">7,6</w:t>
            </w:r>
          </w:p>
        </w:tc>
      </w:tr>
    </w:tbl>
    <w:p>
      <w:pPr>
        <w:pStyle w:val="Normal"/>
        <w:spacing w:after="60"/>
      </w:pPr>
    </w:p>
    <w:p>
      <w:pPr>
        <w:pStyle w:val="Heading1"/>
      </w:pPr>
      <w:r>
        <w:t xml:space="preserve">4. Scenari di prezzo (caso A)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3207"/>
        <w:gridCol w:w="2127"/>
        <w:gridCol w:w="1407"/>
        <w:gridCol w:w="1309"/>
        <w:gridCol w:w="1587"/>
      </w:tblGrid>
      <w:tr>
        <w:trPr>
          <w:tblHeader/>
        </w:trPr>
        <w:tc>
          <w:tcPr>
            <w:tcW w:w="3207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PUN anno 1 €/MWh</w:t>
            </w:r>
          </w:p>
        </w:tc>
        <w:tc>
          <w:tcPr>
            <w:tcW w:w="2127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Escalation</w:t>
            </w:r>
          </w:p>
        </w:tc>
        <w:tc>
          <w:tcPr>
            <w:tcW w:w="1407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VAN k€</w:t>
            </w:r>
          </w:p>
        </w:tc>
        <w:tc>
          <w:tcPr>
            <w:tcW w:w="1309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TIR</w:t>
            </w:r>
          </w:p>
        </w:tc>
        <w:tc>
          <w:tcPr>
            <w:tcW w:w="1587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Payback</w:t>
            </w:r>
          </w:p>
        </w:tc>
      </w:tr>
      <w:tr>
        <w:tc>
          <w:tcPr>
            <w:tcW w:w="3207" w:type="dxa"/>
          </w:tcPr>
          <w:p>
            <w:pPr>
              <w:pStyle w:val="TableText"/>
              <w:jc w:val="right"/>
            </w:pPr>
            <w:r>
              <w:t xml:space="preserve">100</w:t>
            </w:r>
          </w:p>
        </w:tc>
        <w:tc>
          <w:tcPr>
            <w:tcW w:w="2127" w:type="dxa"/>
          </w:tcPr>
          <w:p>
            <w:pPr>
              <w:pStyle w:val="TableText"/>
              <w:jc w:val="right"/>
            </w:pPr>
            <w:r>
              <w:t xml:space="preserve">0 %/a</w:t>
            </w:r>
          </w:p>
        </w:tc>
        <w:tc>
          <w:tcPr>
            <w:tcW w:w="1407" w:type="dxa"/>
          </w:tcPr>
          <w:p>
            <w:pPr>
              <w:pStyle w:val="TableText"/>
              <w:jc w:val="right"/>
            </w:pPr>
            <w:r>
              <w:t xml:space="preserve">2484</w:t>
            </w:r>
          </w:p>
        </w:tc>
        <w:tc>
          <w:tcPr>
            <w:tcW w:w="1309" w:type="dxa"/>
          </w:tcPr>
          <w:p>
            <w:pPr>
              <w:pStyle w:val="TableText"/>
              <w:jc w:val="right"/>
            </w:pPr>
            <w:r>
              <w:t xml:space="preserve">18,1 %</w:t>
            </w:r>
          </w:p>
        </w:tc>
        <w:tc>
          <w:tcPr>
            <w:tcW w:w="1587" w:type="dxa"/>
          </w:tcPr>
          <w:p>
            <w:pPr>
              <w:pStyle w:val="TableText"/>
              <w:jc w:val="right"/>
            </w:pPr>
            <w:r>
              <w:t xml:space="preserve">5,2</w:t>
            </w:r>
          </w:p>
        </w:tc>
      </w:tr>
      <w:tr>
        <w:tc>
          <w:tcPr>
            <w:tcW w:w="3207" w:type="dxa"/>
          </w:tcPr>
          <w:p>
            <w:pPr>
              <w:pStyle w:val="TableText"/>
              <w:jc w:val="right"/>
            </w:pPr>
            <w:r>
              <w:t xml:space="preserve">100</w:t>
            </w:r>
          </w:p>
        </w:tc>
        <w:tc>
          <w:tcPr>
            <w:tcW w:w="2127" w:type="dxa"/>
          </w:tcPr>
          <w:p>
            <w:pPr>
              <w:pStyle w:val="TableText"/>
              <w:jc w:val="right"/>
            </w:pPr>
            <w:r>
              <w:t xml:space="preserve">2 %/a</w:t>
            </w:r>
          </w:p>
        </w:tc>
        <w:tc>
          <w:tcPr>
            <w:tcW w:w="1407" w:type="dxa"/>
          </w:tcPr>
          <w:p>
            <w:pPr>
              <w:pStyle w:val="TableText"/>
              <w:jc w:val="right"/>
            </w:pPr>
            <w:r>
              <w:t xml:space="preserve">3491</w:t>
            </w:r>
          </w:p>
        </w:tc>
        <w:tc>
          <w:tcPr>
            <w:tcW w:w="1309" w:type="dxa"/>
          </w:tcPr>
          <w:p>
            <w:pPr>
              <w:pStyle w:val="TableText"/>
              <w:jc w:val="right"/>
            </w:pPr>
            <w:r>
              <w:t xml:space="preserve">20,2 %</w:t>
            </w:r>
          </w:p>
        </w:tc>
        <w:tc>
          <w:tcPr>
            <w:tcW w:w="1587" w:type="dxa"/>
          </w:tcPr>
          <w:p>
            <w:pPr>
              <w:pStyle w:val="TableText"/>
              <w:jc w:val="right"/>
            </w:pPr>
            <w:r>
              <w:t xml:space="preserve">5,0</w:t>
            </w:r>
          </w:p>
        </w:tc>
      </w:tr>
      <w:tr>
        <w:tc>
          <w:tcPr>
            <w:tcW w:w="3207" w:type="dxa"/>
          </w:tcPr>
          <w:p>
            <w:pPr>
              <w:pStyle w:val="TableText"/>
              <w:jc w:val="right"/>
            </w:pPr>
            <w:r>
              <w:t xml:space="preserve">130</w:t>
            </w:r>
          </w:p>
        </w:tc>
        <w:tc>
          <w:tcPr>
            <w:tcW w:w="2127" w:type="dxa"/>
          </w:tcPr>
          <w:p>
            <w:pPr>
              <w:pStyle w:val="TableText"/>
              <w:jc w:val="right"/>
            </w:pPr>
            <w:r>
              <w:t xml:space="preserve">0 %/a</w:t>
            </w:r>
          </w:p>
        </w:tc>
        <w:tc>
          <w:tcPr>
            <w:tcW w:w="1407" w:type="dxa"/>
          </w:tcPr>
          <w:p>
            <w:pPr>
              <w:pStyle w:val="TableText"/>
              <w:jc w:val="right"/>
            </w:pPr>
            <w:r>
              <w:t xml:space="preserve">3364</w:t>
            </w:r>
          </w:p>
        </w:tc>
        <w:tc>
          <w:tcPr>
            <w:tcW w:w="1309" w:type="dxa"/>
          </w:tcPr>
          <w:p>
            <w:pPr>
              <w:pStyle w:val="TableText"/>
              <w:jc w:val="right"/>
            </w:pPr>
            <w:r>
              <w:t xml:space="preserve">21,6 %</w:t>
            </w:r>
          </w:p>
        </w:tc>
        <w:tc>
          <w:tcPr>
            <w:tcW w:w="1587" w:type="dxa"/>
          </w:tcPr>
          <w:p>
            <w:pPr>
              <w:pStyle w:val="TableText"/>
              <w:jc w:val="right"/>
            </w:pPr>
            <w:r>
              <w:t xml:space="preserve">4,5</w:t>
            </w:r>
          </w:p>
        </w:tc>
      </w:tr>
      <w:tr>
        <w:tc>
          <w:tcPr>
            <w:tcW w:w="3207" w:type="dxa"/>
          </w:tcPr>
          <w:p>
            <w:pPr>
              <w:pStyle w:val="TableText"/>
              <w:jc w:val="right"/>
            </w:pPr>
            <w:r>
              <w:t xml:space="preserve">130</w:t>
            </w:r>
          </w:p>
        </w:tc>
        <w:tc>
          <w:tcPr>
            <w:tcW w:w="2127" w:type="dxa"/>
          </w:tcPr>
          <w:p>
            <w:pPr>
              <w:pStyle w:val="TableText"/>
              <w:jc w:val="right"/>
            </w:pPr>
            <w:r>
              <w:t xml:space="preserve">2 %/a</w:t>
            </w:r>
          </w:p>
        </w:tc>
        <w:tc>
          <w:tcPr>
            <w:tcW w:w="1407" w:type="dxa"/>
          </w:tcPr>
          <w:p>
            <w:pPr>
              <w:pStyle w:val="TableText"/>
              <w:jc w:val="right"/>
            </w:pPr>
            <w:r>
              <w:t xml:space="preserve">4541</w:t>
            </w:r>
          </w:p>
        </w:tc>
        <w:tc>
          <w:tcPr>
            <w:tcW w:w="1309" w:type="dxa"/>
          </w:tcPr>
          <w:p>
            <w:pPr>
              <w:pStyle w:val="TableText"/>
              <w:jc w:val="right"/>
            </w:pPr>
            <w:r>
              <w:t xml:space="preserve">23,7 %</w:t>
            </w:r>
          </w:p>
        </w:tc>
        <w:tc>
          <w:tcPr>
            <w:tcW w:w="1587" w:type="dxa"/>
          </w:tcPr>
          <w:p>
            <w:pPr>
              <w:pStyle w:val="TableText"/>
              <w:jc w:val="right"/>
            </w:pPr>
            <w:r>
              <w:t xml:space="preserve">4,3</w:t>
            </w:r>
          </w:p>
        </w:tc>
      </w:tr>
      <w:tr>
        <w:tc>
          <w:tcPr>
            <w:tcW w:w="3207" w:type="dxa"/>
          </w:tcPr>
          <w:p>
            <w:pPr>
              <w:pStyle w:val="TableText"/>
              <w:jc w:val="right"/>
            </w:pPr>
            <w:r>
              <w:t xml:space="preserve">170</w:t>
            </w:r>
          </w:p>
        </w:tc>
        <w:tc>
          <w:tcPr>
            <w:tcW w:w="2127" w:type="dxa"/>
          </w:tcPr>
          <w:p>
            <w:pPr>
              <w:pStyle w:val="TableText"/>
              <w:jc w:val="right"/>
            </w:pPr>
            <w:r>
              <w:t xml:space="preserve">2 %/a</w:t>
            </w:r>
          </w:p>
        </w:tc>
        <w:tc>
          <w:tcPr>
            <w:tcW w:w="1407" w:type="dxa"/>
          </w:tcPr>
          <w:p>
            <w:pPr>
              <w:pStyle w:val="TableText"/>
              <w:jc w:val="right"/>
            </w:pPr>
            <w:r>
              <w:t xml:space="preserve">5904</w:t>
            </w:r>
          </w:p>
        </w:tc>
        <w:tc>
          <w:tcPr>
            <w:tcW w:w="1309" w:type="dxa"/>
          </w:tcPr>
          <w:p>
            <w:pPr>
              <w:pStyle w:val="TableText"/>
              <w:jc w:val="right"/>
            </w:pPr>
            <w:r>
              <w:t xml:space="preserve">28,0 %</w:t>
            </w:r>
          </w:p>
        </w:tc>
        <w:tc>
          <w:tcPr>
            <w:tcW w:w="1587" w:type="dxa"/>
          </w:tcPr>
          <w:p>
            <w:pPr>
              <w:pStyle w:val="TableText"/>
              <w:jc w:val="right"/>
            </w:pPr>
            <w:r>
              <w:t xml:space="preserve">3,7</w:t>
            </w:r>
          </w:p>
        </w:tc>
      </w:tr>
      <w:tr>
        <w:tc>
          <w:tcPr>
            <w:tcW w:w="3207" w:type="dxa"/>
          </w:tcPr>
          <w:p>
            <w:pPr>
              <w:pStyle w:val="TableText"/>
              <w:jc w:val="right"/>
            </w:pPr>
            <w:r>
              <w:t xml:space="preserve">170</w:t>
            </w:r>
          </w:p>
        </w:tc>
        <w:tc>
          <w:tcPr>
            <w:tcW w:w="2127" w:type="dxa"/>
          </w:tcPr>
          <w:p>
            <w:pPr>
              <w:pStyle w:val="TableText"/>
              <w:jc w:val="right"/>
            </w:pPr>
            <w:r>
              <w:t xml:space="preserve">-2 %/a</w:t>
            </w:r>
          </w:p>
        </w:tc>
        <w:tc>
          <w:tcPr>
            <w:tcW w:w="1407" w:type="dxa"/>
          </w:tcPr>
          <w:p>
            <w:pPr>
              <w:pStyle w:val="TableText"/>
              <w:jc w:val="right"/>
            </w:pPr>
            <w:r>
              <w:t xml:space="preserve">3424</w:t>
            </w:r>
          </w:p>
        </w:tc>
        <w:tc>
          <w:tcPr>
            <w:tcW w:w="1309" w:type="dxa"/>
          </w:tcPr>
          <w:p>
            <w:pPr>
              <w:pStyle w:val="TableText"/>
              <w:jc w:val="right"/>
            </w:pPr>
            <w:r>
              <w:t xml:space="preserve">24,0 %</w:t>
            </w:r>
          </w:p>
        </w:tc>
        <w:tc>
          <w:tcPr>
            <w:tcW w:w="1587" w:type="dxa"/>
          </w:tcPr>
          <w:p>
            <w:pPr>
              <w:pStyle w:val="TableText"/>
              <w:jc w:val="right"/>
            </w:pPr>
            <w:r>
              <w:t xml:space="preserve">3,9</w:t>
            </w:r>
          </w:p>
        </w:tc>
      </w:tr>
    </w:tbl>
    <w:p>
      <w:pPr>
        <w:pStyle w:val="Normal"/>
        <w:spacing w:after="60"/>
      </w:pPr>
    </w:p>
    <w:p>
      <w:pPr>
        <w:pStyle w:val="Heading1"/>
      </w:pPr>
      <w:r>
        <w:t xml:space="preserve">5. Sensitività del VAN (caso A)</w:t>
      </w:r>
    </w:p>
    <w:p>
      <w:pPr>
        <w:pStyle w:val="Normal"/>
      </w:pPr>
      <w:r>
        <w:t xml:space="preserve">VAN base 4541 k€.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2672"/>
        <w:gridCol w:w="1158"/>
        <w:gridCol w:w="1942"/>
        <w:gridCol w:w="1844"/>
        <w:gridCol w:w="1060"/>
        <w:gridCol w:w="962"/>
      </w:tblGrid>
      <w:tr>
        <w:trPr>
          <w:tblHeader/>
        </w:trPr>
        <w:tc>
          <w:tcPr>
            <w:tcW w:w="2672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Grandezza</w:t>
            </w:r>
          </w:p>
        </w:tc>
        <w:tc>
          <w:tcPr>
            <w:tcW w:w="1158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Variazione</w:t>
            </w:r>
          </w:p>
        </w:tc>
        <w:tc>
          <w:tcPr>
            <w:tcW w:w="1942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VAN sfavorevole k€</w:t>
            </w:r>
          </w:p>
        </w:tc>
        <w:tc>
          <w:tcPr>
            <w:tcW w:w="1844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VAN favorevole k€</w:t>
            </w:r>
          </w:p>
        </w:tc>
        <w:tc>
          <w:tcPr>
            <w:tcW w:w="1060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TIR sfav.</w:t>
            </w:r>
          </w:p>
        </w:tc>
        <w:tc>
          <w:tcPr>
            <w:tcW w:w="962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TIR fav.</w:t>
            </w:r>
          </w:p>
        </w:tc>
      </w:tr>
      <w:tr>
        <w:tc>
          <w:tcPr>
            <w:tcW w:w="2672" w:type="dxa"/>
          </w:tcPr>
          <w:p>
            <w:pPr>
              <w:pStyle w:val="TableText"/>
            </w:pPr>
            <w:r>
              <w:t xml:space="preserve">WACC</w:t>
            </w:r>
          </w:p>
        </w:tc>
        <w:tc>
          <w:tcPr>
            <w:tcW w:w="1158" w:type="dxa"/>
          </w:tcPr>
          <w:p>
            <w:pPr>
              <w:pStyle w:val="TableText"/>
            </w:pPr>
            <w:r>
              <w:t xml:space="preserve">±2 pp</w:t>
            </w:r>
          </w:p>
        </w:tc>
        <w:tc>
          <w:tcPr>
            <w:tcW w:w="1942" w:type="dxa"/>
          </w:tcPr>
          <w:p>
            <w:pPr>
              <w:pStyle w:val="TableText"/>
              <w:jc w:val="right"/>
            </w:pPr>
            <w:r>
              <w:t xml:space="preserve">3410</w:t>
            </w:r>
          </w:p>
        </w:tc>
        <w:tc>
          <w:tcPr>
            <w:tcW w:w="1844" w:type="dxa"/>
          </w:tcPr>
          <w:p>
            <w:pPr>
              <w:pStyle w:val="TableText"/>
              <w:jc w:val="right"/>
            </w:pPr>
            <w:r>
              <w:t xml:space="preserve">6058</w:t>
            </w:r>
          </w:p>
        </w:tc>
        <w:tc>
          <w:tcPr>
            <w:tcW w:w="1060" w:type="dxa"/>
          </w:tcPr>
          <w:p>
            <w:pPr>
              <w:pStyle w:val="TableText"/>
              <w:jc w:val="right"/>
            </w:pPr>
            <w:r>
              <w:t xml:space="preserve">23,7 %</w:t>
            </w:r>
          </w:p>
        </w:tc>
        <w:tc>
          <w:tcPr>
            <w:tcW w:w="962" w:type="dxa"/>
          </w:tcPr>
          <w:p>
            <w:pPr>
              <w:pStyle w:val="TableText"/>
              <w:jc w:val="right"/>
            </w:pPr>
            <w:r>
              <w:t xml:space="preserve">23,7 %</w:t>
            </w:r>
          </w:p>
        </w:tc>
      </w:tr>
      <w:tr>
        <w:tc>
          <w:tcPr>
            <w:tcW w:w="2672" w:type="dxa"/>
          </w:tcPr>
          <w:p>
            <w:pPr>
              <w:pStyle w:val="TableText"/>
            </w:pPr>
            <w:r>
              <w:t xml:space="preserve">Escalation prezzi</w:t>
            </w:r>
          </w:p>
        </w:tc>
        <w:tc>
          <w:tcPr>
            <w:tcW w:w="1158" w:type="dxa"/>
          </w:tcPr>
          <w:p>
            <w:pPr>
              <w:pStyle w:val="TableText"/>
            </w:pPr>
            <w:r>
              <w:t xml:space="preserve">±1,5 pp</w:t>
            </w:r>
          </w:p>
        </w:tc>
        <w:tc>
          <w:tcPr>
            <w:tcW w:w="1942" w:type="dxa"/>
          </w:tcPr>
          <w:p>
            <w:pPr>
              <w:pStyle w:val="TableText"/>
              <w:jc w:val="right"/>
            </w:pPr>
            <w:r>
              <w:t xml:space="preserve">3630</w:t>
            </w:r>
          </w:p>
        </w:tc>
        <w:tc>
          <w:tcPr>
            <w:tcW w:w="1844" w:type="dxa"/>
          </w:tcPr>
          <w:p>
            <w:pPr>
              <w:pStyle w:val="TableText"/>
              <w:jc w:val="right"/>
            </w:pPr>
            <w:r>
              <w:t xml:space="preserve">5651</w:t>
            </w:r>
          </w:p>
        </w:tc>
        <w:tc>
          <w:tcPr>
            <w:tcW w:w="1060" w:type="dxa"/>
          </w:tcPr>
          <w:p>
            <w:pPr>
              <w:pStyle w:val="TableText"/>
              <w:jc w:val="right"/>
            </w:pPr>
            <w:r>
              <w:t xml:space="preserve">22,1 %</w:t>
            </w:r>
          </w:p>
        </w:tc>
        <w:tc>
          <w:tcPr>
            <w:tcW w:w="962" w:type="dxa"/>
          </w:tcPr>
          <w:p>
            <w:pPr>
              <w:pStyle w:val="TableText"/>
              <w:jc w:val="right"/>
            </w:pPr>
            <w:r>
              <w:t xml:space="preserve">25,2 %</w:t>
            </w:r>
          </w:p>
        </w:tc>
      </w:tr>
      <w:tr>
        <w:tc>
          <w:tcPr>
            <w:tcW w:w="2672" w:type="dxa"/>
          </w:tcPr>
          <w:p>
            <w:pPr>
              <w:pStyle w:val="TableText"/>
            </w:pPr>
            <w:r>
              <w:t xml:space="preserve">Prezzo energia (PUN)</w:t>
            </w:r>
          </w:p>
        </w:tc>
        <w:tc>
          <w:tcPr>
            <w:tcW w:w="1158" w:type="dxa"/>
          </w:tcPr>
          <w:p>
            <w:pPr>
              <w:pStyle w:val="TableText"/>
            </w:pPr>
            <w:r>
              <w:t xml:space="preserve">±20%</w:t>
            </w:r>
          </w:p>
        </w:tc>
        <w:tc>
          <w:tcPr>
            <w:tcW w:w="1942" w:type="dxa"/>
          </w:tcPr>
          <w:p>
            <w:pPr>
              <w:pStyle w:val="TableText"/>
              <w:jc w:val="right"/>
            </w:pPr>
            <w:r>
              <w:t xml:space="preserve">3631</w:t>
            </w:r>
          </w:p>
        </w:tc>
        <w:tc>
          <w:tcPr>
            <w:tcW w:w="1844" w:type="dxa"/>
          </w:tcPr>
          <w:p>
            <w:pPr>
              <w:pStyle w:val="TableText"/>
              <w:jc w:val="right"/>
            </w:pPr>
            <w:r>
              <w:t xml:space="preserve">5420</w:t>
            </w:r>
          </w:p>
        </w:tc>
        <w:tc>
          <w:tcPr>
            <w:tcW w:w="1060" w:type="dxa"/>
          </w:tcPr>
          <w:p>
            <w:pPr>
              <w:pStyle w:val="TableText"/>
              <w:jc w:val="right"/>
            </w:pPr>
            <w:r>
              <w:t xml:space="preserve">20,7 %</w:t>
            </w:r>
          </w:p>
        </w:tc>
        <w:tc>
          <w:tcPr>
            <w:tcW w:w="962" w:type="dxa"/>
          </w:tcPr>
          <w:p>
            <w:pPr>
              <w:pStyle w:val="TableText"/>
              <w:jc w:val="right"/>
            </w:pPr>
            <w:r>
              <w:t xml:space="preserve">26,5 %</w:t>
            </w:r>
          </w:p>
        </w:tc>
      </w:tr>
      <w:tr>
        <w:tc>
          <w:tcPr>
            <w:tcW w:w="2672" w:type="dxa"/>
          </w:tcPr>
          <w:p>
            <w:pPr>
              <w:pStyle w:val="TableText"/>
            </w:pPr>
            <w:r>
              <w:t xml:space="preserve">Oneri e componenti variabili</w:t>
            </w:r>
          </w:p>
        </w:tc>
        <w:tc>
          <w:tcPr>
            <w:tcW w:w="1158" w:type="dxa"/>
          </w:tcPr>
          <w:p>
            <w:pPr>
              <w:pStyle w:val="TableText"/>
            </w:pPr>
            <w:r>
              <w:t xml:space="preserve">±30%</w:t>
            </w:r>
          </w:p>
        </w:tc>
        <w:tc>
          <w:tcPr>
            <w:tcW w:w="1942" w:type="dxa"/>
          </w:tcPr>
          <w:p>
            <w:pPr>
              <w:pStyle w:val="TableText"/>
              <w:jc w:val="right"/>
            </w:pPr>
            <w:r>
              <w:t xml:space="preserve">3906</w:t>
            </w:r>
          </w:p>
        </w:tc>
        <w:tc>
          <w:tcPr>
            <w:tcW w:w="1844" w:type="dxa"/>
          </w:tcPr>
          <w:p>
            <w:pPr>
              <w:pStyle w:val="TableText"/>
              <w:jc w:val="right"/>
            </w:pPr>
            <w:r>
              <w:t xml:space="preserve">5169</w:t>
            </w:r>
          </w:p>
        </w:tc>
        <w:tc>
          <w:tcPr>
            <w:tcW w:w="1060" w:type="dxa"/>
          </w:tcPr>
          <w:p>
            <w:pPr>
              <w:pStyle w:val="TableText"/>
              <w:jc w:val="right"/>
            </w:pPr>
            <w:r>
              <w:t xml:space="preserve">21,6 %</w:t>
            </w:r>
          </w:p>
        </w:tc>
        <w:tc>
          <w:tcPr>
            <w:tcW w:w="962" w:type="dxa"/>
          </w:tcPr>
          <w:p>
            <w:pPr>
              <w:pStyle w:val="TableText"/>
              <w:jc w:val="right"/>
            </w:pPr>
            <w:r>
              <w:t xml:space="preserve">25,7 %</w:t>
            </w:r>
          </w:p>
        </w:tc>
      </w:tr>
      <w:tr>
        <w:tc>
          <w:tcPr>
            <w:tcW w:w="2672" w:type="dxa"/>
          </w:tcPr>
          <w:p>
            <w:pPr>
              <w:pStyle w:val="TableText"/>
            </w:pPr>
            <w:r>
              <w:t xml:space="preserve">Producibilità FV</w:t>
            </w:r>
          </w:p>
        </w:tc>
        <w:tc>
          <w:tcPr>
            <w:tcW w:w="1158" w:type="dxa"/>
          </w:tcPr>
          <w:p>
            <w:pPr>
              <w:pStyle w:val="TableText"/>
            </w:pPr>
            <w:r>
              <w:t xml:space="preserve">±8%</w:t>
            </w:r>
          </w:p>
        </w:tc>
        <w:tc>
          <w:tcPr>
            <w:tcW w:w="1942" w:type="dxa"/>
          </w:tcPr>
          <w:p>
            <w:pPr>
              <w:pStyle w:val="TableText"/>
              <w:jc w:val="right"/>
            </w:pPr>
            <w:r>
              <w:t xml:space="preserve">4007</w:t>
            </w:r>
          </w:p>
        </w:tc>
        <w:tc>
          <w:tcPr>
            <w:tcW w:w="1844" w:type="dxa"/>
          </w:tcPr>
          <w:p>
            <w:pPr>
              <w:pStyle w:val="TableText"/>
              <w:jc w:val="right"/>
            </w:pPr>
            <w:r>
              <w:t xml:space="preserve">5068</w:t>
            </w:r>
          </w:p>
        </w:tc>
        <w:tc>
          <w:tcPr>
            <w:tcW w:w="1060" w:type="dxa"/>
          </w:tcPr>
          <w:p>
            <w:pPr>
              <w:pStyle w:val="TableText"/>
              <w:jc w:val="right"/>
            </w:pPr>
            <w:r>
              <w:t xml:space="preserve">21,9 %</w:t>
            </w:r>
          </w:p>
        </w:tc>
        <w:tc>
          <w:tcPr>
            <w:tcW w:w="962" w:type="dxa"/>
          </w:tcPr>
          <w:p>
            <w:pPr>
              <w:pStyle w:val="TableText"/>
              <w:jc w:val="right"/>
            </w:pPr>
            <w:r>
              <w:t xml:space="preserve">25,3 %</w:t>
            </w:r>
          </w:p>
        </w:tc>
      </w:tr>
      <w:tr>
        <w:tc>
          <w:tcPr>
            <w:tcW w:w="2672" w:type="dxa"/>
          </w:tcPr>
          <w:p>
            <w:pPr>
              <w:pStyle w:val="TableText"/>
            </w:pPr>
            <w:r>
              <w:t xml:space="preserve">CAPEX</w:t>
            </w:r>
          </w:p>
        </w:tc>
        <w:tc>
          <w:tcPr>
            <w:tcW w:w="1158" w:type="dxa"/>
          </w:tcPr>
          <w:p>
            <w:pPr>
              <w:pStyle w:val="TableText"/>
            </w:pPr>
            <w:r>
              <w:t xml:space="preserve">±20%</w:t>
            </w:r>
          </w:p>
        </w:tc>
        <w:tc>
          <w:tcPr>
            <w:tcW w:w="1942" w:type="dxa"/>
          </w:tcPr>
          <w:p>
            <w:pPr>
              <w:pStyle w:val="TableText"/>
              <w:jc w:val="right"/>
            </w:pPr>
            <w:r>
              <w:t xml:space="preserve">4133</w:t>
            </w:r>
          </w:p>
        </w:tc>
        <w:tc>
          <w:tcPr>
            <w:tcW w:w="1844" w:type="dxa"/>
          </w:tcPr>
          <w:p>
            <w:pPr>
              <w:pStyle w:val="TableText"/>
              <w:jc w:val="right"/>
            </w:pPr>
            <w:r>
              <w:t xml:space="preserve">4949</w:t>
            </w:r>
          </w:p>
        </w:tc>
        <w:tc>
          <w:tcPr>
            <w:tcW w:w="1060" w:type="dxa"/>
          </w:tcPr>
          <w:p>
            <w:pPr>
              <w:pStyle w:val="TableText"/>
              <w:jc w:val="right"/>
            </w:pPr>
            <w:r>
              <w:t xml:space="preserve">20,0 %</w:t>
            </w:r>
          </w:p>
        </w:tc>
        <w:tc>
          <w:tcPr>
            <w:tcW w:w="962" w:type="dxa"/>
          </w:tcPr>
          <w:p>
            <w:pPr>
              <w:pStyle w:val="TableText"/>
              <w:jc w:val="right"/>
            </w:pPr>
            <w:r>
              <w:t xml:space="preserve">29,0 %</w:t>
            </w:r>
          </w:p>
        </w:tc>
      </w:tr>
      <w:tr>
        <w:tc>
          <w:tcPr>
            <w:tcW w:w="2672" w:type="dxa"/>
          </w:tcPr>
          <w:p>
            <w:pPr>
              <w:pStyle w:val="TableText"/>
            </w:pPr>
            <w:r>
              <w:t xml:space="preserve">OPEX</w:t>
            </w:r>
          </w:p>
        </w:tc>
        <w:tc>
          <w:tcPr>
            <w:tcW w:w="1158" w:type="dxa"/>
          </w:tcPr>
          <w:p>
            <w:pPr>
              <w:pStyle w:val="TableText"/>
            </w:pPr>
            <w:r>
              <w:t xml:space="preserve">±20%</w:t>
            </w:r>
          </w:p>
        </w:tc>
        <w:tc>
          <w:tcPr>
            <w:tcW w:w="1942" w:type="dxa"/>
          </w:tcPr>
          <w:p>
            <w:pPr>
              <w:pStyle w:val="TableText"/>
              <w:jc w:val="right"/>
            </w:pPr>
            <w:r>
              <w:t xml:space="preserve">4442</w:t>
            </w:r>
          </w:p>
        </w:tc>
        <w:tc>
          <w:tcPr>
            <w:tcW w:w="1844" w:type="dxa"/>
          </w:tcPr>
          <w:p>
            <w:pPr>
              <w:pStyle w:val="TableText"/>
              <w:jc w:val="right"/>
            </w:pPr>
            <w:r>
              <w:t xml:space="preserve">4640</w:t>
            </w:r>
          </w:p>
        </w:tc>
        <w:tc>
          <w:tcPr>
            <w:tcW w:w="1060" w:type="dxa"/>
          </w:tcPr>
          <w:p>
            <w:pPr>
              <w:pStyle w:val="TableText"/>
              <w:jc w:val="right"/>
            </w:pPr>
            <w:r>
              <w:t xml:space="preserve">23,3 %</w:t>
            </w:r>
          </w:p>
        </w:tc>
        <w:tc>
          <w:tcPr>
            <w:tcW w:w="962" w:type="dxa"/>
          </w:tcPr>
          <w:p>
            <w:pPr>
              <w:pStyle w:val="TableText"/>
              <w:jc w:val="right"/>
            </w:pPr>
            <w:r>
              <w:t xml:space="preserve">24,0 %</w:t>
            </w:r>
          </w:p>
        </w:tc>
      </w:tr>
    </w:tbl>
    <w:p>
      <w:pPr>
        <w:pStyle w:val="Normal"/>
        <w:spacing w:after="60"/>
      </w:pPr>
    </w:p>
    <w:p>
      <w:pPr>
        <w:pStyle w:val="Heading1"/>
      </w:pPr>
      <w:r>
        <w:t xml:space="preserve">6. Caso A – bilancio energetico anno 1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7573"/>
        <w:gridCol w:w="2065"/>
      </w:tblGrid>
      <w:tr>
        <w:trPr>
          <w:tblHeader/>
        </w:trPr>
        <w:tc>
          <w:tcPr>
            <w:tcW w:w="7573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Voce</w:t>
            </w:r>
          </w:p>
        </w:tc>
        <w:tc>
          <w:tcPr>
            <w:tcW w:w="2065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MWh</w:t>
            </w:r>
          </w:p>
        </w:tc>
      </w:tr>
      <w:tr>
        <w:tc>
          <w:tcPr>
            <w:tcW w:w="7573" w:type="dxa"/>
          </w:tcPr>
          <w:p>
            <w:pPr>
              <w:pStyle w:val="TableText"/>
            </w:pPr>
            <w:r>
              <w:t xml:space="preserve">Produzione FV</w:t>
            </w:r>
          </w:p>
        </w:tc>
        <w:tc>
          <w:tcPr>
            <w:tcW w:w="2065" w:type="dxa"/>
          </w:tcPr>
          <w:p>
            <w:pPr>
              <w:pStyle w:val="TableText"/>
              <w:jc w:val="right"/>
            </w:pPr>
            <w:r>
              <w:t xml:space="preserve">3931</w:t>
            </w:r>
          </w:p>
        </w:tc>
      </w:tr>
      <w:tr>
        <w:tc>
          <w:tcPr>
            <w:tcW w:w="7573" w:type="dxa"/>
          </w:tcPr>
          <w:p>
            <w:pPr>
              <w:pStyle w:val="TableText"/>
            </w:pPr>
            <w:r>
              <w:t xml:space="preserve">Autoconsumo diretto</w:t>
            </w:r>
          </w:p>
        </w:tc>
        <w:tc>
          <w:tcPr>
            <w:tcW w:w="2065" w:type="dxa"/>
          </w:tcPr>
          <w:p>
            <w:pPr>
              <w:pStyle w:val="TableText"/>
              <w:jc w:val="right"/>
            </w:pPr>
            <w:r>
              <w:t xml:space="preserve">3152</w:t>
            </w:r>
          </w:p>
        </w:tc>
      </w:tr>
      <w:tr>
        <w:tc>
          <w:tcPr>
            <w:tcW w:w="7573" w:type="dxa"/>
          </w:tcPr>
          <w:p>
            <w:pPr>
              <w:pStyle w:val="TableText"/>
            </w:pPr>
            <w:r>
              <w:t xml:space="preserve">FV caricato nel BESS</w:t>
            </w:r>
          </w:p>
        </w:tc>
        <w:tc>
          <w:tcPr>
            <w:tcW w:w="2065" w:type="dxa"/>
          </w:tcPr>
          <w:p>
            <w:pPr>
              <w:pStyle w:val="TableText"/>
              <w:jc w:val="right"/>
            </w:pPr>
            <w:r>
              <w:t xml:space="preserve">244</w:t>
            </w:r>
          </w:p>
        </w:tc>
      </w:tr>
      <w:tr>
        <w:tc>
          <w:tcPr>
            <w:tcW w:w="7573" w:type="dxa"/>
          </w:tcPr>
          <w:p>
            <w:pPr>
              <w:pStyle w:val="TableText"/>
            </w:pPr>
            <w:r>
              <w:t xml:space="preserve">Immissione</w:t>
            </w:r>
          </w:p>
        </w:tc>
        <w:tc>
          <w:tcPr>
            <w:tcW w:w="2065" w:type="dxa"/>
          </w:tcPr>
          <w:p>
            <w:pPr>
              <w:pStyle w:val="TableText"/>
              <w:jc w:val="right"/>
            </w:pPr>
            <w:r>
              <w:t xml:space="preserve">535</w:t>
            </w:r>
          </w:p>
        </w:tc>
      </w:tr>
      <w:tr>
        <w:tc>
          <w:tcPr>
            <w:tcW w:w="7573" w:type="dxa"/>
          </w:tcPr>
          <w:p>
            <w:pPr>
              <w:pStyle w:val="TableText"/>
            </w:pPr>
            <w:r>
              <w:t xml:space="preserve">Taglio</w:t>
            </w:r>
          </w:p>
        </w:tc>
        <w:tc>
          <w:tcPr>
            <w:tcW w:w="2065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</w:tr>
      <w:tr>
        <w:tc>
          <w:tcPr>
            <w:tcW w:w="7573" w:type="dxa"/>
          </w:tcPr>
          <w:p>
            <w:pPr>
              <w:pStyle w:val="TableText"/>
            </w:pPr>
            <w:r>
              <w:t xml:space="preserve">Scarica BESS</w:t>
            </w:r>
          </w:p>
        </w:tc>
        <w:tc>
          <w:tcPr>
            <w:tcW w:w="2065" w:type="dxa"/>
          </w:tcPr>
          <w:p>
            <w:pPr>
              <w:pStyle w:val="TableText"/>
              <w:jc w:val="right"/>
            </w:pPr>
            <w:r>
              <w:t xml:space="preserve">405</w:t>
            </w:r>
          </w:p>
        </w:tc>
      </w:tr>
      <w:tr>
        <w:tc>
          <w:tcPr>
            <w:tcW w:w="7573" w:type="dxa"/>
          </w:tcPr>
          <w:p>
            <w:pPr>
              <w:pStyle w:val="TableText"/>
            </w:pPr>
            <w:r>
              <w:t xml:space="preserve">Carica BESS da rete</w:t>
            </w:r>
          </w:p>
        </w:tc>
        <w:tc>
          <w:tcPr>
            <w:tcW w:w="2065" w:type="dxa"/>
          </w:tcPr>
          <w:p>
            <w:pPr>
              <w:pStyle w:val="TableText"/>
              <w:jc w:val="right"/>
            </w:pPr>
            <w:r>
              <w:t xml:space="preserve">227</w:t>
            </w:r>
          </w:p>
        </w:tc>
      </w:tr>
      <w:tr>
        <w:tc>
          <w:tcPr>
            <w:tcW w:w="7573" w:type="dxa"/>
          </w:tcPr>
          <w:p>
            <w:pPr>
              <w:pStyle w:val="TableText"/>
            </w:pPr>
            <w:r>
              <w:t xml:space="preserve">Ausiliari BESS</w:t>
            </w:r>
          </w:p>
        </w:tc>
        <w:tc>
          <w:tcPr>
            <w:tcW w:w="2065" w:type="dxa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</w:tr>
      <w:tr>
        <w:tc>
          <w:tcPr>
            <w:tcW w:w="7573" w:type="dxa"/>
          </w:tcPr>
          <w:p>
            <w:pPr>
              <w:pStyle w:val="TableText"/>
            </w:pPr>
            <w:r>
              <w:t xml:space="preserve">Prelievo da rete</w:t>
            </w:r>
          </w:p>
        </w:tc>
        <w:tc>
          <w:tcPr>
            <w:tcW w:w="2065" w:type="dxa"/>
          </w:tcPr>
          <w:p>
            <w:pPr>
              <w:pStyle w:val="TableText"/>
              <w:jc w:val="right"/>
            </w:pPr>
            <w:r>
              <w:t xml:space="preserve">5673</w:t>
            </w:r>
          </w:p>
        </w:tc>
      </w:tr>
      <w:tr>
        <w:tc>
          <w:tcPr>
            <w:tcW w:w="7573" w:type="dxa"/>
          </w:tcPr>
          <w:p>
            <w:pPr>
              <w:pStyle w:val="TableText"/>
            </w:pPr>
            <w:r>
              <w:t xml:space="preserve">Consumo stabilimento</w:t>
            </w:r>
          </w:p>
        </w:tc>
        <w:tc>
          <w:tcPr>
            <w:tcW w:w="2065" w:type="dxa"/>
          </w:tcPr>
          <w:p>
            <w:pPr>
              <w:pStyle w:val="TableText"/>
              <w:jc w:val="right"/>
            </w:pPr>
            <w:r>
              <w:t xml:space="preserve">9000</w:t>
            </w:r>
          </w:p>
        </w:tc>
      </w:tr>
    </w:tbl>
    <w:p>
      <w:pPr>
        <w:pStyle w:val="Normal"/>
        <w:spacing w:after="60"/>
      </w:pPr>
    </w:p>
    <w:p>
      <w:pPr>
        <w:pStyle w:val="Heading1"/>
      </w:pPr>
      <w:r>
        <w:t xml:space="preserve">7. Caso A – conto economico e flussi (k€ nominali, primi 12 anni e ultimo)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426"/>
        <w:gridCol w:w="1378"/>
        <w:gridCol w:w="646"/>
        <w:gridCol w:w="1085"/>
        <w:gridCol w:w="426"/>
        <w:gridCol w:w="719"/>
        <w:gridCol w:w="572"/>
        <w:gridCol w:w="646"/>
        <w:gridCol w:w="646"/>
        <w:gridCol w:w="1012"/>
        <w:gridCol w:w="792"/>
        <w:gridCol w:w="865"/>
        <w:gridCol w:w="426"/>
      </w:tblGrid>
      <w:tr>
        <w:trPr>
          <w:tblHeader/>
        </w:trPr>
        <w:tc>
          <w:tcPr>
            <w:tcW w:w="426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Anno</w:t>
            </w:r>
          </w:p>
        </w:tc>
        <w:tc>
          <w:tcPr>
            <w:tcW w:w="1378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Risparmio energia</w:t>
            </w:r>
          </w:p>
        </w:tc>
        <w:tc>
          <w:tcPr>
            <w:tcW w:w="646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Vendita</w:t>
            </w:r>
          </w:p>
        </w:tc>
        <w:tc>
          <w:tcPr>
            <w:tcW w:w="1085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Quota potenza</w:t>
            </w:r>
          </w:p>
        </w:tc>
        <w:tc>
          <w:tcPr>
            <w:tcW w:w="426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OPEX</w:t>
            </w:r>
          </w:p>
        </w:tc>
        <w:tc>
          <w:tcPr>
            <w:tcW w:w="719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Straord.</w:t>
            </w:r>
          </w:p>
        </w:tc>
        <w:tc>
          <w:tcPr>
            <w:tcW w:w="572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EBITDA</w:t>
            </w:r>
          </w:p>
        </w:tc>
        <w:tc>
          <w:tcPr>
            <w:tcW w:w="646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Ammort.</w:t>
            </w:r>
          </w:p>
        </w:tc>
        <w:tc>
          <w:tcPr>
            <w:tcW w:w="646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Imposte</w:t>
            </w:r>
          </w:p>
        </w:tc>
        <w:tc>
          <w:tcPr>
            <w:tcW w:w="1012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FCF progetto</w:t>
            </w:r>
          </w:p>
        </w:tc>
        <w:tc>
          <w:tcPr>
            <w:tcW w:w="792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Interessi</w:t>
            </w:r>
          </w:p>
        </w:tc>
        <w:tc>
          <w:tcPr>
            <w:tcW w:w="865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FCF equity</w:t>
            </w:r>
          </w:p>
        </w:tc>
        <w:tc>
          <w:tcPr>
            <w:tcW w:w="426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DSCR</w:t>
            </w:r>
          </w:p>
        </w:tc>
      </w:tr>
      <w:tr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1378" w:type="dxa"/>
          </w:tcPr>
          <w:p>
            <w:pPr>
              <w:pStyle w:val="TableText"/>
              <w:jc w:val="right"/>
            </w:pPr>
            <w:r>
              <w:t xml:space="preserve"/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/>
            </w:r>
          </w:p>
        </w:tc>
        <w:tc>
          <w:tcPr>
            <w:tcW w:w="1085" w:type="dxa"/>
          </w:tcPr>
          <w:p>
            <w:pPr>
              <w:pStyle w:val="TableText"/>
              <w:jc w:val="right"/>
            </w:pPr>
            <w:r>
              <w:t xml:space="preserve"/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/>
            </w:r>
          </w:p>
        </w:tc>
        <w:tc>
          <w:tcPr>
            <w:tcW w:w="719" w:type="dxa"/>
          </w:tcPr>
          <w:p>
            <w:pPr>
              <w:pStyle w:val="TableText"/>
              <w:jc w:val="right"/>
            </w:pPr>
            <w:r>
              <w:t xml:space="preserve"/>
            </w:r>
          </w:p>
        </w:tc>
        <w:tc>
          <w:tcPr>
            <w:tcW w:w="572" w:type="dxa"/>
          </w:tcPr>
          <w:p>
            <w:pPr>
              <w:pStyle w:val="TableText"/>
              <w:jc w:val="right"/>
            </w:pPr>
            <w:r>
              <w:t xml:space="preserve"/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/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/>
            </w:r>
          </w:p>
        </w:tc>
        <w:tc>
          <w:tcPr>
            <w:tcW w:w="1012" w:type="dxa"/>
          </w:tcPr>
          <w:p>
            <w:pPr>
              <w:pStyle w:val="TableText"/>
              <w:jc w:val="right"/>
            </w:pPr>
            <w:r>
              <w:t xml:space="preserve">-2409</w:t>
            </w:r>
          </w:p>
        </w:tc>
        <w:tc>
          <w:tcPr>
            <w:tcW w:w="792" w:type="dxa"/>
          </w:tcPr>
          <w:p>
            <w:pPr>
              <w:pStyle w:val="TableText"/>
              <w:jc w:val="right"/>
            </w:pPr>
            <w:r>
              <w:t xml:space="preserve"/>
            </w:r>
          </w:p>
        </w:tc>
        <w:tc>
          <w:tcPr>
            <w:tcW w:w="865" w:type="dxa"/>
          </w:tcPr>
          <w:p>
            <w:pPr>
              <w:pStyle w:val="TableText"/>
              <w:jc w:val="right"/>
            </w:pPr>
            <w:r>
              <w:t xml:space="preserve">-964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/>
            </w:r>
          </w:p>
        </w:tc>
      </w:tr>
      <w:tr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1</w:t>
            </w:r>
          </w:p>
        </w:tc>
        <w:tc>
          <w:tcPr>
            <w:tcW w:w="1378" w:type="dxa"/>
          </w:tcPr>
          <w:p>
            <w:pPr>
              <w:pStyle w:val="TableText"/>
              <w:jc w:val="right"/>
            </w:pPr>
            <w:r>
              <w:t xml:space="preserve">697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50</w:t>
            </w:r>
          </w:p>
        </w:tc>
        <w:tc>
          <w:tcPr>
            <w:tcW w:w="1085" w:type="dxa"/>
          </w:tcPr>
          <w:p>
            <w:pPr>
              <w:pStyle w:val="TableText"/>
              <w:jc w:val="right"/>
            </w:pPr>
            <w:r>
              <w:t xml:space="preserve">1,9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67</w:t>
            </w:r>
          </w:p>
        </w:tc>
        <w:tc>
          <w:tcPr>
            <w:tcW w:w="719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572" w:type="dxa"/>
          </w:tcPr>
          <w:p>
            <w:pPr>
              <w:pStyle w:val="TableText"/>
              <w:jc w:val="right"/>
            </w:pPr>
            <w:r>
              <w:t xml:space="preserve">682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108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160</w:t>
            </w:r>
          </w:p>
        </w:tc>
        <w:tc>
          <w:tcPr>
            <w:tcW w:w="1012" w:type="dxa"/>
          </w:tcPr>
          <w:p>
            <w:pPr>
              <w:pStyle w:val="TableText"/>
              <w:jc w:val="right"/>
            </w:pPr>
            <w:r>
              <w:t xml:space="preserve">522</w:t>
            </w:r>
          </w:p>
        </w:tc>
        <w:tc>
          <w:tcPr>
            <w:tcW w:w="792" w:type="dxa"/>
          </w:tcPr>
          <w:p>
            <w:pPr>
              <w:pStyle w:val="TableText"/>
              <w:jc w:val="right"/>
            </w:pPr>
            <w:r>
              <w:t xml:space="preserve">72</w:t>
            </w:r>
          </w:p>
        </w:tc>
        <w:tc>
          <w:tcPr>
            <w:tcW w:w="865" w:type="dxa"/>
          </w:tcPr>
          <w:p>
            <w:pPr>
              <w:pStyle w:val="TableText"/>
              <w:jc w:val="right"/>
            </w:pPr>
            <w:r>
              <w:t xml:space="preserve">377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3,31</w:t>
            </w:r>
          </w:p>
        </w:tc>
      </w:tr>
      <w:tr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2</w:t>
            </w:r>
          </w:p>
        </w:tc>
        <w:tc>
          <w:tcPr>
            <w:tcW w:w="1378" w:type="dxa"/>
          </w:tcPr>
          <w:p>
            <w:pPr>
              <w:pStyle w:val="TableText"/>
              <w:jc w:val="right"/>
            </w:pPr>
            <w:r>
              <w:t xml:space="preserve">708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51</w:t>
            </w:r>
          </w:p>
        </w:tc>
        <w:tc>
          <w:tcPr>
            <w:tcW w:w="1085" w:type="dxa"/>
          </w:tcPr>
          <w:p>
            <w:pPr>
              <w:pStyle w:val="TableText"/>
              <w:jc w:val="right"/>
            </w:pPr>
            <w:r>
              <w:t xml:space="preserve">2,0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68</w:t>
            </w:r>
          </w:p>
        </w:tc>
        <w:tc>
          <w:tcPr>
            <w:tcW w:w="719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572" w:type="dxa"/>
          </w:tcPr>
          <w:p>
            <w:pPr>
              <w:pStyle w:val="TableText"/>
              <w:jc w:val="right"/>
            </w:pPr>
            <w:r>
              <w:t xml:space="preserve">693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217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133</w:t>
            </w:r>
          </w:p>
        </w:tc>
        <w:tc>
          <w:tcPr>
            <w:tcW w:w="1012" w:type="dxa"/>
          </w:tcPr>
          <w:p>
            <w:pPr>
              <w:pStyle w:val="TableText"/>
              <w:jc w:val="right"/>
            </w:pPr>
            <w:r>
              <w:t xml:space="preserve">560</w:t>
            </w:r>
          </w:p>
        </w:tc>
        <w:tc>
          <w:tcPr>
            <w:tcW w:w="792" w:type="dxa"/>
          </w:tcPr>
          <w:p>
            <w:pPr>
              <w:pStyle w:val="TableText"/>
              <w:jc w:val="right"/>
            </w:pPr>
            <w:r>
              <w:t xml:space="preserve">68</w:t>
            </w:r>
          </w:p>
        </w:tc>
        <w:tc>
          <w:tcPr>
            <w:tcW w:w="865" w:type="dxa"/>
          </w:tcPr>
          <w:p>
            <w:pPr>
              <w:pStyle w:val="TableText"/>
              <w:jc w:val="right"/>
            </w:pPr>
            <w:r>
              <w:t xml:space="preserve">413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3,53</w:t>
            </w:r>
          </w:p>
        </w:tc>
      </w:tr>
      <w:tr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378" w:type="dxa"/>
          </w:tcPr>
          <w:p>
            <w:pPr>
              <w:pStyle w:val="TableText"/>
              <w:jc w:val="right"/>
            </w:pPr>
            <w:r>
              <w:t xml:space="preserve">720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51</w:t>
            </w:r>
          </w:p>
        </w:tc>
        <w:tc>
          <w:tcPr>
            <w:tcW w:w="1085" w:type="dxa"/>
          </w:tcPr>
          <w:p>
            <w:pPr>
              <w:pStyle w:val="TableText"/>
              <w:jc w:val="right"/>
            </w:pPr>
            <w:r>
              <w:t xml:space="preserve">2,0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70</w:t>
            </w:r>
          </w:p>
        </w:tc>
        <w:tc>
          <w:tcPr>
            <w:tcW w:w="719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572" w:type="dxa"/>
          </w:tcPr>
          <w:p>
            <w:pPr>
              <w:pStyle w:val="TableText"/>
              <w:jc w:val="right"/>
            </w:pPr>
            <w:r>
              <w:t xml:space="preserve">703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217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136</w:t>
            </w:r>
          </w:p>
        </w:tc>
        <w:tc>
          <w:tcPr>
            <w:tcW w:w="1012" w:type="dxa"/>
          </w:tcPr>
          <w:p>
            <w:pPr>
              <w:pStyle w:val="TableText"/>
              <w:jc w:val="right"/>
            </w:pPr>
            <w:r>
              <w:t xml:space="preserve">568</w:t>
            </w:r>
          </w:p>
        </w:tc>
        <w:tc>
          <w:tcPr>
            <w:tcW w:w="792" w:type="dxa"/>
          </w:tcPr>
          <w:p>
            <w:pPr>
              <w:pStyle w:val="TableText"/>
              <w:jc w:val="right"/>
            </w:pPr>
            <w:r>
              <w:t xml:space="preserve">63</w:t>
            </w:r>
          </w:p>
        </w:tc>
        <w:tc>
          <w:tcPr>
            <w:tcW w:w="865" w:type="dxa"/>
          </w:tcPr>
          <w:p>
            <w:pPr>
              <w:pStyle w:val="TableText"/>
              <w:jc w:val="right"/>
            </w:pPr>
            <w:r>
              <w:t xml:space="preserve">420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3,57</w:t>
            </w:r>
          </w:p>
        </w:tc>
      </w:tr>
      <w:tr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4</w:t>
            </w:r>
          </w:p>
        </w:tc>
        <w:tc>
          <w:tcPr>
            <w:tcW w:w="1378" w:type="dxa"/>
          </w:tcPr>
          <w:p>
            <w:pPr>
              <w:pStyle w:val="TableText"/>
              <w:jc w:val="right"/>
            </w:pPr>
            <w:r>
              <w:t xml:space="preserve">731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52</w:t>
            </w:r>
          </w:p>
        </w:tc>
        <w:tc>
          <w:tcPr>
            <w:tcW w:w="1085" w:type="dxa"/>
          </w:tcPr>
          <w:p>
            <w:pPr>
              <w:pStyle w:val="TableText"/>
              <w:jc w:val="right"/>
            </w:pPr>
            <w:r>
              <w:t xml:space="preserve">2,1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71</w:t>
            </w:r>
          </w:p>
        </w:tc>
        <w:tc>
          <w:tcPr>
            <w:tcW w:w="719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572" w:type="dxa"/>
          </w:tcPr>
          <w:p>
            <w:pPr>
              <w:pStyle w:val="TableText"/>
              <w:jc w:val="right"/>
            </w:pPr>
            <w:r>
              <w:t xml:space="preserve">714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217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139</w:t>
            </w:r>
          </w:p>
        </w:tc>
        <w:tc>
          <w:tcPr>
            <w:tcW w:w="1012" w:type="dxa"/>
          </w:tcPr>
          <w:p>
            <w:pPr>
              <w:pStyle w:val="TableText"/>
              <w:jc w:val="right"/>
            </w:pPr>
            <w:r>
              <w:t xml:space="preserve">575</w:t>
            </w:r>
          </w:p>
        </w:tc>
        <w:tc>
          <w:tcPr>
            <w:tcW w:w="792" w:type="dxa"/>
          </w:tcPr>
          <w:p>
            <w:pPr>
              <w:pStyle w:val="TableText"/>
              <w:jc w:val="right"/>
            </w:pPr>
            <w:r>
              <w:t xml:space="preserve">58</w:t>
            </w:r>
          </w:p>
        </w:tc>
        <w:tc>
          <w:tcPr>
            <w:tcW w:w="865" w:type="dxa"/>
          </w:tcPr>
          <w:p>
            <w:pPr>
              <w:pStyle w:val="TableText"/>
              <w:jc w:val="right"/>
            </w:pPr>
            <w:r>
              <w:t xml:space="preserve">426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3,61</w:t>
            </w:r>
          </w:p>
        </w:tc>
      </w:tr>
      <w:tr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5</w:t>
            </w:r>
          </w:p>
        </w:tc>
        <w:tc>
          <w:tcPr>
            <w:tcW w:w="1378" w:type="dxa"/>
          </w:tcPr>
          <w:p>
            <w:pPr>
              <w:pStyle w:val="TableText"/>
              <w:jc w:val="right"/>
            </w:pPr>
            <w:r>
              <w:t xml:space="preserve">743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53</w:t>
            </w:r>
          </w:p>
        </w:tc>
        <w:tc>
          <w:tcPr>
            <w:tcW w:w="1085" w:type="dxa"/>
          </w:tcPr>
          <w:p>
            <w:pPr>
              <w:pStyle w:val="TableText"/>
              <w:jc w:val="right"/>
            </w:pPr>
            <w:r>
              <w:t xml:space="preserve">2,1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73</w:t>
            </w:r>
          </w:p>
        </w:tc>
        <w:tc>
          <w:tcPr>
            <w:tcW w:w="719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572" w:type="dxa"/>
          </w:tcPr>
          <w:p>
            <w:pPr>
              <w:pStyle w:val="TableText"/>
              <w:jc w:val="right"/>
            </w:pPr>
            <w:r>
              <w:t xml:space="preserve">725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217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142</w:t>
            </w:r>
          </w:p>
        </w:tc>
        <w:tc>
          <w:tcPr>
            <w:tcW w:w="1012" w:type="dxa"/>
          </w:tcPr>
          <w:p>
            <w:pPr>
              <w:pStyle w:val="TableText"/>
              <w:jc w:val="right"/>
            </w:pPr>
            <w:r>
              <w:t xml:space="preserve">583</w:t>
            </w:r>
          </w:p>
        </w:tc>
        <w:tc>
          <w:tcPr>
            <w:tcW w:w="792" w:type="dxa"/>
          </w:tcPr>
          <w:p>
            <w:pPr>
              <w:pStyle w:val="TableText"/>
              <w:jc w:val="right"/>
            </w:pPr>
            <w:r>
              <w:t xml:space="preserve">53</w:t>
            </w:r>
          </w:p>
        </w:tc>
        <w:tc>
          <w:tcPr>
            <w:tcW w:w="865" w:type="dxa"/>
          </w:tcPr>
          <w:p>
            <w:pPr>
              <w:pStyle w:val="TableText"/>
              <w:jc w:val="right"/>
            </w:pPr>
            <w:r>
              <w:t xml:space="preserve">433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3,65</w:t>
            </w:r>
          </w:p>
        </w:tc>
      </w:tr>
      <w:tr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6</w:t>
            </w:r>
          </w:p>
        </w:tc>
        <w:tc>
          <w:tcPr>
            <w:tcW w:w="1378" w:type="dxa"/>
          </w:tcPr>
          <w:p>
            <w:pPr>
              <w:pStyle w:val="TableText"/>
              <w:jc w:val="right"/>
            </w:pPr>
            <w:r>
              <w:t xml:space="preserve">754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54</w:t>
            </w:r>
          </w:p>
        </w:tc>
        <w:tc>
          <w:tcPr>
            <w:tcW w:w="1085" w:type="dxa"/>
          </w:tcPr>
          <w:p>
            <w:pPr>
              <w:pStyle w:val="TableText"/>
              <w:jc w:val="right"/>
            </w:pPr>
            <w:r>
              <w:t xml:space="preserve">2,1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74</w:t>
            </w:r>
          </w:p>
        </w:tc>
        <w:tc>
          <w:tcPr>
            <w:tcW w:w="719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572" w:type="dxa"/>
          </w:tcPr>
          <w:p>
            <w:pPr>
              <w:pStyle w:val="TableText"/>
              <w:jc w:val="right"/>
            </w:pPr>
            <w:r>
              <w:t xml:space="preserve">736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217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145</w:t>
            </w:r>
          </w:p>
        </w:tc>
        <w:tc>
          <w:tcPr>
            <w:tcW w:w="1012" w:type="dxa"/>
          </w:tcPr>
          <w:p>
            <w:pPr>
              <w:pStyle w:val="TableText"/>
              <w:jc w:val="right"/>
            </w:pPr>
            <w:r>
              <w:t xml:space="preserve">591</w:t>
            </w:r>
          </w:p>
        </w:tc>
        <w:tc>
          <w:tcPr>
            <w:tcW w:w="792" w:type="dxa"/>
          </w:tcPr>
          <w:p>
            <w:pPr>
              <w:pStyle w:val="TableText"/>
              <w:jc w:val="right"/>
            </w:pPr>
            <w:r>
              <w:t xml:space="preserve">47</w:t>
            </w:r>
          </w:p>
        </w:tc>
        <w:tc>
          <w:tcPr>
            <w:tcW w:w="865" w:type="dxa"/>
          </w:tcPr>
          <w:p>
            <w:pPr>
              <w:pStyle w:val="TableText"/>
              <w:jc w:val="right"/>
            </w:pPr>
            <w:r>
              <w:t xml:space="preserve">439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3,69</w:t>
            </w:r>
          </w:p>
        </w:tc>
      </w:tr>
      <w:tr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7</w:t>
            </w:r>
          </w:p>
        </w:tc>
        <w:tc>
          <w:tcPr>
            <w:tcW w:w="1378" w:type="dxa"/>
          </w:tcPr>
          <w:p>
            <w:pPr>
              <w:pStyle w:val="TableText"/>
              <w:jc w:val="right"/>
            </w:pPr>
            <w:r>
              <w:t xml:space="preserve">766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55</w:t>
            </w:r>
          </w:p>
        </w:tc>
        <w:tc>
          <w:tcPr>
            <w:tcW w:w="1085" w:type="dxa"/>
          </w:tcPr>
          <w:p>
            <w:pPr>
              <w:pStyle w:val="TableText"/>
              <w:jc w:val="right"/>
            </w:pPr>
            <w:r>
              <w:t xml:space="preserve">2,2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76</w:t>
            </w:r>
          </w:p>
        </w:tc>
        <w:tc>
          <w:tcPr>
            <w:tcW w:w="719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572" w:type="dxa"/>
          </w:tcPr>
          <w:p>
            <w:pPr>
              <w:pStyle w:val="TableText"/>
              <w:jc w:val="right"/>
            </w:pPr>
            <w:r>
              <w:t xml:space="preserve">747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217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148</w:t>
            </w:r>
          </w:p>
        </w:tc>
        <w:tc>
          <w:tcPr>
            <w:tcW w:w="1012" w:type="dxa"/>
          </w:tcPr>
          <w:p>
            <w:pPr>
              <w:pStyle w:val="TableText"/>
              <w:jc w:val="right"/>
            </w:pPr>
            <w:r>
              <w:t xml:space="preserve">599</w:t>
            </w:r>
          </w:p>
        </w:tc>
        <w:tc>
          <w:tcPr>
            <w:tcW w:w="792" w:type="dxa"/>
          </w:tcPr>
          <w:p>
            <w:pPr>
              <w:pStyle w:val="TableText"/>
              <w:jc w:val="right"/>
            </w:pPr>
            <w:r>
              <w:t xml:space="preserve">41</w:t>
            </w:r>
          </w:p>
        </w:tc>
        <w:tc>
          <w:tcPr>
            <w:tcW w:w="865" w:type="dxa"/>
          </w:tcPr>
          <w:p>
            <w:pPr>
              <w:pStyle w:val="TableText"/>
              <w:jc w:val="right"/>
            </w:pPr>
            <w:r>
              <w:t xml:space="preserve">446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3,74</w:t>
            </w:r>
          </w:p>
        </w:tc>
      </w:tr>
      <w:tr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8</w:t>
            </w:r>
          </w:p>
        </w:tc>
        <w:tc>
          <w:tcPr>
            <w:tcW w:w="1378" w:type="dxa"/>
          </w:tcPr>
          <w:p>
            <w:pPr>
              <w:pStyle w:val="TableText"/>
              <w:jc w:val="right"/>
            </w:pPr>
            <w:r>
              <w:t xml:space="preserve">779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56</w:t>
            </w:r>
          </w:p>
        </w:tc>
        <w:tc>
          <w:tcPr>
            <w:tcW w:w="1085" w:type="dxa"/>
          </w:tcPr>
          <w:p>
            <w:pPr>
              <w:pStyle w:val="TableText"/>
              <w:jc w:val="right"/>
            </w:pPr>
            <w:r>
              <w:t xml:space="preserve">2,2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78</w:t>
            </w:r>
          </w:p>
        </w:tc>
        <w:tc>
          <w:tcPr>
            <w:tcW w:w="719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572" w:type="dxa"/>
          </w:tcPr>
          <w:p>
            <w:pPr>
              <w:pStyle w:val="TableText"/>
              <w:jc w:val="right"/>
            </w:pPr>
            <w:r>
              <w:t xml:space="preserve">759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217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151</w:t>
            </w:r>
          </w:p>
        </w:tc>
        <w:tc>
          <w:tcPr>
            <w:tcW w:w="1012" w:type="dxa"/>
          </w:tcPr>
          <w:p>
            <w:pPr>
              <w:pStyle w:val="TableText"/>
              <w:jc w:val="right"/>
            </w:pPr>
            <w:r>
              <w:t xml:space="preserve">607</w:t>
            </w:r>
          </w:p>
        </w:tc>
        <w:tc>
          <w:tcPr>
            <w:tcW w:w="792" w:type="dxa"/>
          </w:tcPr>
          <w:p>
            <w:pPr>
              <w:pStyle w:val="TableText"/>
              <w:jc w:val="right"/>
            </w:pPr>
            <w:r>
              <w:t xml:space="preserve">35</w:t>
            </w:r>
          </w:p>
        </w:tc>
        <w:tc>
          <w:tcPr>
            <w:tcW w:w="865" w:type="dxa"/>
          </w:tcPr>
          <w:p>
            <w:pPr>
              <w:pStyle w:val="TableText"/>
              <w:jc w:val="right"/>
            </w:pPr>
            <w:r>
              <w:t xml:space="preserve">453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3,78</w:t>
            </w:r>
          </w:p>
        </w:tc>
      </w:tr>
      <w:tr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9</w:t>
            </w:r>
          </w:p>
        </w:tc>
        <w:tc>
          <w:tcPr>
            <w:tcW w:w="1378" w:type="dxa"/>
          </w:tcPr>
          <w:p>
            <w:pPr>
              <w:pStyle w:val="TableText"/>
              <w:jc w:val="right"/>
            </w:pPr>
            <w:r>
              <w:t xml:space="preserve">791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56</w:t>
            </w:r>
          </w:p>
        </w:tc>
        <w:tc>
          <w:tcPr>
            <w:tcW w:w="1085" w:type="dxa"/>
          </w:tcPr>
          <w:p>
            <w:pPr>
              <w:pStyle w:val="TableText"/>
              <w:jc w:val="right"/>
            </w:pPr>
            <w:r>
              <w:t xml:space="preserve">2,3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79</w:t>
            </w:r>
          </w:p>
        </w:tc>
        <w:tc>
          <w:tcPr>
            <w:tcW w:w="719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572" w:type="dxa"/>
          </w:tcPr>
          <w:p>
            <w:pPr>
              <w:pStyle w:val="TableText"/>
              <w:jc w:val="right"/>
            </w:pPr>
            <w:r>
              <w:t xml:space="preserve">770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217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154</w:t>
            </w:r>
          </w:p>
        </w:tc>
        <w:tc>
          <w:tcPr>
            <w:tcW w:w="1012" w:type="dxa"/>
          </w:tcPr>
          <w:p>
            <w:pPr>
              <w:pStyle w:val="TableText"/>
              <w:jc w:val="right"/>
            </w:pPr>
            <w:r>
              <w:t xml:space="preserve">616</w:t>
            </w:r>
          </w:p>
        </w:tc>
        <w:tc>
          <w:tcPr>
            <w:tcW w:w="792" w:type="dxa"/>
          </w:tcPr>
          <w:p>
            <w:pPr>
              <w:pStyle w:val="TableText"/>
              <w:jc w:val="right"/>
            </w:pPr>
            <w:r>
              <w:t xml:space="preserve">29</w:t>
            </w:r>
          </w:p>
        </w:tc>
        <w:tc>
          <w:tcPr>
            <w:tcW w:w="865" w:type="dxa"/>
          </w:tcPr>
          <w:p>
            <w:pPr>
              <w:pStyle w:val="TableText"/>
              <w:jc w:val="right"/>
            </w:pPr>
            <w:r>
              <w:t xml:space="preserve">460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3,82</w:t>
            </w:r>
          </w:p>
        </w:tc>
      </w:tr>
      <w:tr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10</w:t>
            </w:r>
          </w:p>
        </w:tc>
        <w:tc>
          <w:tcPr>
            <w:tcW w:w="1378" w:type="dxa"/>
          </w:tcPr>
          <w:p>
            <w:pPr>
              <w:pStyle w:val="TableText"/>
              <w:jc w:val="right"/>
            </w:pPr>
            <w:r>
              <w:t xml:space="preserve">803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57</w:t>
            </w:r>
          </w:p>
        </w:tc>
        <w:tc>
          <w:tcPr>
            <w:tcW w:w="1085" w:type="dxa"/>
          </w:tcPr>
          <w:p>
            <w:pPr>
              <w:pStyle w:val="TableText"/>
              <w:jc w:val="right"/>
            </w:pPr>
            <w:r>
              <w:t xml:space="preserve">2,3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81</w:t>
            </w:r>
          </w:p>
        </w:tc>
        <w:tc>
          <w:tcPr>
            <w:tcW w:w="719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572" w:type="dxa"/>
          </w:tcPr>
          <w:p>
            <w:pPr>
              <w:pStyle w:val="TableText"/>
              <w:jc w:val="right"/>
            </w:pPr>
            <w:r>
              <w:t xml:space="preserve">782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217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158</w:t>
            </w:r>
          </w:p>
        </w:tc>
        <w:tc>
          <w:tcPr>
            <w:tcW w:w="1012" w:type="dxa"/>
          </w:tcPr>
          <w:p>
            <w:pPr>
              <w:pStyle w:val="TableText"/>
              <w:jc w:val="right"/>
            </w:pPr>
            <w:r>
              <w:t xml:space="preserve">624</w:t>
            </w:r>
          </w:p>
        </w:tc>
        <w:tc>
          <w:tcPr>
            <w:tcW w:w="792" w:type="dxa"/>
          </w:tcPr>
          <w:p>
            <w:pPr>
              <w:pStyle w:val="TableText"/>
              <w:jc w:val="right"/>
            </w:pPr>
            <w:r>
              <w:t xml:space="preserve">22</w:t>
            </w:r>
          </w:p>
        </w:tc>
        <w:tc>
          <w:tcPr>
            <w:tcW w:w="865" w:type="dxa"/>
          </w:tcPr>
          <w:p>
            <w:pPr>
              <w:pStyle w:val="TableText"/>
              <w:jc w:val="right"/>
            </w:pPr>
            <w:r>
              <w:t xml:space="preserve">466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3,86</w:t>
            </w:r>
          </w:p>
        </w:tc>
      </w:tr>
      <w:tr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11</w:t>
            </w:r>
          </w:p>
        </w:tc>
        <w:tc>
          <w:tcPr>
            <w:tcW w:w="1378" w:type="dxa"/>
          </w:tcPr>
          <w:p>
            <w:pPr>
              <w:pStyle w:val="TableText"/>
              <w:jc w:val="right"/>
            </w:pPr>
            <w:r>
              <w:t xml:space="preserve">816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58</w:t>
            </w:r>
          </w:p>
        </w:tc>
        <w:tc>
          <w:tcPr>
            <w:tcW w:w="1085" w:type="dxa"/>
          </w:tcPr>
          <w:p>
            <w:pPr>
              <w:pStyle w:val="TableText"/>
              <w:jc w:val="right"/>
            </w:pPr>
            <w:r>
              <w:t xml:space="preserve">2,3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83</w:t>
            </w:r>
          </w:p>
        </w:tc>
        <w:tc>
          <w:tcPr>
            <w:tcW w:w="719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572" w:type="dxa"/>
          </w:tcPr>
          <w:p>
            <w:pPr>
              <w:pStyle w:val="TableText"/>
              <w:jc w:val="right"/>
            </w:pPr>
            <w:r>
              <w:t xml:space="preserve">794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217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161</w:t>
            </w:r>
          </w:p>
        </w:tc>
        <w:tc>
          <w:tcPr>
            <w:tcW w:w="1012" w:type="dxa"/>
          </w:tcPr>
          <w:p>
            <w:pPr>
              <w:pStyle w:val="TableText"/>
              <w:jc w:val="right"/>
            </w:pPr>
            <w:r>
              <w:t xml:space="preserve">633</w:t>
            </w:r>
          </w:p>
        </w:tc>
        <w:tc>
          <w:tcPr>
            <w:tcW w:w="792" w:type="dxa"/>
          </w:tcPr>
          <w:p>
            <w:pPr>
              <w:pStyle w:val="TableText"/>
              <w:jc w:val="right"/>
            </w:pPr>
            <w:r>
              <w:t xml:space="preserve">15</w:t>
            </w:r>
          </w:p>
        </w:tc>
        <w:tc>
          <w:tcPr>
            <w:tcW w:w="865" w:type="dxa"/>
          </w:tcPr>
          <w:p>
            <w:pPr>
              <w:pStyle w:val="TableText"/>
              <w:jc w:val="right"/>
            </w:pPr>
            <w:r>
              <w:t xml:space="preserve">473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3,90</w:t>
            </w:r>
          </w:p>
        </w:tc>
      </w:tr>
      <w:tr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12</w:t>
            </w:r>
          </w:p>
        </w:tc>
        <w:tc>
          <w:tcPr>
            <w:tcW w:w="1378" w:type="dxa"/>
          </w:tcPr>
          <w:p>
            <w:pPr>
              <w:pStyle w:val="TableText"/>
              <w:jc w:val="right"/>
            </w:pPr>
            <w:r>
              <w:t xml:space="preserve">829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59</w:t>
            </w:r>
          </w:p>
        </w:tc>
        <w:tc>
          <w:tcPr>
            <w:tcW w:w="1085" w:type="dxa"/>
          </w:tcPr>
          <w:p>
            <w:pPr>
              <w:pStyle w:val="TableText"/>
              <w:jc w:val="right"/>
            </w:pPr>
            <w:r>
              <w:t xml:space="preserve">2,4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85</w:t>
            </w:r>
          </w:p>
        </w:tc>
        <w:tc>
          <w:tcPr>
            <w:tcW w:w="719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572" w:type="dxa"/>
          </w:tcPr>
          <w:p>
            <w:pPr>
              <w:pStyle w:val="TableText"/>
              <w:jc w:val="right"/>
            </w:pPr>
            <w:r>
              <w:t xml:space="preserve">806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132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188</w:t>
            </w:r>
          </w:p>
        </w:tc>
        <w:tc>
          <w:tcPr>
            <w:tcW w:w="1012" w:type="dxa"/>
          </w:tcPr>
          <w:p>
            <w:pPr>
              <w:pStyle w:val="TableText"/>
              <w:jc w:val="right"/>
            </w:pPr>
            <w:r>
              <w:t xml:space="preserve">618</w:t>
            </w:r>
          </w:p>
        </w:tc>
        <w:tc>
          <w:tcPr>
            <w:tcW w:w="792" w:type="dxa"/>
          </w:tcPr>
          <w:p>
            <w:pPr>
              <w:pStyle w:val="TableText"/>
              <w:jc w:val="right"/>
            </w:pPr>
            <w:r>
              <w:t xml:space="preserve">8</w:t>
            </w:r>
          </w:p>
        </w:tc>
        <w:tc>
          <w:tcPr>
            <w:tcW w:w="865" w:type="dxa"/>
          </w:tcPr>
          <w:p>
            <w:pPr>
              <w:pStyle w:val="TableText"/>
              <w:jc w:val="right"/>
            </w:pPr>
            <w:r>
              <w:t xml:space="preserve">457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3,80</w:t>
            </w:r>
          </w:p>
        </w:tc>
      </w:tr>
      <w:tr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25</w:t>
            </w:r>
          </w:p>
        </w:tc>
        <w:tc>
          <w:tcPr>
            <w:tcW w:w="1378" w:type="dxa"/>
          </w:tcPr>
          <w:p>
            <w:pPr>
              <w:pStyle w:val="TableText"/>
              <w:jc w:val="right"/>
            </w:pPr>
            <w:r>
              <w:t xml:space="preserve">1029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67</w:t>
            </w:r>
          </w:p>
        </w:tc>
        <w:tc>
          <w:tcPr>
            <w:tcW w:w="1085" w:type="dxa"/>
          </w:tcPr>
          <w:p>
            <w:pPr>
              <w:pStyle w:val="TableText"/>
              <w:jc w:val="right"/>
            </w:pPr>
            <w:r>
              <w:t xml:space="preserve">3,0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112</w:t>
            </w:r>
          </w:p>
        </w:tc>
        <w:tc>
          <w:tcPr>
            <w:tcW w:w="719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572" w:type="dxa"/>
          </w:tcPr>
          <w:p>
            <w:pPr>
              <w:pStyle w:val="TableText"/>
              <w:jc w:val="right"/>
            </w:pPr>
            <w:r>
              <w:t xml:space="preserve">860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646" w:type="dxa"/>
          </w:tcPr>
          <w:p>
            <w:pPr>
              <w:pStyle w:val="TableText"/>
              <w:jc w:val="right"/>
            </w:pPr>
            <w:r>
              <w:t xml:space="preserve">240</w:t>
            </w:r>
          </w:p>
        </w:tc>
        <w:tc>
          <w:tcPr>
            <w:tcW w:w="1012" w:type="dxa"/>
          </w:tcPr>
          <w:p>
            <w:pPr>
              <w:pStyle w:val="TableText"/>
              <w:jc w:val="right"/>
            </w:pPr>
            <w:r>
              <w:t xml:space="preserve">620</w:t>
            </w:r>
          </w:p>
        </w:tc>
        <w:tc>
          <w:tcPr>
            <w:tcW w:w="792" w:type="dxa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W w:w="865" w:type="dxa"/>
          </w:tcPr>
          <w:p>
            <w:pPr>
              <w:pStyle w:val="TableText"/>
              <w:jc w:val="right"/>
            </w:pPr>
            <w:r>
              <w:t xml:space="preserve">620</w:t>
            </w:r>
          </w:p>
        </w:tc>
        <w:tc>
          <w:tcPr>
            <w:tcW w:w="426" w:type="dxa"/>
          </w:tcPr>
          <w:p>
            <w:pPr>
              <w:pStyle w:val="TableText"/>
              <w:jc w:val="right"/>
            </w:pPr>
            <w:r>
              <w:t xml:space="preserve">–</w:t>
            </w:r>
          </w:p>
        </w:tc>
      </w:tr>
    </w:tbl>
    <w:p>
      <w:pPr>
        <w:pStyle w:val="Normal"/>
        <w:spacing w:after="60"/>
      </w:pPr>
    </w:p>
    <w:p>
      <w:pPr>
        <w:pStyle w:val="Heading1"/>
      </w:pPr>
      <w:r>
        <w:t xml:space="preserve">8. Caso A – CAPEX per voce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691"/>
        <w:gridCol w:w="5064"/>
        <w:gridCol w:w="868"/>
        <w:gridCol w:w="603"/>
        <w:gridCol w:w="884"/>
        <w:gridCol w:w="884"/>
        <w:gridCol w:w="643"/>
      </w:tblGrid>
      <w:tr>
        <w:trPr>
          <w:tblHeader/>
        </w:trPr>
        <w:tc>
          <w:tcPr>
            <w:tcW w:w="69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Gruppo</w:t>
            </w:r>
          </w:p>
        </w:tc>
        <w:tc>
          <w:tcPr>
            <w:tcW w:w="506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Voce</w:t>
            </w:r>
          </w:p>
        </w:tc>
        <w:tc>
          <w:tcPr>
            <w:tcW w:w="868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Unitario</w:t>
            </w:r>
          </w:p>
        </w:tc>
        <w:tc>
          <w:tcPr>
            <w:tcW w:w="603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Unità</w:t>
            </w:r>
          </w:p>
        </w:tc>
        <w:tc>
          <w:tcPr>
            <w:tcW w:w="884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Quantità</w:t>
            </w:r>
          </w:p>
        </w:tc>
        <w:tc>
          <w:tcPr>
            <w:tcW w:w="884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Totale €</w:t>
            </w:r>
          </w:p>
        </w:tc>
        <w:tc>
          <w:tcPr>
            <w:tcW w:w="643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Quota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FV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Moduli fotovoltaici (franco cantiere)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130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€/kWp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3000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390.000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16,2 %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FV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Inverter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35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€/kWp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3000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105.000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4,4 %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FV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Strutture di sostegno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50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€/kWp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3000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150.000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6,2 %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FV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BOS elettrico DC/AC (cavi, quadri, cavidotti, terra, SPD)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60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€/kWp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3000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180.000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7,5 %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FV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Cabine MT, trasformatori, protezioni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50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€/kWp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3000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150.000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6,2 %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FV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Connessione (TICA) e adeguamento cabina utente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30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€/kWp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3000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90.000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3,7 %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FV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Opere civili, viabilità, drenaggi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35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€/kWp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3000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105.000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4,4 %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FV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Recinzione, videosorveglianza, antintrusione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20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€/kWp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3000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60.000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2,5 %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FV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Montaggi meccanici ed elettrici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80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€/kWp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3000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240.000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10,0 %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FV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Ingegneria, DL, CSE, collaudi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30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€/kWp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3000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90.000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3,7 %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FV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Sviluppo, autorizzazioni, pratiche GSE/DSO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40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€/kWp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3000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120.000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5,0 %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BESS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DC block (celle LFP, rack, BMS, container, HVAC, antincendio)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110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€/kWh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2000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220.000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9,1 %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BESS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PCS (convertitori bidirezionali)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60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€/kW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1000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60.000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2,5 %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BESS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BoP elettrico (trasformatori MT, quadri, cavi, protezioni)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70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€/kW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1000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70.000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2,9 %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BESS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EMS / SCADA / integrazione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40.000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€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1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40.000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1,7 %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BESS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Installazione, opere civili, trasporti, messa in servizio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40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€/kWh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2000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80.000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3,3 %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BESS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Prevenzione incendi e distanze di sicurezza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5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€/kWh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2000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10.000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0,4 %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BESS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Ingegneria, permessi, aggiornamento connessione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15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€/kWh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2000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30.000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1,2 %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Comune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Contingenze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8,0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2.190.000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175.200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7,3 %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>Comune</w:t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t xml:space="preserve">Costi del committente (owner's cost)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>2,0</w:t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2.190.000</w:t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>43.800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1,8 %</w:t>
            </w:r>
          </w:p>
        </w:tc>
      </w:tr>
      <w:tr>
        <w:tc>
          <w:tcPr>
            <w:tcW w:w="691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5064" w:type="dxa"/>
          </w:tcPr>
          <w:p>
            <w:pPr>
              <w:pStyle w:val="TableText"/>
            </w:pPr>
            <w:r>
              <w:rPr>
                <w:b/>
              </w:rPr>
              <w:t xml:space="preserve">Totale</w:t>
            </w:r>
          </w:p>
        </w:tc>
        <w:tc>
          <w:tcPr>
            <w:tcW w:w="868" w:type="dxa"/>
          </w:tcPr>
          <w:p>
            <w:pPr>
              <w:pStyle w:val="TableText"/>
              <w:jc w:val="right"/>
            </w:pPr>
            <w:r>
              <w:t xml:space="preserve"/>
            </w:r>
          </w:p>
        </w:tc>
        <w:tc>
          <w:tcPr>
            <w:tcW w:w="603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t xml:space="preserve"/>
            </w:r>
          </w:p>
        </w:tc>
        <w:tc>
          <w:tcPr>
            <w:tcW w:w="884" w:type="dxa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2.409.000</w:t>
            </w:r>
          </w:p>
        </w:tc>
        <w:tc>
          <w:tcPr>
            <w:tcW w:w="643" w:type="dxa"/>
          </w:tcPr>
          <w:p>
            <w:pPr>
              <w:pStyle w:val="TableText"/>
              <w:jc w:val="right"/>
            </w:pPr>
            <w:r>
              <w:t xml:space="preserve">100 %</w:t>
            </w:r>
          </w:p>
        </w:tc>
      </w:tr>
    </w:tbl>
    <w:p>
      <w:pPr>
        <w:pStyle w:val="Normal"/>
        <w:spacing w:after="60"/>
      </w:pPr>
    </w:p>
    <w:p>
      <w:pPr>
        <w:pStyle w:val="Heading1"/>
      </w:pPr>
      <w:r>
        <w:t xml:space="preserve">9. CAPEX per tipologia di installazione (3 MWp, solo FV, default per tipologia)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3120"/>
        <w:gridCol w:w="2011"/>
        <w:gridCol w:w="2011"/>
        <w:gridCol w:w="1502"/>
        <w:gridCol w:w="994"/>
      </w:tblGrid>
      <w:tr>
        <w:trPr>
          <w:tblHeader/>
        </w:trPr>
        <w:tc>
          <w:tcPr>
            <w:tcW w:w="312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Tipologia</w:t>
            </w:r>
          </w:p>
        </w:tc>
        <w:tc>
          <w:tcPr>
            <w:tcW w:w="2011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CAPEX FV €/kWp</w:t>
            </w:r>
          </w:p>
        </w:tc>
        <w:tc>
          <w:tcPr>
            <w:tcW w:w="2011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kWh/kWp Milano</w:t>
            </w:r>
          </w:p>
        </w:tc>
        <w:tc>
          <w:tcPr>
            <w:tcW w:w="1502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LCOE €/MWh</w:t>
            </w:r>
          </w:p>
        </w:tc>
        <w:tc>
          <w:tcPr>
            <w:tcW w:w="994" w:type="dxa"/>
            <w:shd w:val="clear" w:color="auto" w:fill="E3EAEC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VAN k€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A terra, fisso</w:t>
            </w:r>
          </w:p>
        </w:tc>
        <w:tc>
          <w:tcPr>
            <w:tcW w:w="2011" w:type="dxa"/>
          </w:tcPr>
          <w:p>
            <w:pPr>
              <w:pStyle w:val="TableText"/>
              <w:jc w:val="right"/>
            </w:pPr>
            <w:r>
              <w:t xml:space="preserve">616</w:t>
            </w:r>
          </w:p>
        </w:tc>
        <w:tc>
          <w:tcPr>
            <w:tcW w:w="2011" w:type="dxa"/>
          </w:tcPr>
          <w:p>
            <w:pPr>
              <w:pStyle w:val="TableText"/>
              <w:jc w:val="right"/>
            </w:pPr>
            <w:r>
              <w:t xml:space="preserve">1310</w:t>
            </w:r>
          </w:p>
        </w:tc>
        <w:tc>
          <w:tcPr>
            <w:tcW w:w="1502" w:type="dxa"/>
          </w:tcPr>
          <w:p>
            <w:pPr>
              <w:pStyle w:val="TableText"/>
              <w:jc w:val="right"/>
            </w:pPr>
            <w:r>
              <w:t xml:space="preserve">59,8</w:t>
            </w:r>
          </w:p>
        </w:tc>
        <w:tc>
          <w:tcPr>
            <w:tcW w:w="994" w:type="dxa"/>
          </w:tcPr>
          <w:p>
            <w:pPr>
              <w:pStyle w:val="TableText"/>
              <w:jc w:val="right"/>
            </w:pPr>
            <w:r>
              <w:t xml:space="preserve">4861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A terra, tracker</w:t>
            </w:r>
          </w:p>
        </w:tc>
        <w:tc>
          <w:tcPr>
            <w:tcW w:w="2011" w:type="dxa"/>
          </w:tcPr>
          <w:p>
            <w:pPr>
              <w:pStyle w:val="TableText"/>
              <w:jc w:val="right"/>
            </w:pPr>
            <w:r>
              <w:t xml:space="preserve">671</w:t>
            </w:r>
          </w:p>
        </w:tc>
        <w:tc>
          <w:tcPr>
            <w:tcW w:w="2011" w:type="dxa"/>
          </w:tcPr>
          <w:p>
            <w:pPr>
              <w:pStyle w:val="TableText"/>
              <w:jc w:val="right"/>
            </w:pPr>
            <w:r>
              <w:t xml:space="preserve">1542</w:t>
            </w:r>
          </w:p>
        </w:tc>
        <w:tc>
          <w:tcPr>
            <w:tcW w:w="1502" w:type="dxa"/>
          </w:tcPr>
          <w:p>
            <w:pPr>
              <w:pStyle w:val="TableText"/>
              <w:jc w:val="right"/>
            </w:pPr>
            <w:r>
              <w:t xml:space="preserve">54,2</w:t>
            </w:r>
          </w:p>
        </w:tc>
        <w:tc>
          <w:tcPr>
            <w:tcW w:w="994" w:type="dxa"/>
          </w:tcPr>
          <w:p>
            <w:pPr>
              <w:pStyle w:val="TableText"/>
              <w:jc w:val="right"/>
            </w:pPr>
            <w:r>
              <w:t xml:space="preserve">6238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Copertura a falda</w:t>
            </w:r>
          </w:p>
        </w:tc>
        <w:tc>
          <w:tcPr>
            <w:tcW w:w="2011" w:type="dxa"/>
          </w:tcPr>
          <w:p>
            <w:pPr>
              <w:pStyle w:val="TableText"/>
              <w:jc w:val="right"/>
            </w:pPr>
            <w:r>
              <w:t xml:space="preserve">534</w:t>
            </w:r>
          </w:p>
        </w:tc>
        <w:tc>
          <w:tcPr>
            <w:tcW w:w="2011" w:type="dxa"/>
          </w:tcPr>
          <w:p>
            <w:pPr>
              <w:pStyle w:val="TableText"/>
              <w:jc w:val="right"/>
            </w:pPr>
            <w:r>
              <w:t xml:space="preserve">1237</w:t>
            </w:r>
          </w:p>
        </w:tc>
        <w:tc>
          <w:tcPr>
            <w:tcW w:w="1502" w:type="dxa"/>
          </w:tcPr>
          <w:p>
            <w:pPr>
              <w:pStyle w:val="TableText"/>
              <w:jc w:val="right"/>
            </w:pPr>
            <w:r>
              <w:t xml:space="preserve">53,6</w:t>
            </w:r>
          </w:p>
        </w:tc>
        <w:tc>
          <w:tcPr>
            <w:tcW w:w="994" w:type="dxa"/>
          </w:tcPr>
          <w:p>
            <w:pPr>
              <w:pStyle w:val="TableText"/>
              <w:jc w:val="right"/>
            </w:pPr>
            <w:r>
              <w:t xml:space="preserve">4825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Copertura piana est-ovest</w:t>
            </w:r>
          </w:p>
        </w:tc>
        <w:tc>
          <w:tcPr>
            <w:tcW w:w="2011" w:type="dxa"/>
          </w:tcPr>
          <w:p>
            <w:pPr>
              <w:pStyle w:val="TableText"/>
              <w:jc w:val="right"/>
            </w:pPr>
            <w:r>
              <w:t xml:space="preserve">578</w:t>
            </w:r>
          </w:p>
        </w:tc>
        <w:tc>
          <w:tcPr>
            <w:tcW w:w="2011" w:type="dxa"/>
          </w:tcPr>
          <w:p>
            <w:pPr>
              <w:pStyle w:val="TableText"/>
              <w:jc w:val="right"/>
            </w:pPr>
            <w:r>
              <w:t xml:space="preserve">1151</w:t>
            </w:r>
          </w:p>
        </w:tc>
        <w:tc>
          <w:tcPr>
            <w:tcW w:w="1502" w:type="dxa"/>
          </w:tcPr>
          <w:p>
            <w:pPr>
              <w:pStyle w:val="TableText"/>
              <w:jc w:val="right"/>
            </w:pPr>
            <w:r>
              <w:t xml:space="preserve">61,2</w:t>
            </w:r>
          </w:p>
        </w:tc>
        <w:tc>
          <w:tcPr>
            <w:tcW w:w="994" w:type="dxa"/>
          </w:tcPr>
          <w:p>
            <w:pPr>
              <w:pStyle w:val="TableText"/>
              <w:jc w:val="right"/>
            </w:pPr>
            <w:r>
              <w:t xml:space="preserve">4312</w:t>
            </w:r>
          </w:p>
        </w:tc>
      </w:tr>
    </w:tbl>
    <w:p>
      <w:pPr>
        <w:pStyle w:val="Normal"/>
        <w:spacing w:after="60"/>
      </w:pPr>
    </w:p>
    <w:p>
      <w:pPr>
        <w:pStyle w:val="Heading1"/>
      </w:pPr>
      <w:r>
        <w:t xml:space="preserve">10. Caso A – dati di ingegneria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3081"/>
        <w:gridCol w:w="6557"/>
      </w:tblGrid>
      <w:tr>
        <w:trPr>
          <w:tblHeader/>
        </w:trPr>
        <w:tc>
          <w:tcPr>
            <w:tcW w:w="308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Grandezza</w:t>
            </w:r>
          </w:p>
        </w:tc>
        <w:tc>
          <w:tcPr>
            <w:tcW w:w="6557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Valore</w:t>
            </w:r>
          </w:p>
        </w:tc>
      </w:tr>
      <w:tr>
        <w:tc>
          <w:tcPr>
            <w:tcW w:w="3081" w:type="dxa"/>
          </w:tcPr>
          <w:p>
            <w:pPr>
              <w:pStyle w:val="TableText"/>
            </w:pPr>
            <w:r>
              <w:t xml:space="preserve">Moduli</w:t>
            </w:r>
          </w:p>
        </w:tc>
        <w:tc>
          <w:tcPr>
            <w:tcW w:w="6557" w:type="dxa"/>
          </w:tcPr>
          <w:p>
            <w:pPr>
              <w:pStyle w:val="TableText"/>
            </w:pPr>
            <w:r>
              <w:t xml:space="preserve">4844 × TOPCon bifacciale 620 Wp (2382×1134 mm)</w:t>
            </w:r>
          </w:p>
        </w:tc>
      </w:tr>
      <w:tr>
        <w:tc>
          <w:tcPr>
            <w:tcW w:w="3081" w:type="dxa"/>
          </w:tcPr>
          <w:p>
            <w:pPr>
              <w:pStyle w:val="TableText"/>
            </w:pPr>
            <w:r>
              <w:t xml:space="preserve">Stringhe</w:t>
            </w:r>
          </w:p>
        </w:tc>
        <w:tc>
          <w:tcPr>
            <w:tcW w:w="6557" w:type="dxa"/>
          </w:tcPr>
          <w:p>
            <w:pPr>
              <w:pStyle w:val="TableText"/>
            </w:pPr>
            <w:r>
              <w:t xml:space="preserve">173 da 28 moduli</w:t>
            </w:r>
          </w:p>
        </w:tc>
      </w:tr>
      <w:tr>
        <w:tc>
          <w:tcPr>
            <w:tcW w:w="3081" w:type="dxa"/>
          </w:tcPr>
          <w:p>
            <w:pPr>
              <w:pStyle w:val="TableText"/>
            </w:pPr>
            <w:r>
              <w:t xml:space="preserve">Inverter</w:t>
            </w:r>
          </w:p>
        </w:tc>
        <w:tc>
          <w:tcPr>
            <w:tcW w:w="6557" w:type="dxa"/>
          </w:tcPr>
          <w:p>
            <w:pPr>
              <w:pStyle w:val="TableText"/>
            </w:pPr>
            <w:r>
              <w:t xml:space="preserve">7 × Inverter di stringa 350 kW / 1500 V (2450 kWac)</w:t>
            </w:r>
          </w:p>
        </w:tc>
      </w:tr>
      <w:tr>
        <w:tc>
          <w:tcPr>
            <w:tcW w:w="3081" w:type="dxa"/>
          </w:tcPr>
          <w:p>
            <w:pPr>
              <w:pStyle w:val="TableText"/>
            </w:pPr>
            <w:r>
              <w:t xml:space="preserve">Potenza DC effettiva</w:t>
            </w:r>
          </w:p>
        </w:tc>
        <w:tc>
          <w:tcPr>
            <w:tcW w:w="6557" w:type="dxa"/>
          </w:tcPr>
          <w:p>
            <w:pPr>
              <w:pStyle w:val="TableText"/>
            </w:pPr>
            <w:r>
              <w:t xml:space="preserve">3003,3 kWp (DC/AC 1,23)</w:t>
            </w:r>
          </w:p>
        </w:tc>
      </w:tr>
      <w:tr>
        <w:tc>
          <w:tcPr>
            <w:tcW w:w="3081" w:type="dxa"/>
          </w:tcPr>
          <w:p>
            <w:pPr>
              <w:pStyle w:val="TableText"/>
            </w:pPr>
            <w:r>
              <w:t xml:space="preserve">Voc stringa alla Tmin (-9,5 °C)</w:t>
            </w:r>
          </w:p>
        </w:tc>
        <w:tc>
          <w:tcPr>
            <w:tcW w:w="6557" w:type="dxa"/>
          </w:tcPr>
          <w:p>
            <w:pPr>
              <w:pStyle w:val="TableText"/>
            </w:pPr>
            <w:r>
              <w:t xml:space="preserve">1487 V</w:t>
            </w:r>
          </w:p>
        </w:tc>
      </w:tr>
      <w:tr>
        <w:tc>
          <w:tcPr>
            <w:tcW w:w="3081" w:type="dxa"/>
          </w:tcPr>
          <w:p>
            <w:pPr>
              <w:pStyle w:val="TableText"/>
            </w:pPr>
            <w:r>
              <w:t xml:space="preserve">Vmp stringa alla Tcella max (64,8 °C)</w:t>
            </w:r>
          </w:p>
        </w:tc>
        <w:tc>
          <w:tcPr>
            <w:tcW w:w="6557" w:type="dxa"/>
          </w:tcPr>
          <w:p>
            <w:pPr>
              <w:pStyle w:val="TableText"/>
            </w:pPr>
            <w:r>
              <w:t xml:space="preserve">1016 V</w:t>
            </w:r>
          </w:p>
        </w:tc>
      </w:tr>
      <w:tr>
        <w:tc>
          <w:tcPr>
            <w:tcW w:w="3081" w:type="dxa"/>
          </w:tcPr>
          <w:p>
            <w:pPr>
              <w:pStyle w:val="TableText"/>
            </w:pPr>
            <w:r>
              <w:t xml:space="preserve">Cavo di stringa</w:t>
            </w:r>
          </w:p>
        </w:tc>
        <w:tc>
          <w:tcPr>
            <w:tcW w:w="6557" w:type="dxa"/>
          </w:tcPr>
          <w:p>
            <w:pPr>
              <w:pStyle w:val="TableText"/>
            </w:pPr>
            <w:r>
              <w:t xml:space="preserve">6 mm², ΔV 0,66 % su 70 m</w:t>
            </w:r>
          </w:p>
        </w:tc>
      </w:tr>
      <w:tr>
        <w:tc>
          <w:tcPr>
            <w:tcW w:w="3081" w:type="dxa"/>
          </w:tcPr>
          <w:p>
            <w:pPr>
              <w:pStyle w:val="TableText"/>
            </w:pPr>
            <w:r>
              <w:t xml:space="preserve">Cavo AC inverter</w:t>
            </w:r>
          </w:p>
        </w:tc>
        <w:tc>
          <w:tcPr>
            <w:tcW w:w="6557" w:type="dxa"/>
          </w:tcPr>
          <w:p>
            <w:pPr>
              <w:pStyle w:val="TableText"/>
            </w:pPr>
            <w:r>
              <w:t xml:space="preserve">1 × 240 mm² Al, ΔV 1,18 % su 150 m</w:t>
            </w:r>
          </w:p>
        </w:tc>
      </w:tr>
      <w:tr>
        <w:tc>
          <w:tcPr>
            <w:tcW w:w="3081" w:type="dxa"/>
          </w:tcPr>
          <w:p>
            <w:pPr>
              <w:pStyle w:val="TableText"/>
            </w:pPr>
            <w:r>
              <w:t xml:space="preserve">Trasformatori FV</w:t>
            </w:r>
          </w:p>
        </w:tc>
        <w:tc>
          <w:tcPr>
            <w:tcW w:w="6557" w:type="dxa"/>
          </w:tcPr>
          <w:p>
            <w:pPr>
              <w:pStyle w:val="TableText"/>
            </w:pPr>
            <w:r>
              <w:t xml:space="preserve">1 × 3150 kVA 15/0,8 kV</w:t>
            </w:r>
          </w:p>
        </w:tc>
      </w:tr>
      <w:tr>
        <w:tc>
          <w:tcPr>
            <w:tcW w:w="3081" w:type="dxa"/>
          </w:tcPr>
          <w:p>
            <w:pPr>
              <w:pStyle w:val="TableText"/>
            </w:pPr>
            <w:r>
              <w:t xml:space="preserve">Linea MT</w:t>
            </w:r>
          </w:p>
        </w:tc>
        <w:tc>
          <w:tcPr>
            <w:tcW w:w="6557" w:type="dxa"/>
          </w:tcPr>
          <w:p>
            <w:pPr>
              <w:pStyle w:val="TableText"/>
            </w:pPr>
            <w:r>
              <w:t xml:space="preserve">120 mm² Al, I = 140 A; sezione minima per 12,5 kA × 0,50 s: 96 mm²</w:t>
            </w:r>
          </w:p>
        </w:tc>
      </w:tr>
      <w:tr>
        <w:tc>
          <w:tcPr>
            <w:tcW w:w="3081" w:type="dxa"/>
          </w:tcPr>
          <w:p>
            <w:pPr>
              <w:pStyle w:val="TableText"/>
            </w:pPr>
            <w:r>
              <w:t xml:space="preserve">Superficie</w:t>
            </w:r>
          </w:p>
        </w:tc>
        <w:tc>
          <w:tcPr>
            <w:tcW w:w="6557" w:type="dxa"/>
          </w:tcPr>
          <w:p>
            <w:pPr>
              <w:pStyle w:val="TableText"/>
            </w:pPr>
            <w:r>
              <w:t xml:space="preserve">3,58 ha (moduli 13.085 m²)</w:t>
            </w:r>
          </w:p>
        </w:tc>
      </w:tr>
      <w:tr>
        <w:tc>
          <w:tcPr>
            <w:tcW w:w="3081" w:type="dxa"/>
          </w:tcPr>
          <w:p>
            <w:pPr>
              <w:pStyle w:val="TableText"/>
            </w:pPr>
            <w:r>
              <w:t xml:space="preserve">BESS</w:t>
            </w:r>
          </w:p>
        </w:tc>
        <w:tc>
          <w:tcPr>
            <w:tcW w:w="6557" w:type="dxa"/>
          </w:tcPr>
          <w:p>
            <w:pPr>
              <w:pStyle w:val="TableText"/>
            </w:pPr>
            <w:r>
              <w:t xml:space="preserve">8 × Cabinet C&amp;I LFP 261 kWh / 125 kW (AC block), 2088 kWh, trasformatore 1250 kVA</w:t>
            </w:r>
          </w:p>
        </w:tc>
      </w:tr>
    </w:tbl>
    <w:p>
      <w:pPr>
        <w:pStyle w:val="Normal"/>
        <w:spacing w:after="60"/>
      </w:pPr>
    </w:p>
    <w:p/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638"/>
      </w:tabs>
    </w:pPr>
    <w:r>
      <w:t xml:space="preserve">Bozza generata dal simulatore FV + BESS</w:t>
    </w:r>
    <w:r>
      <w:tab/>
      <w:t xml:space="preserve">Pag. </w:t>
    </w:r>
    <w:fldSimple w:instr=" PAGE ">
      <w:r>
        <w:t>1</w:t>
      </w:r>
    </w:fldSimple>
    <w:r>
      <w:t xml:space="preserve"> di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tabs>
        <w:tab w:val="right" w:pos="9638"/>
      </w:tabs>
    </w:pPr>
    <w:r>
      <w:t xml:space="preserve">Simulatore FV + BESS · A1_Risultati_casi</w:t>
    </w:r>
    <w:r>
      <w:tab/>
      <w:t xml:space="preserve">Rev. A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defaultTabStop w:val="708"/>
  <w:characterSpacingControl w:val="doNotCompress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0"/>
        <w:szCs w:val="20"/>
        <w:lang w:val="it-IT"/>
      </w:rPr>
    </w:rPrDefault>
    <w:pPrDefault>
      <w:pPr>
        <w:spacing w:after="10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after="200"/>
    </w:pPr>
    <w:rPr>
      <w:b/>
      <w:color w:val="13283A"/>
      <w:sz w:val="32"/>
      <w:szCs w:val="32"/>
    </w:rPr>
  </w:style>
  <w:style w:type="paragraph" w:styleId="Heading1">
    <w:name w:val="heading 1"/>
    <w:basedOn w:val="Normal"/>
    <w:next w:val="Normal"/>
    <w:pPr>
      <w:keepNext/>
      <w:spacing w:before="280" w:after="120"/>
      <w:pBdr>
        <w:bottom w:val="single" w:sz="4" w:space="2" w:color="B86A10"/>
      </w:pBdr>
      <w:outlineLvl w:val="0"/>
    </w:pPr>
    <w:rPr>
      <w:b/>
      <w:color w:val="13283A"/>
      <w:sz w:val="26"/>
      <w:szCs w:val="26"/>
    </w:rPr>
  </w:style>
  <w:style w:type="paragraph" w:styleId="Heading2">
    <w:name w:val="heading 2"/>
    <w:basedOn w:val="Normal"/>
    <w:next w:val="Normal"/>
    <w:pPr>
      <w:keepNext/>
      <w:spacing w:before="200" w:after="80"/>
      <w:outlineLvl w:val="1"/>
    </w:pPr>
    <w:rPr>
      <w:b/>
      <w:color w:val="13283A"/>
      <w:sz w:val="22"/>
      <w:szCs w:val="22"/>
    </w:rPr>
  </w:style>
  <w:style w:type="paragraph" w:styleId="Heading3">
    <w:name w:val="heading 3"/>
    <w:basedOn w:val="Normal"/>
    <w:next w:val="Normal"/>
    <w:pPr>
      <w:keepNext/>
      <w:spacing w:before="160" w:after="60"/>
      <w:outlineLvl w:val="2"/>
    </w:pPr>
    <w:rPr>
      <w:b/>
      <w:color w:val="57666F"/>
      <w:sz w:val="20"/>
      <w:szCs w:val="20"/>
    </w:rPr>
  </w:style>
  <w:style w:type="paragraph" w:styleId="Quote">
    <w:name w:val="Quote"/>
    <w:basedOn w:val="Normal"/>
    <w:pPr>
      <w:pBdr>
        <w:left w:val="single" w:sz="18" w:space="6" w:color="B86A10"/>
      </w:pBdr>
      <w:shd w:val="clear" w:color="auto" w:fill="FBF4E6"/>
      <w:ind w:left="170"/>
    </w:pPr>
    <w:rPr>
      <w:color w:val="57666F"/>
      <w:sz w:val="18"/>
      <w:szCs w:val="18"/>
    </w:rPr>
  </w:style>
  <w:style w:type="paragraph" w:styleId="Code">
    <w:name w:val="Code"/>
    <w:basedOn w:val="Normal"/>
    <w:pPr>
      <w:spacing w:after="0" w:line="240" w:lineRule="auto"/>
    </w:pPr>
    <w:rPr>
      <w:rFonts w:ascii="Consolas" w:hAnsi="Consolas" w:cs="Consolas"/>
      <w:sz w:val="16"/>
      <w:szCs w:val="16"/>
    </w:rPr>
  </w:style>
  <w:style w:type="paragraph" w:styleId="TableText">
    <w:name w:val="Table Text"/>
    <w:basedOn w:val="Normal"/>
    <w:pPr>
      <w:spacing w:after="0" w:line="240" w:lineRule="auto"/>
    </w:pPr>
    <w:rPr>
      <w:sz w:val="16"/>
      <w:szCs w:val="16"/>
    </w:rPr>
  </w:style>
  <w:style w:type="paragraph" w:styleId="ListParagraph">
    <w:name w:val="List Paragraph"/>
    <w:basedOn w:val="Normal"/>
    <w:pPr>
      <w:spacing w:after="40"/>
      <w:ind w:left="360" w:hanging="240"/>
    </w:pPr>
  </w:style>
  <w:style w:type="paragraph" w:styleId="Header">
    <w:name w:val="header"/>
    <w:basedOn w:val="Normal"/>
    <w:pPr>
      <w:spacing w:after="0"/>
      <w:pBdr>
        <w:bottom w:val="single" w:sz="4" w:space="2" w:color="A0A8AE"/>
      </w:pBdr>
    </w:pPr>
    <w:rPr>
      <w:color w:val="57666F"/>
      <w:sz w:val="15"/>
      <w:szCs w:val="15"/>
    </w:rPr>
  </w:style>
  <w:style w:type="paragraph" w:styleId="Footer">
    <w:name w:val="footer"/>
    <w:basedOn w:val="Normal"/>
    <w:pPr>
      <w:spacing w:after="0"/>
    </w:pPr>
    <w:rPr>
      <w:color w:val="57666F"/>
      <w:sz w:val="15"/>
      <w:szCs w:val="15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Simulatore FV + BESS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Allegato A1 – Risultati dei casi di studio</dc:title>
  <dc:creator>Simulatore FV + BESS</dc:creator>
  <dcterms:created xsi:type="dcterms:W3CDTF">2026-10-28T11:18:15Z</dcterms:created>
  <dcterms:modified xsi:type="dcterms:W3CDTF">2026-10-28T11:18:15Z</dcterms:modified>
</cp:coreProperties>
</file>