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Benchmark di costo e prestazione 2025–2026: FV C&amp;I + BESS behind-the-meter (Italia/Europa)</w:t>
      </w:r>
    </w:p>
    <w:p>
      <w:pPr>
        <w:pStyle w:val="Normal"/>
      </w:pPr>
      <w:r>
        <w:t xml:space="preserve">Data di redazione e consultazione delle fonti: </w:t>
      </w:r>
      <w:r>
        <w:rPr>
          <w:b/>
        </w:rPr>
        <w:t xml:space="preserve">27/10/2026</w:t>
      </w:r>
      <w:r>
        <w:t xml:space="preserve">. Ambito: impianti FV commerciali/industriali 0,5–10 MWp (copertura e a terra) con BESS LFP 1–10 MWh (1–4 h), behind-the-meter, utenza in MT.</w:t>
      </w:r>
    </w:p>
    <w:p>
      <w:pPr>
        <w:pStyle w:val="Heading1"/>
      </w:pPr>
      <w:r>
        <w:t xml:space="preserve">Note di metodo (leggere prima di usare i numeri)</w:t>
      </w:r>
    </w:p>
    <w:p>
      <w:pPr>
        <w:pStyle w:val="ListParagraph"/>
      </w:pPr>
      <w:r>
        <w:t xml:space="preserve">•  </w:t>
      </w:r>
      <w:r>
        <w:t xml:space="preserve">Ogni numero ha un rimando </w:t>
      </w:r>
      <w:r>
        <w:rPr>
          <w:rFonts w:ascii="Consolas" w:hAnsi="Consolas" w:cs="Consolas"/>
        </w:rPr>
        <w:t xml:space="preserve">[n]</w:t>
      </w:r>
      <w:r>
        <w:t xml:space="preserve"> alla lista fonti in fondo. I valori senza fonte primaria sono marcati </w:t>
      </w:r>
      <w:r>
        <w:rPr>
          <w:b/>
        </w:rPr>
        <w:t xml:space="preserve">[stima]</w:t>
      </w:r>
      <w:r>
        <w:t xml:space="preserve"> con la motivazione.</w:t>
      </w:r>
    </w:p>
    <w:p>
      <w:pPr>
        <w:pStyle w:val="ListParagraph"/>
      </w:pPr>
      <w:r>
        <w:t xml:space="preserve">•  </w:t>
      </w:r>
      <w:r>
        <w:t xml:space="preserve">In questa sessione il recupero diretto delle pagine (WebFetch/curl) era bloccato dal proxy per quasi tutti i domini (pv-magazine, ess-news, energy-storage.news, arera.it, modoenergy.com, solareindustriale.it, API PVGIS del JRC). I dati provengono quindi dagli estratti dei risultati di ricerca web. Prima di un uso contrattuale, verificare sul documento originale le voci marcate </w:t>
      </w:r>
      <w:r>
        <w:rPr>
          <w:i/>
        </w:rPr>
        <w:t xml:space="preserve">(da verificare)</w:t>
      </w:r>
      <w:r>
        <w:t xml:space="preserve">.</w:t>
      </w:r>
    </w:p>
    <w:p>
      <w:pPr>
        <w:pStyle w:val="ListParagraph"/>
      </w:pPr>
      <w:r>
        <w:t xml:space="preserve">•  </w:t>
      </w:r>
      <w:r>
        <w:t xml:space="preserve">Conversione USD→EUR: </w:t>
      </w:r>
      <w:r>
        <w:rPr>
          <w:b/>
        </w:rPr>
        <w:t xml:space="preserve">1 € = 1,16 US$ [stima]</w:t>
      </w:r>
      <w:r>
        <w:t xml:space="preserve"> (livello medio 2025–2026; serve solo per rendere confrontabili BNEF ed Ember).</w:t>
      </w:r>
    </w:p>
    <w:p>
      <w:pPr>
        <w:pStyle w:val="ListParagraph"/>
      </w:pPr>
      <w:r>
        <w:t xml:space="preserve">•  </w:t>
      </w:r>
      <w:r>
        <w:t xml:space="preserve">Contesto 2026: la crisi dello Stretto di Hormuz ha fatto salire gas e prezzi elettrici in Italia da luglio 2026 (PUN mensile 157 €/MWh a luglio e 180 ad agosto; valori giornalieri di 180–260 €/MWh in settembre-ottobre) [12][13][16]. Le banche centrali hanno ripreso a rialzare i tassi [33][34]. Per un simulatore pluriennale conviene usare scenari, non il solo spot del 2026.</w:t>
      </w:r>
    </w:p>
    <w:p>
      <w:pPr>
        <w:pStyle w:val="ListParagraph"/>
      </w:pPr>
      <w:r>
        <w:t xml:space="preserve">•  </w:t>
      </w:r>
      <w:r>
        <w:t xml:space="preserve">Prezzi IVA esclusa. Valori FV in €/Wp DC (= k€/MWp), BESS in €/kWh di capacità nominale installata (BOL).</w:t>
      </w:r>
    </w:p>
    <w:p>
      <w:pPr>
        <w:pStyle w:val="Normal"/>
        <w:pBdr>
          <w:bottom w:val="single" w:sz="6" w:space="1" w:color="A0A8AE"/>
        </w:pBdr>
      </w:pPr>
    </w:p>
    <w:p>
      <w:pPr>
        <w:pStyle w:val="Heading1"/>
      </w:pPr>
      <w:r>
        <w:t xml:space="preserve">1) CAPEX fotovoltaico, voce per voce (Italia, 2026)</w:t>
      </w:r>
    </w:p>
    <w:p>
      <w:pPr>
        <w:pStyle w:val="Heading2"/>
      </w:pPr>
      <w:r>
        <w:t xml:space="preserve">1.1 Componenti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1845"/>
        <w:gridCol w:w="152"/>
        <w:gridCol w:w="187"/>
        <w:gridCol w:w="152"/>
        <w:gridCol w:w="163"/>
        <w:gridCol w:w="7140"/>
      </w:tblGrid>
      <w:tr>
        <w:trPr>
          <w:tblHeader/>
        </w:trPr>
        <w:tc>
          <w:tcPr>
            <w:tcW w:w="1845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Voce</w:t>
            </w:r>
          </w:p>
        </w:tc>
        <w:tc>
          <w:tcPr>
            <w:tcW w:w="152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Min</w:t>
            </w:r>
          </w:p>
        </w:tc>
        <w:tc>
          <w:tcPr>
            <w:tcW w:w="187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Tipico</w:t>
            </w:r>
          </w:p>
        </w:tc>
        <w:tc>
          <w:tcPr>
            <w:tcW w:w="152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Max</w:t>
            </w:r>
          </w:p>
        </w:tc>
        <w:tc>
          <w:tcPr>
            <w:tcW w:w="163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Unità</w:t>
            </w:r>
          </w:p>
        </w:tc>
        <w:tc>
          <w:tcPr>
            <w:tcW w:w="7140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Fonte / nota</w:t>
            </w:r>
          </w:p>
        </w:tc>
      </w:tr>
      <w:tr>
        <w:tc>
          <w:tcPr>
            <w:tcW w:w="1845" w:type="dxa"/>
          </w:tcPr>
          <w:p>
            <w:pPr>
              <w:pStyle w:val="TableText"/>
            </w:pPr>
            <w:r>
              <w:t xml:space="preserve">Moduli TOPCon bifacciali, spot Europa (sun.store PV Index, set-2026)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0,108</w:t>
            </w:r>
          </w:p>
        </w:tc>
        <w:tc>
          <w:tcPr>
            <w:tcW w:w="187" w:type="dxa"/>
          </w:tcPr>
          <w:p>
            <w:pPr>
              <w:pStyle w:val="TableText"/>
            </w:pPr>
            <w:r>
              <w:t xml:space="preserve">0,114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0,125</w:t>
            </w:r>
          </w:p>
        </w:tc>
        <w:tc>
          <w:tcPr>
            <w:tcW w:w="163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7140" w:type="dxa"/>
          </w:tcPr>
          <w:p>
            <w:pPr>
              <w:pStyle w:val="TableText"/>
            </w:pPr>
            <w:r>
              <w:t xml:space="preserve">[1] 0,114 €/Wp set-2026; picco 0,125 a mag-2026; [3] OPIS giu-2026 0,108 €/W DDP (≥600 W)</w:t>
            </w:r>
          </w:p>
        </w:tc>
      </w:tr>
      <w:tr>
        <w:tc>
          <w:tcPr>
            <w:tcW w:w="1845" w:type="dxa"/>
          </w:tcPr>
          <w:p>
            <w:pPr>
              <w:pStyle w:val="TableText"/>
            </w:pPr>
            <w:r>
              <w:t xml:space="preserve">Moduli TOPCon "high efficiency" (pvXchange)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0,115</w:t>
            </w:r>
          </w:p>
        </w:tc>
        <w:tc>
          <w:tcPr>
            <w:tcW w:w="187" w:type="dxa"/>
          </w:tcPr>
          <w:p>
            <w:pPr>
              <w:pStyle w:val="TableText"/>
            </w:pPr>
            <w:r>
              <w:t xml:space="preserve">0,140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0,150</w:t>
            </w:r>
          </w:p>
        </w:tc>
        <w:tc>
          <w:tcPr>
            <w:tcW w:w="163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7140" w:type="dxa"/>
          </w:tcPr>
          <w:p>
            <w:pPr>
              <w:pStyle w:val="TableText"/>
            </w:pPr>
            <w:r>
              <w:t xml:space="preserve">[2] 0,115 gen-2026 → 0,140 apr-2026 → 0,150 mag-2026 (dati di set-ott 2026 non trovati)</w:t>
            </w:r>
          </w:p>
        </w:tc>
      </w:tr>
      <w:tr>
        <w:tc>
          <w:tcPr>
            <w:tcW w:w="1845" w:type="dxa"/>
          </w:tcPr>
          <w:p>
            <w:pPr>
              <w:pStyle w:val="TableText"/>
            </w:pPr>
            <w:r>
              <w:t xml:space="preserve">Moduli TOPCon consegnati in cantiere IT (lotto progetto, con logistica)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0,12</w:t>
            </w:r>
          </w:p>
        </w:tc>
        <w:tc>
          <w:tcPr>
            <w:tcW w:w="187" w:type="dxa"/>
          </w:tcPr>
          <w:p>
            <w:pPr>
              <w:pStyle w:val="TableText"/>
            </w:pPr>
            <w:r>
              <w:t xml:space="preserve">0,13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0,16</w:t>
            </w:r>
          </w:p>
        </w:tc>
        <w:tc>
          <w:tcPr>
            <w:tcW w:w="163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7140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 spot [1][2] + 5–10% per logistica, assicurazione e margine del distributore</w:t>
            </w:r>
          </w:p>
        </w:tc>
      </w:tr>
      <w:tr>
        <w:tc>
          <w:tcPr>
            <w:tcW w:w="1845" w:type="dxa"/>
          </w:tcPr>
          <w:p>
            <w:pPr>
              <w:pStyle w:val="TableText"/>
            </w:pPr>
            <w:r>
              <w:t xml:space="preserve">Moduli HJT / back-contact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0,128</w:t>
            </w:r>
          </w:p>
        </w:tc>
        <w:tc>
          <w:tcPr>
            <w:tcW w:w="187" w:type="dxa"/>
          </w:tcPr>
          <w:p>
            <w:pPr>
              <w:pStyle w:val="TableText"/>
            </w:pPr>
            <w:r>
              <w:t xml:space="preserve">0,16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0,22</w:t>
            </w:r>
          </w:p>
        </w:tc>
        <w:tc>
          <w:tcPr>
            <w:tcW w:w="163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7140" w:type="dxa"/>
          </w:tcPr>
          <w:p>
            <w:pPr>
              <w:pStyle w:val="TableText"/>
            </w:pPr>
            <w:r>
              <w:t xml:space="preserve">[1] BC 0,128 €/Wp set-2026. Spot HJT non trovato: </w:t>
            </w:r>
            <w:r>
              <w:rPr>
                <w:b/>
              </w:rPr>
              <w:t xml:space="preserve">[stima]</w:t>
            </w:r>
            <w:r>
              <w:t xml:space="preserve"> +0,02–0,06 €/Wp sul TOPCon. [4] riporta 0,20–0,28 €/Wp come "prezzo grossista" DE senza fonte (affidabilità bassa)</w:t>
            </w:r>
          </w:p>
        </w:tc>
      </w:tr>
      <w:tr>
        <w:tc>
          <w:tcPr>
            <w:tcW w:w="1845" w:type="dxa"/>
          </w:tcPr>
          <w:p>
            <w:pPr>
              <w:pStyle w:val="TableText"/>
            </w:pPr>
            <w:r>
              <w:t xml:space="preserve">Inverter di stringa &gt;20 kW (hardware, spot)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0,024</w:t>
            </w:r>
          </w:p>
        </w:tc>
        <w:tc>
          <w:tcPr>
            <w:tcW w:w="187" w:type="dxa"/>
          </w:tcPr>
          <w:p>
            <w:pPr>
              <w:pStyle w:val="TableText"/>
            </w:pPr>
            <w:r>
              <w:t xml:space="preserve">0,035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0,05</w:t>
            </w:r>
          </w:p>
        </w:tc>
        <w:tc>
          <w:tcPr>
            <w:tcW w:w="163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7140" w:type="dxa"/>
          </w:tcPr>
          <w:p>
            <w:pPr>
              <w:pStyle w:val="TableText"/>
            </w:pPr>
            <w:r>
              <w:t xml:space="preserve">[5] sun.store ago-2026: 24,26 €/kW (&gt;20 kW). Tipico e massimo sono </w:t>
            </w:r>
            <w:r>
              <w:rPr>
                <w:b/>
              </w:rPr>
              <w:t xml:space="preserve">[stima]</w:t>
            </w:r>
            <w:r>
              <w:t xml:space="preserve"> per marchi tier-1 con garanzia estesa e DC/AC 1,2</w:t>
            </w:r>
          </w:p>
        </w:tc>
      </w:tr>
      <w:tr>
        <w:tc>
          <w:tcPr>
            <w:tcW w:w="1845" w:type="dxa"/>
          </w:tcPr>
          <w:p>
            <w:pPr>
              <w:pStyle w:val="TableText"/>
            </w:pPr>
            <w:r>
              <w:t xml:space="preserve">Inverter centralizzato / power station (inverter + trafo MT, skid)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0,03</w:t>
            </w:r>
          </w:p>
        </w:tc>
        <w:tc>
          <w:tcPr>
            <w:tcW w:w="187" w:type="dxa"/>
          </w:tcPr>
          <w:p>
            <w:pPr>
              <w:pStyle w:val="TableText"/>
            </w:pPr>
            <w:r>
              <w:t xml:space="preserve">0,045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0,06</w:t>
            </w:r>
          </w:p>
        </w:tc>
        <w:tc>
          <w:tcPr>
            <w:tcW w:w="163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7140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: prezzo pubblico europeo non trovato. Ordine di grandezza dal valore USA di 5–6 c$/W per stringa vs centrale [6]</w:t>
            </w:r>
          </w:p>
        </w:tc>
      </w:tr>
      <w:tr>
        <w:tc>
          <w:tcPr>
            <w:tcW w:w="1845" w:type="dxa"/>
          </w:tcPr>
          <w:p>
            <w:pPr>
              <w:pStyle w:val="TableText"/>
            </w:pPr>
            <w:r>
              <w:t xml:space="preserve">Struttura fissa a terra (incluse fondazioni a vite/infisse)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0,04</w:t>
            </w:r>
          </w:p>
        </w:tc>
        <w:tc>
          <w:tcPr>
            <w:tcW w:w="187" w:type="dxa"/>
          </w:tcPr>
          <w:p>
            <w:pPr>
              <w:pStyle w:val="TableText"/>
            </w:pPr>
            <w:r>
              <w:t xml:space="preserve">0,05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0,07</w:t>
            </w:r>
          </w:p>
        </w:tc>
        <w:tc>
          <w:tcPr>
            <w:tcW w:w="163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7140" w:type="dxa"/>
          </w:tcPr>
          <w:p>
            <w:pPr>
              <w:pStyle w:val="TableText"/>
            </w:pPr>
            <w:r>
              <w:t xml:space="preserve">[7] TaiyangNews: 0,04–0,06 €/W. Max </w:t>
            </w:r>
            <w:r>
              <w:rPr>
                <w:b/>
              </w:rPr>
              <w:t xml:space="preserve">[stima]</w:t>
            </w:r>
            <w:r>
              <w:t xml:space="preserve"> per terreni difficili</w:t>
            </w:r>
          </w:p>
        </w:tc>
      </w:tr>
      <w:tr>
        <w:tc>
          <w:tcPr>
            <w:tcW w:w="1845" w:type="dxa"/>
          </w:tcPr>
          <w:p>
            <w:pPr>
              <w:pStyle w:val="TableText"/>
            </w:pPr>
            <w:r>
              <w:t xml:space="preserve">Tracker monoassiale 1P (escluse fondazioni speciali)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0,07</w:t>
            </w:r>
          </w:p>
        </w:tc>
        <w:tc>
          <w:tcPr>
            <w:tcW w:w="187" w:type="dxa"/>
          </w:tcPr>
          <w:p>
            <w:pPr>
              <w:pStyle w:val="TableText"/>
            </w:pPr>
            <w:r>
              <w:t xml:space="preserve">0,08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0,10</w:t>
            </w:r>
          </w:p>
        </w:tc>
        <w:tc>
          <w:tcPr>
            <w:tcW w:w="163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7140" w:type="dxa"/>
          </w:tcPr>
          <w:p>
            <w:pPr>
              <w:pStyle w:val="TableText"/>
            </w:pPr>
            <w:r>
              <w:t xml:space="preserve">[7] 0,07–0,09 €/W (1P); il 2P costa poco di più</w:t>
            </w:r>
          </w:p>
        </w:tc>
      </w:tr>
      <w:tr>
        <w:tc>
          <w:tcPr>
            <w:tcW w:w="1845" w:type="dxa"/>
          </w:tcPr>
          <w:p>
            <w:pPr>
              <w:pStyle w:val="TableText"/>
            </w:pPr>
            <w:r>
              <w:t xml:space="preserve">Struttura zavorrata su tetto piano (est-ovest o sud 10–15°)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0,04</w:t>
            </w:r>
          </w:p>
        </w:tc>
        <w:tc>
          <w:tcPr>
            <w:tcW w:w="187" w:type="dxa"/>
          </w:tcPr>
          <w:p>
            <w:pPr>
              <w:pStyle w:val="TableText"/>
            </w:pPr>
            <w:r>
              <w:t xml:space="preserve">0,055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0,08</w:t>
            </w:r>
          </w:p>
        </w:tc>
        <w:tc>
          <w:tcPr>
            <w:tcW w:w="163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7140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: prezzo pubblico non trovato [8]. Dipende dal carico ammesso sulla copertura; la verifica statica costa 1.500–4.000 € a parte [8]</w:t>
            </w:r>
          </w:p>
        </w:tc>
      </w:tr>
      <w:tr>
        <w:tc>
          <w:tcPr>
            <w:tcW w:w="1845" w:type="dxa"/>
          </w:tcPr>
          <w:p>
            <w:pPr>
              <w:pStyle w:val="TableText"/>
            </w:pPr>
            <w:r>
              <w:t xml:space="preserve">Struttura complanare su lamiera/copertura a falda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0,02</w:t>
            </w:r>
          </w:p>
        </w:tc>
        <w:tc>
          <w:tcPr>
            <w:tcW w:w="187" w:type="dxa"/>
          </w:tcPr>
          <w:p>
            <w:pPr>
              <w:pStyle w:val="TableText"/>
            </w:pPr>
            <w:r>
              <w:t xml:space="preserve">0,03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0,04</w:t>
            </w:r>
          </w:p>
        </w:tc>
        <w:tc>
          <w:tcPr>
            <w:tcW w:w="163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7140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</w:p>
        </w:tc>
      </w:tr>
      <w:tr>
        <w:tc>
          <w:tcPr>
            <w:tcW w:w="1845" w:type="dxa"/>
          </w:tcPr>
          <w:p>
            <w:pPr>
              <w:pStyle w:val="TableText"/>
            </w:pPr>
            <w:r>
              <w:t xml:space="preserve">BOS elettrico DC+AC (cavi, quadri di stringa e di parallelo, cavidotti, terra, SPD)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0,04</w:t>
            </w:r>
          </w:p>
        </w:tc>
        <w:tc>
          <w:tcPr>
            <w:tcW w:w="187" w:type="dxa"/>
          </w:tcPr>
          <w:p>
            <w:pPr>
              <w:pStyle w:val="TableText"/>
            </w:pPr>
            <w:r>
              <w:t xml:space="preserve">0,06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0,09</w:t>
            </w:r>
          </w:p>
        </w:tc>
        <w:tc>
          <w:tcPr>
            <w:tcW w:w="163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7140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: quota tipica del 8–12% del CAPEX EPC</w:t>
            </w:r>
          </w:p>
        </w:tc>
      </w:tr>
      <w:tr>
        <w:tc>
          <w:tcPr>
            <w:tcW w:w="1845" w:type="dxa"/>
          </w:tcPr>
          <w:p>
            <w:pPr>
              <w:pStyle w:val="TableText"/>
            </w:pPr>
            <w:r>
              <w:t xml:space="preserve">Cabina MT utente/consegna + trafo MT/BT + quadri MT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0,03</w:t>
            </w:r>
          </w:p>
        </w:tc>
        <w:tc>
          <w:tcPr>
            <w:tcW w:w="187" w:type="dxa"/>
          </w:tcPr>
          <w:p>
            <w:pPr>
              <w:pStyle w:val="TableText"/>
            </w:pPr>
            <w:r>
              <w:t xml:space="preserve">0,07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0,12</w:t>
            </w:r>
          </w:p>
        </w:tc>
        <w:tc>
          <w:tcPr>
            <w:tcW w:w="163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7140" w:type="dxa"/>
          </w:tcPr>
          <w:p>
            <w:pPr>
              <w:pStyle w:val="TableText"/>
            </w:pPr>
            <w:r>
              <w:t xml:space="preserve">Computi VIA (MASE): cabina di consegna prefabbricata 68.000 €/cad; trafo 2.000 kVA 21.000–30.140 € [9]. </w:t>
            </w:r>
            <w:r>
              <w:rPr>
                <w:b/>
              </w:rPr>
              <w:t xml:space="preserve">[stima]</w:t>
            </w:r>
            <w:r>
              <w:t xml:space="preserve">: su 1 MWp ≈ 0,10–0,12; su 5–10 MWp ≈ 0,03–0,05</w:t>
            </w:r>
          </w:p>
        </w:tc>
      </w:tr>
      <w:tr>
        <w:tc>
          <w:tcPr>
            <w:tcW w:w="1845" w:type="dxa"/>
          </w:tcPr>
          <w:p>
            <w:pPr>
              <w:pStyle w:val="TableText"/>
            </w:pPr>
            <w:r>
              <w:t xml:space="preserve">Connessione (corrispettivo TICA + opere di utenza per la connessione)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0,01</w:t>
            </w:r>
          </w:p>
        </w:tc>
        <w:tc>
          <w:tcPr>
            <w:tcW w:w="187" w:type="dxa"/>
          </w:tcPr>
          <w:p>
            <w:pPr>
              <w:pStyle w:val="TableText"/>
            </w:pPr>
            <w:r>
              <w:t xml:space="preserve">0,03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0,08</w:t>
            </w:r>
          </w:p>
        </w:tc>
        <w:tc>
          <w:tcPr>
            <w:tcW w:w="163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7140" w:type="dxa"/>
          </w:tcPr>
          <w:p>
            <w:pPr>
              <w:pStyle w:val="TableText"/>
            </w:pPr>
            <w:r>
              <w:t xml:space="preserve">TICA MT: CP = min(CP_A; CP_B), con CP_A = 35 €/kW·P + 90 €/(kW·km)·P·D_A + 100 € e CP_B = 4 €/kW·P + 7,5 €/(kW·km)·P·D_B + 6.000 € [10] </w:t>
            </w:r>
            <w:r>
              <w:rPr>
                <w:i/>
              </w:rPr>
              <w:t xml:space="preserve">(valori storici del TICA, verificare l'aggiornamento)</w:t>
            </w:r>
            <w:r>
              <w:t xml:space="preserve">. Le tabelle TIC 2026 aggiornano solo i contributi di prelievo (es. 494,83 € BT→MT) [10]. </w:t>
            </w:r>
            <w:r>
              <w:rPr>
                <w:b/>
              </w:rPr>
              <w:t xml:space="preserve">[stima]</w:t>
            </w:r>
            <w:r>
              <w:t xml:space="preserve"> per le opere di rete eseguite in proprio</w:t>
            </w:r>
          </w:p>
        </w:tc>
      </w:tr>
      <w:tr>
        <w:tc>
          <w:tcPr>
            <w:tcW w:w="1845" w:type="dxa"/>
          </w:tcPr>
          <w:p>
            <w:pPr>
              <w:pStyle w:val="TableText"/>
            </w:pPr>
            <w:r>
              <w:t xml:space="preserve">Montaggio meccanico ed elettrico (manodopera)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0,05</w:t>
            </w:r>
          </w:p>
        </w:tc>
        <w:tc>
          <w:tcPr>
            <w:tcW w:w="187" w:type="dxa"/>
          </w:tcPr>
          <w:p>
            <w:pPr>
              <w:pStyle w:val="TableText"/>
            </w:pPr>
            <w:r>
              <w:t xml:space="preserve">0,08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0,12</w:t>
            </w:r>
          </w:p>
        </w:tc>
        <w:tc>
          <w:tcPr>
            <w:tcW w:w="163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7140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: per le coperture servono anche linee vita e sollevamenti</w:t>
            </w:r>
          </w:p>
        </w:tc>
      </w:tr>
      <w:tr>
        <w:tc>
          <w:tcPr>
            <w:tcW w:w="1845" w:type="dxa"/>
          </w:tcPr>
          <w:p>
            <w:pPr>
              <w:pStyle w:val="TableText"/>
            </w:pPr>
            <w:r>
              <w:t xml:space="preserve">Opere civili (viabilità, cavidotti, basamenti, drenaggi) – solo a terra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0,02</w:t>
            </w:r>
          </w:p>
        </w:tc>
        <w:tc>
          <w:tcPr>
            <w:tcW w:w="187" w:type="dxa"/>
          </w:tcPr>
          <w:p>
            <w:pPr>
              <w:pStyle w:val="TableText"/>
            </w:pPr>
            <w:r>
              <w:t xml:space="preserve">0,035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0,06</w:t>
            </w:r>
          </w:p>
        </w:tc>
        <w:tc>
          <w:tcPr>
            <w:tcW w:w="163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7140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</w:p>
        </w:tc>
      </w:tr>
      <w:tr>
        <w:tc>
          <w:tcPr>
            <w:tcW w:w="1845" w:type="dxa"/>
          </w:tcPr>
          <w:p>
            <w:pPr>
              <w:pStyle w:val="TableText"/>
            </w:pPr>
            <w:r>
              <w:t xml:space="preserve">Recinzione + videosorveglianza/antintrusione – solo a terra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0,01</w:t>
            </w:r>
          </w:p>
        </w:tc>
        <w:tc>
          <w:tcPr>
            <w:tcW w:w="187" w:type="dxa"/>
          </w:tcPr>
          <w:p>
            <w:pPr>
              <w:pStyle w:val="TableText"/>
            </w:pPr>
            <w:r>
              <w:t xml:space="preserve">0,02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0,035</w:t>
            </w:r>
          </w:p>
        </w:tc>
        <w:tc>
          <w:tcPr>
            <w:tcW w:w="163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7140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 (≈ 25–45 €/m di recinzione; TVCC/termocamere 15–40 k€/MWp)</w:t>
            </w:r>
          </w:p>
        </w:tc>
      </w:tr>
      <w:tr>
        <w:tc>
          <w:tcPr>
            <w:tcW w:w="1845" w:type="dxa"/>
          </w:tcPr>
          <w:p>
            <w:pPr>
              <w:pStyle w:val="TableText"/>
            </w:pPr>
            <w:r>
              <w:t xml:space="preserve">Ingegneria, direzione lavori, collaudi, sicurezza, pratiche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0,02</w:t>
            </w:r>
          </w:p>
        </w:tc>
        <w:tc>
          <w:tcPr>
            <w:tcW w:w="187" w:type="dxa"/>
          </w:tcPr>
          <w:p>
            <w:pPr>
              <w:pStyle w:val="TableText"/>
            </w:pPr>
            <w:r>
              <w:t xml:space="preserve">0,03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0,05</w:t>
            </w:r>
          </w:p>
        </w:tc>
        <w:tc>
          <w:tcPr>
            <w:tcW w:w="163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7140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 3–6% dell'EPC</w:t>
            </w:r>
          </w:p>
        </w:tc>
      </w:tr>
      <w:tr>
        <w:tc>
          <w:tcPr>
            <w:tcW w:w="1845" w:type="dxa"/>
          </w:tcPr>
          <w:p>
            <w:pPr>
              <w:pStyle w:val="TableText"/>
            </w:pPr>
            <w:r>
              <w:t xml:space="preserve">Sviluppo/autorizzazione (a terra: diritti di superficie, PAS/AU, studi)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0,02</w:t>
            </w:r>
          </w:p>
        </w:tc>
        <w:tc>
          <w:tcPr>
            <w:tcW w:w="187" w:type="dxa"/>
          </w:tcPr>
          <w:p>
            <w:pPr>
              <w:pStyle w:val="TableText"/>
            </w:pPr>
            <w:r>
              <w:t xml:space="preserve">0,05</w:t>
            </w:r>
          </w:p>
        </w:tc>
        <w:tc>
          <w:tcPr>
            <w:tcW w:w="152" w:type="dxa"/>
          </w:tcPr>
          <w:p>
            <w:pPr>
              <w:pStyle w:val="TableText"/>
            </w:pPr>
            <w:r>
              <w:t xml:space="preserve">0,10</w:t>
            </w:r>
          </w:p>
        </w:tc>
        <w:tc>
          <w:tcPr>
            <w:tcW w:w="163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7140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 (20–100 k€/MWp). Per le coperture in autoconsumo è quasi nullo</w:t>
            </w:r>
          </w:p>
        </w:tc>
      </w:tr>
    </w:tbl>
    <w:p>
      <w:pPr>
        <w:pStyle w:val="Normal"/>
        <w:spacing w:after="60"/>
      </w:pPr>
    </w:p>
    <w:p>
      <w:pPr>
        <w:pStyle w:val="Heading2"/>
      </w:pPr>
      <w:r>
        <w:t xml:space="preserve">1.2 Totali EPC chiavi in mano (Italia)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1933"/>
        <w:gridCol w:w="229"/>
        <w:gridCol w:w="282"/>
        <w:gridCol w:w="197"/>
        <w:gridCol w:w="246"/>
        <w:gridCol w:w="6751"/>
      </w:tblGrid>
      <w:tr>
        <w:trPr>
          <w:tblHeader/>
        </w:trPr>
        <w:tc>
          <w:tcPr>
            <w:tcW w:w="1933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Voce</w:t>
            </w:r>
          </w:p>
        </w:tc>
        <w:tc>
          <w:tcPr>
            <w:tcW w:w="229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Min</w:t>
            </w:r>
          </w:p>
        </w:tc>
        <w:tc>
          <w:tcPr>
            <w:tcW w:w="282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Tipico</w:t>
            </w:r>
          </w:p>
        </w:tc>
        <w:tc>
          <w:tcPr>
            <w:tcW w:w="197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Max</w:t>
            </w:r>
          </w:p>
        </w:tc>
        <w:tc>
          <w:tcPr>
            <w:tcW w:w="246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Unità</w:t>
            </w:r>
          </w:p>
        </w:tc>
        <w:tc>
          <w:tcPr>
            <w:tcW w:w="6751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Fonte / nota</w:t>
            </w:r>
          </w:p>
        </w:tc>
      </w:tr>
      <w:tr>
        <w:tc>
          <w:tcPr>
            <w:tcW w:w="1933" w:type="dxa"/>
          </w:tcPr>
          <w:p>
            <w:pPr>
              <w:pStyle w:val="TableText"/>
            </w:pPr>
            <w:r>
              <w:t xml:space="preserve">C&amp;I su tetto 100–200 kWp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0,675</w:t>
            </w:r>
          </w:p>
        </w:tc>
        <w:tc>
          <w:tcPr>
            <w:tcW w:w="282" w:type="dxa"/>
          </w:tcPr>
          <w:p>
            <w:pPr>
              <w:pStyle w:val="TableText"/>
            </w:pPr>
            <w:r>
              <w:t xml:space="preserve">0,72</w:t>
            </w:r>
          </w:p>
        </w:tc>
        <w:tc>
          <w:tcPr>
            <w:tcW w:w="197" w:type="dxa"/>
          </w:tcPr>
          <w:p>
            <w:pPr>
              <w:pStyle w:val="TableText"/>
            </w:pPr>
            <w:r>
              <w:t xml:space="preserve">0,79</w:t>
            </w:r>
          </w:p>
        </w:tc>
        <w:tc>
          <w:tcPr>
            <w:tcW w:w="246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6751" w:type="dxa"/>
          </w:tcPr>
          <w:p>
            <w:pPr>
              <w:pStyle w:val="TableText"/>
            </w:pPr>
            <w:r>
              <w:t xml:space="preserve">[11] solareindustriale.it 2026: 100 kW 72–79 k€; 200 kW 675–750 €/kWp (fonte commerciale)</w:t>
            </w:r>
          </w:p>
        </w:tc>
      </w:tr>
      <w:tr>
        <w:tc>
          <w:tcPr>
            <w:tcW w:w="1933" w:type="dxa"/>
          </w:tcPr>
          <w:p>
            <w:pPr>
              <w:pStyle w:val="TableText"/>
            </w:pPr>
            <w:r>
              <w:t xml:space="preserve">C&amp;I su tetto 250–500 kWp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0,61</w:t>
            </w:r>
          </w:p>
        </w:tc>
        <w:tc>
          <w:tcPr>
            <w:tcW w:w="282" w:type="dxa"/>
          </w:tcPr>
          <w:p>
            <w:pPr>
              <w:pStyle w:val="TableText"/>
            </w:pPr>
            <w:r>
              <w:t xml:space="preserve">0,66</w:t>
            </w:r>
          </w:p>
        </w:tc>
        <w:tc>
          <w:tcPr>
            <w:tcW w:w="197" w:type="dxa"/>
          </w:tcPr>
          <w:p>
            <w:pPr>
              <w:pStyle w:val="TableText"/>
            </w:pPr>
            <w:r>
              <w:t xml:space="preserve">0,72</w:t>
            </w:r>
          </w:p>
        </w:tc>
        <w:tc>
          <w:tcPr>
            <w:tcW w:w="246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6751" w:type="dxa"/>
          </w:tcPr>
          <w:p>
            <w:pPr>
              <w:pStyle w:val="TableText"/>
            </w:pPr>
            <w:r>
              <w:t xml:space="preserve">[11] 500 kW 305–335 k€; 250 kW 165–180 k€</w:t>
            </w:r>
          </w:p>
        </w:tc>
      </w:tr>
      <w:tr>
        <w:tc>
          <w:tcPr>
            <w:tcW w:w="1933" w:type="dxa"/>
          </w:tcPr>
          <w:p>
            <w:pPr>
              <w:pStyle w:val="TableText"/>
            </w:pPr>
            <w:r>
              <w:t xml:space="preserve">C&amp;I su tetto 0,5–2 MWp (tipico del simulatore)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0,55</w:t>
            </w:r>
          </w:p>
        </w:tc>
        <w:tc>
          <w:tcPr>
            <w:tcW w:w="282" w:type="dxa"/>
          </w:tcPr>
          <w:p>
            <w:pPr>
              <w:pStyle w:val="TableText"/>
            </w:pPr>
            <w:r>
              <w:t xml:space="preserve">0,65</w:t>
            </w:r>
          </w:p>
        </w:tc>
        <w:tc>
          <w:tcPr>
            <w:tcW w:w="197" w:type="dxa"/>
          </w:tcPr>
          <w:p>
            <w:pPr>
              <w:pStyle w:val="TableText"/>
            </w:pPr>
            <w:r>
              <w:t xml:space="preserve">0,80</w:t>
            </w:r>
          </w:p>
        </w:tc>
        <w:tc>
          <w:tcPr>
            <w:tcW w:w="246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6751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 dall'interpolazione di [11] e dalla somma delle voci in 1.1 (moduli 0,13, inverter 0,04, zavorre 0,055, BOS 0,06, cabina 0,05, montaggio 0,08, ingegneria 0,03, connessione 0,02, margine EPC 8–10%)</w:t>
            </w:r>
          </w:p>
        </w:tc>
      </w:tr>
      <w:tr>
        <w:tc>
          <w:tcPr>
            <w:tcW w:w="1933" w:type="dxa"/>
          </w:tcPr>
          <w:p>
            <w:pPr>
              <w:pStyle w:val="TableText"/>
            </w:pPr>
            <w:r>
              <w:t xml:space="preserve">A terra, fisso, 1–10 MWp (escluso sviluppo)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0,52</w:t>
            </w:r>
          </w:p>
        </w:tc>
        <w:tc>
          <w:tcPr>
            <w:tcW w:w="282" w:type="dxa"/>
          </w:tcPr>
          <w:p>
            <w:pPr>
              <w:pStyle w:val="TableText"/>
            </w:pPr>
            <w:r>
              <w:t xml:space="preserve">0,62</w:t>
            </w:r>
          </w:p>
        </w:tc>
        <w:tc>
          <w:tcPr>
            <w:tcW w:w="197" w:type="dxa"/>
          </w:tcPr>
          <w:p>
            <w:pPr>
              <w:pStyle w:val="TableText"/>
            </w:pPr>
            <w:r>
              <w:t xml:space="preserve">0,80</w:t>
            </w:r>
          </w:p>
        </w:tc>
        <w:tc>
          <w:tcPr>
            <w:tcW w:w="246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6751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 dalla somma delle voci 1.1. Riscontri: [11] 1 MW a terra 0,70–1,20 €/Wp (fonte commerciale, prudente); SolarPower Europe ~500 €/kWp per utility con moduli cinesi [37] (taglia maggiore)</w:t>
            </w:r>
          </w:p>
        </w:tc>
      </w:tr>
      <w:tr>
        <w:tc>
          <w:tcPr>
            <w:tcW w:w="1933" w:type="dxa"/>
          </w:tcPr>
          <w:p>
            <w:pPr>
              <w:pStyle w:val="TableText"/>
            </w:pPr>
            <w:r>
              <w:t xml:space="preserve">A terra, tracker monoassiale, 1–10 MWp (escluso sviluppo)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0,58</w:t>
            </w:r>
          </w:p>
        </w:tc>
        <w:tc>
          <w:tcPr>
            <w:tcW w:w="282" w:type="dxa"/>
          </w:tcPr>
          <w:p>
            <w:pPr>
              <w:pStyle w:val="TableText"/>
            </w:pPr>
            <w:r>
              <w:t xml:space="preserve">0,69</w:t>
            </w:r>
          </w:p>
        </w:tc>
        <w:tc>
          <w:tcPr>
            <w:tcW w:w="197" w:type="dxa"/>
          </w:tcPr>
          <w:p>
            <w:pPr>
              <w:pStyle w:val="TableText"/>
            </w:pPr>
            <w:r>
              <w:t xml:space="preserve">0,90</w:t>
            </w:r>
          </w:p>
        </w:tc>
        <w:tc>
          <w:tcPr>
            <w:tcW w:w="246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6751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 = fisso + 0,03–0,05 €/Wp (struttura [7]) + 0,01–0,02 per opere civili/cavi aggiuntivi. Per coperture piane con inseguitore un costruttore dichiara 1,10 €/kWp contro 0,90 del fisso [11b]</w:t>
            </w:r>
          </w:p>
        </w:tc>
      </w:tr>
      <w:tr>
        <w:tc>
          <w:tcPr>
            <w:tcW w:w="1933" w:type="dxa"/>
          </w:tcPr>
          <w:p>
            <w:pPr>
              <w:pStyle w:val="TableText"/>
            </w:pPr>
            <w:r>
              <w:t xml:space="preserve">Riferimento regolatorio: FER X ≤1 MW – prezzo assegnato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282" w:type="dxa"/>
          </w:tcPr>
          <w:p>
            <w:pPr>
              <w:pStyle w:val="TableText"/>
            </w:pPr>
            <w:r>
              <w:t xml:space="preserve">77</w:t>
            </w:r>
          </w:p>
        </w:tc>
        <w:tc>
          <w:tcPr>
            <w:tcW w:w="197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246" w:type="dxa"/>
          </w:tcPr>
          <w:p>
            <w:pPr>
              <w:pStyle w:val="TableText"/>
            </w:pPr>
            <w:r>
              <w:t xml:space="preserve">€/MWh</w:t>
            </w:r>
          </w:p>
        </w:tc>
        <w:tc>
          <w:tcPr>
            <w:tcW w:w="6751" w:type="dxa"/>
          </w:tcPr>
          <w:p>
            <w:pPr>
              <w:pStyle w:val="TableText"/>
            </w:pPr>
            <w:r>
              <w:t xml:space="preserve">[24] ARERA 339/2025: 77 €/MWh, di cui 63 per il CAPEX e 14 per l'OPEX</w:t>
            </w:r>
          </w:p>
        </w:tc>
      </w:tr>
    </w:tbl>
    <w:p>
      <w:pPr>
        <w:pStyle w:val="Normal"/>
        <w:spacing w:after="60"/>
      </w:pPr>
    </w:p>
    <w:p>
      <w:pPr>
        <w:pStyle w:val="Normal"/>
        <w:pBdr>
          <w:bottom w:val="single" w:sz="6" w:space="1" w:color="A0A8AE"/>
        </w:pBdr>
      </w:pPr>
    </w:p>
    <w:p>
      <w:pPr>
        <w:pStyle w:val="Heading1"/>
      </w:pPr>
      <w:r>
        <w:t xml:space="preserve">2) CAPEX BESS (LFP)</w:t>
      </w:r>
    </w:p>
    <w:p>
      <w:pPr>
        <w:pStyle w:val="Heading2"/>
      </w:pPr>
      <w:r>
        <w:t xml:space="preserve">2.1 Benchmark internazionali e italiani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1945"/>
        <w:gridCol w:w="324"/>
        <w:gridCol w:w="531"/>
        <w:gridCol w:w="236"/>
        <w:gridCol w:w="354"/>
        <w:gridCol w:w="6248"/>
      </w:tblGrid>
      <w:tr>
        <w:trPr>
          <w:tblHeader/>
        </w:trPr>
        <w:tc>
          <w:tcPr>
            <w:tcW w:w="1945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Voce</w:t>
            </w:r>
          </w:p>
        </w:tc>
        <w:tc>
          <w:tcPr>
            <w:tcW w:w="324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Min</w:t>
            </w:r>
          </w:p>
        </w:tc>
        <w:tc>
          <w:tcPr>
            <w:tcW w:w="531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Tipico</w:t>
            </w:r>
          </w:p>
        </w:tc>
        <w:tc>
          <w:tcPr>
            <w:tcW w:w="236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Max</w:t>
            </w:r>
          </w:p>
        </w:tc>
        <w:tc>
          <w:tcPr>
            <w:tcW w:w="354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Unità</w:t>
            </w:r>
          </w:p>
        </w:tc>
        <w:tc>
          <w:tcPr>
            <w:tcW w:w="6248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Fonte / nota</w:t>
            </w:r>
          </w:p>
        </w:tc>
      </w:tr>
      <w:tr>
        <w:tc>
          <w:tcPr>
            <w:tcW w:w="1945" w:type="dxa"/>
          </w:tcPr>
          <w:p>
            <w:pPr>
              <w:pStyle w:val="TableText"/>
            </w:pPr>
            <w:r>
              <w:t xml:space="preserve">Celle LFP 314 Ah, EXW Cina</w:t>
            </w:r>
          </w:p>
        </w:tc>
        <w:tc>
          <w:tcPr>
            <w:tcW w:w="324" w:type="dxa"/>
          </w:tcPr>
          <w:p>
            <w:pPr>
              <w:pStyle w:val="TableText"/>
            </w:pPr>
            <w:r>
              <w:t xml:space="preserve">36</w:t>
            </w:r>
          </w:p>
        </w:tc>
        <w:tc>
          <w:tcPr>
            <w:tcW w:w="531" w:type="dxa"/>
          </w:tcPr>
          <w:p>
            <w:pPr>
              <w:pStyle w:val="TableText"/>
            </w:pPr>
            <w:r>
              <w:t xml:space="preserve">46</w:t>
            </w:r>
          </w:p>
        </w:tc>
        <w:tc>
          <w:tcPr>
            <w:tcW w:w="236" w:type="dxa"/>
          </w:tcPr>
          <w:p>
            <w:pPr>
              <w:pStyle w:val="TableText"/>
            </w:pPr>
            <w:r>
              <w:t xml:space="preserve">53</w:t>
            </w:r>
          </w:p>
        </w:tc>
        <w:tc>
          <w:tcPr>
            <w:tcW w:w="354" w:type="dxa"/>
          </w:tcPr>
          <w:p>
            <w:pPr>
              <w:pStyle w:val="TableText"/>
            </w:pPr>
            <w:r>
              <w:t xml:space="preserve">€/kWh</w:t>
            </w:r>
          </w:p>
        </w:tc>
        <w:tc>
          <w:tcPr>
            <w:tcW w:w="6248" w:type="dxa"/>
          </w:tcPr>
          <w:p>
            <w:pPr>
              <w:pStyle w:val="TableText"/>
            </w:pPr>
            <w:r>
              <w:t xml:space="preserve">[14] BNEF dic-2025: minimo osservato 36 $/kWh per la cella (31 €). [15] InfoLink: 0,300 CNY/Wh (ott-2025) → 0,365 CNY/Wh (apr-2026, +22%), cioè ~50 $/kWh. Benchmark Minerals ago-2026: 53,15 $/kWh EXW China [15]</w:t>
            </w:r>
          </w:p>
        </w:tc>
      </w:tr>
      <w:tr>
        <w:tc>
          <w:tcPr>
            <w:tcW w:w="1945" w:type="dxa"/>
          </w:tcPr>
          <w:p>
            <w:pPr>
              <w:pStyle w:val="TableText"/>
            </w:pPr>
            <w:r>
              <w:t xml:space="preserve">Pacco/sistema DC per storage stazionario (media BNEF 2025)</w:t>
            </w:r>
          </w:p>
        </w:tc>
        <w:tc>
          <w:tcPr>
            <w:tcW w:w="324" w:type="dxa"/>
          </w:tcPr>
          <w:p>
            <w:pPr>
              <w:pStyle w:val="TableText"/>
            </w:pPr>
            <w:r>
              <w:t xml:space="preserve">43</w:t>
            </w:r>
          </w:p>
        </w:tc>
        <w:tc>
          <w:tcPr>
            <w:tcW w:w="531" w:type="dxa"/>
          </w:tcPr>
          <w:p>
            <w:pPr>
              <w:pStyle w:val="TableText"/>
            </w:pPr>
            <w:r>
              <w:t xml:space="preserve">60</w:t>
            </w:r>
          </w:p>
        </w:tc>
        <w:tc>
          <w:tcPr>
            <w:tcW w:w="236" w:type="dxa"/>
          </w:tcPr>
          <w:p>
            <w:pPr>
              <w:pStyle w:val="TableText"/>
            </w:pPr>
            <w:r>
              <w:t xml:space="preserve">70</w:t>
            </w:r>
          </w:p>
        </w:tc>
        <w:tc>
          <w:tcPr>
            <w:tcW w:w="354" w:type="dxa"/>
          </w:tcPr>
          <w:p>
            <w:pPr>
              <w:pStyle w:val="TableText"/>
            </w:pPr>
            <w:r>
              <w:t xml:space="preserve">€/kWh</w:t>
            </w:r>
          </w:p>
        </w:tc>
        <w:tc>
          <w:tcPr>
            <w:tcW w:w="6248" w:type="dxa"/>
          </w:tcPr>
          <w:p>
            <w:pPr>
              <w:pStyle w:val="TableText"/>
            </w:pPr>
            <w:r>
              <w:t xml:space="preserve">[14] BNEF Battery Price Survey dic-2025: pacco stazionario 70 $/kWh (−45% a/a), minimo 50 $/kWh</w:t>
            </w:r>
          </w:p>
        </w:tc>
      </w:tr>
      <w:tr>
        <w:tc>
          <w:tcPr>
            <w:tcW w:w="1945" w:type="dxa"/>
          </w:tcPr>
          <w:p>
            <w:pPr>
              <w:pStyle w:val="TableText"/>
            </w:pPr>
            <w:r>
              <w:t xml:space="preserve">DC block 2 h (Cina, lato DC, raffreddamento a liquido)</w:t>
            </w:r>
          </w:p>
        </w:tc>
        <w:tc>
          <w:tcPr>
            <w:tcW w:w="324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531" w:type="dxa"/>
          </w:tcPr>
          <w:p>
            <w:pPr>
              <w:pStyle w:val="TableText"/>
            </w:pPr>
            <w:r>
              <w:t xml:space="preserve">0,49 CNY/Wh ≈ 60</w:t>
            </w:r>
          </w:p>
        </w:tc>
        <w:tc>
          <w:tcPr>
            <w:tcW w:w="236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354" w:type="dxa"/>
          </w:tcPr>
          <w:p>
            <w:pPr>
              <w:pStyle w:val="TableText"/>
            </w:pPr>
            <w:r>
              <w:t xml:space="preserve">€/kWh</w:t>
            </w:r>
          </w:p>
        </w:tc>
        <w:tc>
          <w:tcPr>
            <w:tcW w:w="6248" w:type="dxa"/>
          </w:tcPr>
          <w:p>
            <w:pPr>
              <w:pStyle w:val="TableText"/>
            </w:pPr>
            <w:r>
              <w:t xml:space="preserve">[15] InfoLink apr-2026 (era 0,41 CNY/Wh a ott-2025)</w:t>
            </w:r>
          </w:p>
        </w:tc>
      </w:tr>
      <w:tr>
        <w:tc>
          <w:tcPr>
            <w:tcW w:w="1945" w:type="dxa"/>
          </w:tcPr>
          <w:p>
            <w:pPr>
              <w:pStyle w:val="TableText"/>
            </w:pPr>
            <w:r>
              <w:t xml:space="preserve">Sistema AC 4 h, Europa, fornitura (senza installazione)</w:t>
            </w:r>
          </w:p>
        </w:tc>
        <w:tc>
          <w:tcPr>
            <w:tcW w:w="324" w:type="dxa"/>
          </w:tcPr>
          <w:p>
            <w:pPr>
              <w:pStyle w:val="TableText"/>
            </w:pPr>
            <w:r>
              <w:t xml:space="preserve">93</w:t>
            </w:r>
          </w:p>
        </w:tc>
        <w:tc>
          <w:tcPr>
            <w:tcW w:w="531" w:type="dxa"/>
          </w:tcPr>
          <w:p>
            <w:pPr>
              <w:pStyle w:val="TableText"/>
            </w:pPr>
            <w:r>
              <w:t xml:space="preserve">97</w:t>
            </w:r>
          </w:p>
        </w:tc>
        <w:tc>
          <w:tcPr>
            <w:tcW w:w="236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354" w:type="dxa"/>
          </w:tcPr>
          <w:p>
            <w:pPr>
              <w:pStyle w:val="TableText"/>
            </w:pPr>
            <w:r>
              <w:t xml:space="preserve">€/kWh</w:t>
            </w:r>
          </w:p>
        </w:tc>
        <w:tc>
          <w:tcPr>
            <w:tcW w:w="6248" w:type="dxa"/>
          </w:tcPr>
          <w:p>
            <w:pPr>
              <w:pStyle w:val="TableText"/>
            </w:pPr>
            <w:r>
              <w:t xml:space="preserve">[16b] InfoLink: ~113 $/kWh a metà 2026 → ~108 $/kWh a fine 2026</w:t>
            </w:r>
          </w:p>
        </w:tc>
      </w:tr>
      <w:tr>
        <w:tc>
          <w:tcPr>
            <w:tcW w:w="1945" w:type="dxa"/>
          </w:tcPr>
          <w:p>
            <w:pPr>
              <w:pStyle w:val="TableText"/>
            </w:pPr>
            <w:r>
              <w:t xml:space="preserve">Turnkey BESS Europa (BNEF ESS Cost Survey 2025, media durate)</w:t>
            </w:r>
          </w:p>
        </w:tc>
        <w:tc>
          <w:tcPr>
            <w:tcW w:w="324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531" w:type="dxa"/>
          </w:tcPr>
          <w:p>
            <w:pPr>
              <w:pStyle w:val="TableText"/>
            </w:pPr>
            <w:r>
              <w:t xml:space="preserve">153</w:t>
            </w:r>
          </w:p>
        </w:tc>
        <w:tc>
          <w:tcPr>
            <w:tcW w:w="236" w:type="dxa"/>
          </w:tcPr>
          <w:p>
            <w:pPr>
              <w:pStyle w:val="TableText"/>
            </w:pPr>
            <w:r>
              <w:t xml:space="preserve">237</w:t>
            </w:r>
          </w:p>
        </w:tc>
        <w:tc>
          <w:tcPr>
            <w:tcW w:w="354" w:type="dxa"/>
          </w:tcPr>
          <w:p>
            <w:pPr>
              <w:pStyle w:val="TableText"/>
            </w:pPr>
            <w:r>
              <w:t xml:space="preserve">€/kWh</w:t>
            </w:r>
          </w:p>
        </w:tc>
        <w:tc>
          <w:tcPr>
            <w:tcW w:w="6248" w:type="dxa"/>
          </w:tcPr>
          <w:p>
            <w:pPr>
              <w:pStyle w:val="TableText"/>
            </w:pPr>
            <w:r>
              <w:t xml:space="preserve">[17] 177 $/kWh Europa (Cina 73 $, USA 219 $). Il max corrisponde a 275 $/kWh, il valore 2024 riportato da fonti precedenti</w:t>
            </w:r>
          </w:p>
        </w:tc>
      </w:tr>
      <w:tr>
        <w:tc>
          <w:tcPr>
            <w:tcW w:w="1945" w:type="dxa"/>
          </w:tcPr>
          <w:p>
            <w:pPr>
              <w:pStyle w:val="TableText"/>
            </w:pPr>
            <w:r>
              <w:t xml:space="preserve">Turnkey globale 2 h / 4 h (BNEF 2025)</w:t>
            </w:r>
          </w:p>
        </w:tc>
        <w:tc>
          <w:tcPr>
            <w:tcW w:w="324" w:type="dxa"/>
          </w:tcPr>
          <w:p>
            <w:pPr>
              <w:pStyle w:val="TableText"/>
            </w:pPr>
            <w:r>
              <w:t xml:space="preserve">95 (4 h)</w:t>
            </w:r>
          </w:p>
        </w:tc>
        <w:tc>
          <w:tcPr>
            <w:tcW w:w="531" w:type="dxa"/>
          </w:tcPr>
          <w:p>
            <w:pPr>
              <w:pStyle w:val="TableText"/>
            </w:pPr>
            <w:r>
              <w:t xml:space="preserve">107 (2 h)</w:t>
            </w:r>
          </w:p>
        </w:tc>
        <w:tc>
          <w:tcPr>
            <w:tcW w:w="236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354" w:type="dxa"/>
          </w:tcPr>
          <w:p>
            <w:pPr>
              <w:pStyle w:val="TableText"/>
            </w:pPr>
            <w:r>
              <w:t xml:space="preserve">€/kWh</w:t>
            </w:r>
          </w:p>
        </w:tc>
        <w:tc>
          <w:tcPr>
            <w:tcW w:w="6248" w:type="dxa"/>
          </w:tcPr>
          <w:p>
            <w:pPr>
              <w:pStyle w:val="TableText"/>
            </w:pPr>
            <w:r>
              <w:t xml:space="preserve">[17] 124 $/kWh (2 h), 110 $/kWh (4 h), media 117 $/kWh</w:t>
            </w:r>
          </w:p>
        </w:tc>
      </w:tr>
      <w:tr>
        <w:tc>
          <w:tcPr>
            <w:tcW w:w="1945" w:type="dxa"/>
          </w:tcPr>
          <w:p>
            <w:pPr>
              <w:pStyle w:val="TableText"/>
            </w:pPr>
            <w:r>
              <w:t xml:space="preserve">All-in utility ≥4 h fuori Cina/USA (Ember, ott-2025)</w:t>
            </w:r>
          </w:p>
        </w:tc>
        <w:tc>
          <w:tcPr>
            <w:tcW w:w="324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531" w:type="dxa"/>
          </w:tcPr>
          <w:p>
            <w:pPr>
              <w:pStyle w:val="TableText"/>
            </w:pPr>
            <w:r>
              <w:t xml:space="preserve">108</w:t>
            </w:r>
          </w:p>
        </w:tc>
        <w:tc>
          <w:tcPr>
            <w:tcW w:w="236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354" w:type="dxa"/>
          </w:tcPr>
          <w:p>
            <w:pPr>
              <w:pStyle w:val="TableText"/>
            </w:pPr>
            <w:r>
              <w:t xml:space="preserve">€/kWh</w:t>
            </w:r>
          </w:p>
        </w:tc>
        <w:tc>
          <w:tcPr>
            <w:tcW w:w="6248" w:type="dxa"/>
          </w:tcPr>
          <w:p>
            <w:pPr>
              <w:pStyle w:val="TableText"/>
            </w:pPr>
            <w:r>
              <w:t xml:space="preserve">[18] 125 $/kWh = 75 $ di apparecchiature + 50 $ di installazione e connessione; la connessione varia da 30 a 100 $/kWh</w:t>
            </w:r>
          </w:p>
        </w:tc>
      </w:tr>
      <w:tr>
        <w:tc>
          <w:tcPr>
            <w:tcW w:w="1945" w:type="dxa"/>
          </w:tcPr>
          <w:p>
            <w:pPr>
              <w:pStyle w:val="TableText"/>
            </w:pPr>
            <w:r>
              <w:t xml:space="preserve">Investimento di riferimento ARERA per MACSE (asta 2029, utility)</w:t>
            </w:r>
          </w:p>
        </w:tc>
        <w:tc>
          <w:tcPr>
            <w:tcW w:w="324" w:type="dxa"/>
          </w:tcPr>
          <w:p>
            <w:pPr>
              <w:pStyle w:val="TableText"/>
            </w:pPr>
            <w:r>
              <w:t xml:space="preserve">125</w:t>
            </w:r>
          </w:p>
        </w:tc>
        <w:tc>
          <w:tcPr>
            <w:tcW w:w="531" w:type="dxa"/>
          </w:tcPr>
          <w:p>
            <w:pPr>
              <w:pStyle w:val="TableText"/>
            </w:pPr>
            <w:r>
              <w:t xml:space="preserve">150,5</w:t>
            </w:r>
          </w:p>
        </w:tc>
        <w:tc>
          <w:tcPr>
            <w:tcW w:w="236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354" w:type="dxa"/>
          </w:tcPr>
          <w:p>
            <w:pPr>
              <w:pStyle w:val="TableText"/>
            </w:pPr>
            <w:r>
              <w:t xml:space="preserve">€/kWh</w:t>
            </w:r>
          </w:p>
        </w:tc>
        <w:tc>
          <w:tcPr>
            <w:tcW w:w="6248" w:type="dxa"/>
          </w:tcPr>
          <w:p>
            <w:pPr>
              <w:pStyle w:val="TableText"/>
            </w:pPr>
            <w:r>
              <w:t xml:space="preserve">[19] delibera 332/2026: da 125.000 a 150.500 €/MWh; WACC 8,2%. Lo studio tecnico ARERA 2025 riporta 191–282 €/kWh per sistemi da 4 h [19b] </w:t>
            </w:r>
            <w:r>
              <w:rPr>
                <w:i/>
              </w:rPr>
              <w:t xml:space="preserve">(da verificare)</w:t>
            </w:r>
          </w:p>
        </w:tc>
      </w:tr>
      <w:tr>
        <w:tc>
          <w:tcPr>
            <w:tcW w:w="1945" w:type="dxa"/>
          </w:tcPr>
          <w:p>
            <w:pPr>
              <w:pStyle w:val="TableText"/>
            </w:pPr>
            <w:r>
              <w:t xml:space="preserve">CAPEX mediano globale Modo Energy (set-2026), 2 h / 4 h</w:t>
            </w:r>
          </w:p>
        </w:tc>
        <w:tc>
          <w:tcPr>
            <w:tcW w:w="324" w:type="dxa"/>
          </w:tcPr>
          <w:p>
            <w:pPr>
              <w:pStyle w:val="TableText"/>
            </w:pPr>
            <w:r>
              <w:t xml:space="preserve">173 (4 h)</w:t>
            </w:r>
          </w:p>
        </w:tc>
        <w:tc>
          <w:tcPr>
            <w:tcW w:w="531" w:type="dxa"/>
          </w:tcPr>
          <w:p>
            <w:pPr>
              <w:pStyle w:val="TableText"/>
            </w:pPr>
            <w:r>
              <w:t xml:space="preserve">280 (2 h)</w:t>
            </w:r>
          </w:p>
        </w:tc>
        <w:tc>
          <w:tcPr>
            <w:tcW w:w="236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354" w:type="dxa"/>
          </w:tcPr>
          <w:p>
            <w:pPr>
              <w:pStyle w:val="TableText"/>
            </w:pPr>
            <w:r>
              <w:t xml:space="preserve">€/kWh</w:t>
            </w:r>
          </w:p>
        </w:tc>
        <w:tc>
          <w:tcPr>
            <w:tcW w:w="6248" w:type="dxa"/>
          </w:tcPr>
          <w:p>
            <w:pPr>
              <w:pStyle w:val="TableText"/>
            </w:pPr>
            <w:r>
              <w:t xml:space="preserve">[20] 325 k$/MWh (2 h) e 201 k$/MWh (4 h), connessione inclusa; il premio di durata è sceso dal 38% al 22%</w:t>
            </w:r>
          </w:p>
        </w:tc>
      </w:tr>
      <w:tr>
        <w:tc>
          <w:tcPr>
            <w:tcW w:w="1945" w:type="dxa"/>
          </w:tcPr>
          <w:p>
            <w:pPr>
              <w:pStyle w:val="TableText"/>
            </w:pPr>
            <w:r>
              <w:t xml:space="preserve">BESS C&amp;I chiavi in mano Italia, 0,5–5 MWh</w:t>
            </w:r>
          </w:p>
        </w:tc>
        <w:tc>
          <w:tcPr>
            <w:tcW w:w="324" w:type="dxa"/>
          </w:tcPr>
          <w:p>
            <w:pPr>
              <w:pStyle w:val="TableText"/>
            </w:pPr>
            <w:r>
              <w:t xml:space="preserve">280</w:t>
            </w:r>
          </w:p>
        </w:tc>
        <w:tc>
          <w:tcPr>
            <w:tcW w:w="531" w:type="dxa"/>
          </w:tcPr>
          <w:p>
            <w:pPr>
              <w:pStyle w:val="TableText"/>
            </w:pPr>
            <w:r>
              <w:t xml:space="preserve">350–400</w:t>
            </w:r>
          </w:p>
        </w:tc>
        <w:tc>
          <w:tcPr>
            <w:tcW w:w="236" w:type="dxa"/>
          </w:tcPr>
          <w:p>
            <w:pPr>
              <w:pStyle w:val="TableText"/>
            </w:pPr>
            <w:r>
              <w:t xml:space="preserve">450</w:t>
            </w:r>
          </w:p>
        </w:tc>
        <w:tc>
          <w:tcPr>
            <w:tcW w:w="354" w:type="dxa"/>
          </w:tcPr>
          <w:p>
            <w:pPr>
              <w:pStyle w:val="TableText"/>
            </w:pPr>
            <w:r>
              <w:t xml:space="preserve">€/kWh</w:t>
            </w:r>
          </w:p>
        </w:tc>
        <w:tc>
          <w:tcPr>
            <w:tcW w:w="6248" w:type="dxa"/>
          </w:tcPr>
          <w:p>
            <w:pPr>
              <w:pStyle w:val="TableText"/>
            </w:pPr>
            <w:r>
              <w:t xml:space="preserve">[21] solareindustriale.it: 280–450 €/kWh; 1 MWh ≈ 350–400 k€ (fonte commerciale)</w:t>
            </w:r>
          </w:p>
        </w:tc>
      </w:tr>
      <w:tr>
        <w:tc>
          <w:tcPr>
            <w:tcW w:w="1945" w:type="dxa"/>
          </w:tcPr>
          <w:p>
            <w:pPr>
              <w:pStyle w:val="TableText"/>
            </w:pPr>
            <w:r>
              <w:t xml:space="preserve">BESS commerciale (Fraunhofer ISE 2024, DE)</w:t>
            </w:r>
          </w:p>
        </w:tc>
        <w:tc>
          <w:tcPr>
            <w:tcW w:w="324" w:type="dxa"/>
          </w:tcPr>
          <w:p>
            <w:pPr>
              <w:pStyle w:val="TableText"/>
            </w:pPr>
            <w:r>
              <w:t xml:space="preserve">450</w:t>
            </w:r>
          </w:p>
        </w:tc>
        <w:tc>
          <w:tcPr>
            <w:tcW w:w="531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236" w:type="dxa"/>
          </w:tcPr>
          <w:p>
            <w:pPr>
              <w:pStyle w:val="TableText"/>
            </w:pPr>
            <w:r>
              <w:t xml:space="preserve">800</w:t>
            </w:r>
          </w:p>
        </w:tc>
        <w:tc>
          <w:tcPr>
            <w:tcW w:w="354" w:type="dxa"/>
          </w:tcPr>
          <w:p>
            <w:pPr>
              <w:pStyle w:val="TableText"/>
            </w:pPr>
            <w:r>
              <w:t xml:space="preserve">€/kWh</w:t>
            </w:r>
          </w:p>
        </w:tc>
        <w:tc>
          <w:tcPr>
            <w:tcW w:w="6248" w:type="dxa"/>
          </w:tcPr>
          <w:p>
            <w:pPr>
              <w:pStyle w:val="TableText"/>
            </w:pPr>
            <w:r>
              <w:t xml:space="preserve">[22] dato 2024, ormai superato dai prezzi 2025–26</w:t>
            </w:r>
          </w:p>
        </w:tc>
      </w:tr>
      <w:tr>
        <w:tc>
          <w:tcPr>
            <w:tcW w:w="1945" w:type="dxa"/>
          </w:tcPr>
          <w:p>
            <w:pPr>
              <w:pStyle w:val="TableText"/>
            </w:pPr>
            <w:r>
              <w:t xml:space="preserve">BESS 10 MW/20 MWh Germania, all-in 2026</w:t>
            </w:r>
          </w:p>
        </w:tc>
        <w:tc>
          <w:tcPr>
            <w:tcW w:w="324" w:type="dxa"/>
          </w:tcPr>
          <w:p>
            <w:pPr>
              <w:pStyle w:val="TableText"/>
            </w:pPr>
            <w:r>
              <w:t xml:space="preserve">350</w:t>
            </w:r>
          </w:p>
        </w:tc>
        <w:tc>
          <w:tcPr>
            <w:tcW w:w="531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236" w:type="dxa"/>
          </w:tcPr>
          <w:p>
            <w:pPr>
              <w:pStyle w:val="TableText"/>
            </w:pPr>
            <w:r>
              <w:t xml:space="preserve">500</w:t>
            </w:r>
          </w:p>
        </w:tc>
        <w:tc>
          <w:tcPr>
            <w:tcW w:w="354" w:type="dxa"/>
          </w:tcPr>
          <w:p>
            <w:pPr>
              <w:pStyle w:val="TableText"/>
            </w:pPr>
            <w:r>
              <w:t xml:space="preserve">€/kWh</w:t>
            </w:r>
          </w:p>
        </w:tc>
        <w:tc>
          <w:tcPr>
            <w:tcW w:w="6248" w:type="dxa"/>
          </w:tcPr>
          <w:p>
            <w:pPr>
              <w:pStyle w:val="TableText"/>
            </w:pPr>
            <w:r>
              <w:t xml:space="preserve">[23] Phelas (consulente)</w:t>
            </w:r>
          </w:p>
        </w:tc>
      </w:tr>
      <w:tr>
        <w:tc>
          <w:tcPr>
            <w:tcW w:w="1945" w:type="dxa"/>
          </w:tcPr>
          <w:p>
            <w:pPr>
              <w:pStyle w:val="TableText"/>
            </w:pPr>
            <w:r>
              <w:t xml:space="preserve">Aggiudicazione MACSE (set-2025, 10 GWh)</w:t>
            </w:r>
          </w:p>
        </w:tc>
        <w:tc>
          <w:tcPr>
            <w:tcW w:w="324" w:type="dxa"/>
          </w:tcPr>
          <w:p>
            <w:pPr>
              <w:pStyle w:val="TableText"/>
            </w:pPr>
            <w:r>
              <w:t xml:space="preserve">12.146</w:t>
            </w:r>
          </w:p>
        </w:tc>
        <w:tc>
          <w:tcPr>
            <w:tcW w:w="531" w:type="dxa"/>
          </w:tcPr>
          <w:p>
            <w:pPr>
              <w:pStyle w:val="TableText"/>
            </w:pPr>
            <w:r>
              <w:t xml:space="preserve">12.959</w:t>
            </w:r>
          </w:p>
        </w:tc>
        <w:tc>
          <w:tcPr>
            <w:tcW w:w="236" w:type="dxa"/>
          </w:tcPr>
          <w:p>
            <w:pPr>
              <w:pStyle w:val="TableText"/>
            </w:pPr>
            <w:r>
              <w:t xml:space="preserve">15.846</w:t>
            </w:r>
          </w:p>
        </w:tc>
        <w:tc>
          <w:tcPr>
            <w:tcW w:w="354" w:type="dxa"/>
          </w:tcPr>
          <w:p>
            <w:pPr>
              <w:pStyle w:val="TableText"/>
            </w:pPr>
            <w:r>
              <w:t xml:space="preserve">€/MWh/anno</w:t>
            </w:r>
          </w:p>
        </w:tc>
        <w:tc>
          <w:tcPr>
            <w:tcW w:w="6248" w:type="dxa"/>
          </w:tcPr>
          <w:p>
            <w:pPr>
              <w:pStyle w:val="TableText"/>
            </w:pPr>
            <w:r>
              <w:t xml:space="preserve">[25] media pesata 12.959; CSud 14.566, Sud 12.146, Sicilia 15.846, Sardegna 15.029; tetto 37.000</w:t>
            </w:r>
          </w:p>
        </w:tc>
      </w:tr>
    </w:tbl>
    <w:p>
      <w:pPr>
        <w:pStyle w:val="Normal"/>
        <w:spacing w:after="60"/>
      </w:pPr>
    </w:p>
    <w:p>
      <w:pPr>
        <w:pStyle w:val="Heading2"/>
      </w:pPr>
      <w:r>
        <w:t xml:space="preserve">2.2 Ripartizione proposta per BESS C&amp;I behind-the-meter (1–10 MWh, connessione MT esistente)</w:t>
      </w:r>
    </w:p>
    <w:p>
      <w:pPr>
        <w:pStyle w:val="Normal"/>
      </w:pPr>
      <w:r>
        <w:t xml:space="preserve">Base: benchmark utility [17][18][19] maggiorati per la taglia C&amp;I (container singoli, PCS piccoli, integrazione con la cabina d'utente). Riscontro di mercato: [21][23]. Tutte le cifre sono </w:t>
      </w:r>
      <w:r>
        <w:rPr>
          <w:b/>
        </w:rPr>
        <w:t xml:space="preserve">[stima]</w:t>
      </w:r>
      <w:r>
        <w:t xml:space="preserve">.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4970"/>
        <w:gridCol w:w="639"/>
        <w:gridCol w:w="834"/>
        <w:gridCol w:w="639"/>
        <w:gridCol w:w="639"/>
        <w:gridCol w:w="834"/>
        <w:gridCol w:w="639"/>
        <w:gridCol w:w="444"/>
      </w:tblGrid>
      <w:tr>
        <w:trPr>
          <w:tblHeader/>
        </w:trPr>
        <w:tc>
          <w:tcPr>
            <w:tcW w:w="4970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Voce</w:t>
            </w:r>
          </w:p>
        </w:tc>
        <w:tc>
          <w:tcPr>
            <w:tcW w:w="639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2 h: min</w:t>
            </w:r>
          </w:p>
        </w:tc>
        <w:tc>
          <w:tcPr>
            <w:tcW w:w="834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2 h: tipico</w:t>
            </w:r>
          </w:p>
        </w:tc>
        <w:tc>
          <w:tcPr>
            <w:tcW w:w="639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2 h: max</w:t>
            </w:r>
          </w:p>
        </w:tc>
        <w:tc>
          <w:tcPr>
            <w:tcW w:w="639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4 h: min</w:t>
            </w:r>
          </w:p>
        </w:tc>
        <w:tc>
          <w:tcPr>
            <w:tcW w:w="834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4 h: tipico</w:t>
            </w:r>
          </w:p>
        </w:tc>
        <w:tc>
          <w:tcPr>
            <w:tcW w:w="639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4 h: max</w:t>
            </w:r>
          </w:p>
        </w:tc>
        <w:tc>
          <w:tcPr>
            <w:tcW w:w="444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Unità</w:t>
            </w:r>
          </w:p>
        </w:tc>
      </w:tr>
      <w:tr>
        <w:tc>
          <w:tcPr>
            <w:tcW w:w="4970" w:type="dxa"/>
          </w:tcPr>
          <w:p>
            <w:pPr>
              <w:pStyle w:val="TableText"/>
            </w:pPr>
            <w:r>
              <w:t xml:space="preserve">DC block (celle, moduli, rack, BMS, container, HVAC, antincendio)</w:t>
            </w:r>
          </w:p>
        </w:tc>
        <w:tc>
          <w:tcPr>
            <w:tcW w:w="639" w:type="dxa"/>
          </w:tcPr>
          <w:p>
            <w:pPr>
              <w:pStyle w:val="TableText"/>
            </w:pPr>
            <w:r>
              <w:t xml:space="preserve">75</w:t>
            </w:r>
          </w:p>
        </w:tc>
        <w:tc>
          <w:tcPr>
            <w:tcW w:w="834" w:type="dxa"/>
          </w:tcPr>
          <w:p>
            <w:pPr>
              <w:pStyle w:val="TableText"/>
            </w:pPr>
            <w:r>
              <w:t xml:space="preserve">110</w:t>
            </w:r>
          </w:p>
        </w:tc>
        <w:tc>
          <w:tcPr>
            <w:tcW w:w="639" w:type="dxa"/>
          </w:tcPr>
          <w:p>
            <w:pPr>
              <w:pStyle w:val="TableText"/>
            </w:pPr>
            <w:r>
              <w:t xml:space="preserve">150</w:t>
            </w:r>
          </w:p>
        </w:tc>
        <w:tc>
          <w:tcPr>
            <w:tcW w:w="639" w:type="dxa"/>
          </w:tcPr>
          <w:p>
            <w:pPr>
              <w:pStyle w:val="TableText"/>
            </w:pPr>
            <w:r>
              <w:t xml:space="preserve">70</w:t>
            </w:r>
          </w:p>
        </w:tc>
        <w:tc>
          <w:tcPr>
            <w:tcW w:w="834" w:type="dxa"/>
          </w:tcPr>
          <w:p>
            <w:pPr>
              <w:pStyle w:val="TableText"/>
            </w:pPr>
            <w:r>
              <w:t xml:space="preserve">105</w:t>
            </w:r>
          </w:p>
        </w:tc>
        <w:tc>
          <w:tcPr>
            <w:tcW w:w="639" w:type="dxa"/>
          </w:tcPr>
          <w:p>
            <w:pPr>
              <w:pStyle w:val="TableText"/>
            </w:pPr>
            <w:r>
              <w:t xml:space="preserve">140</w:t>
            </w:r>
          </w:p>
        </w:tc>
        <w:tc>
          <w:tcPr>
            <w:tcW w:w="444" w:type="dxa"/>
          </w:tcPr>
          <w:p>
            <w:pPr>
              <w:pStyle w:val="TableText"/>
            </w:pPr>
            <w:r>
              <w:t xml:space="preserve">€/kWh</w:t>
            </w:r>
          </w:p>
        </w:tc>
      </w:tr>
      <w:tr>
        <w:tc>
          <w:tcPr>
            <w:tcW w:w="4970" w:type="dxa"/>
          </w:tcPr>
          <w:p>
            <w:pPr>
              <w:pStyle w:val="TableText"/>
            </w:pPr>
            <w:r>
              <w:t xml:space="preserve">PCS (inverter bidirezionale; tipico ≈ 60 €/kW)</w:t>
            </w:r>
          </w:p>
        </w:tc>
        <w:tc>
          <w:tcPr>
            <w:tcW w:w="639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834" w:type="dxa"/>
          </w:tcPr>
          <w:p>
            <w:pPr>
              <w:pStyle w:val="TableText"/>
            </w:pPr>
            <w:r>
              <w:t xml:space="preserve">30</w:t>
            </w:r>
          </w:p>
        </w:tc>
        <w:tc>
          <w:tcPr>
            <w:tcW w:w="639" w:type="dxa"/>
          </w:tcPr>
          <w:p>
            <w:pPr>
              <w:pStyle w:val="TableText"/>
            </w:pPr>
            <w:r>
              <w:t xml:space="preserve">45</w:t>
            </w:r>
          </w:p>
        </w:tc>
        <w:tc>
          <w:tcPr>
            <w:tcW w:w="639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834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639" w:type="dxa"/>
          </w:tcPr>
          <w:p>
            <w:pPr>
              <w:pStyle w:val="TableText"/>
            </w:pPr>
            <w:r>
              <w:t xml:space="preserve">25</w:t>
            </w:r>
          </w:p>
        </w:tc>
        <w:tc>
          <w:tcPr>
            <w:tcW w:w="444" w:type="dxa"/>
          </w:tcPr>
          <w:p>
            <w:pPr>
              <w:pStyle w:val="TableText"/>
            </w:pPr>
            <w:r>
              <w:t xml:space="preserve">€/kWh</w:t>
            </w:r>
          </w:p>
        </w:tc>
      </w:tr>
      <w:tr>
        <w:tc>
          <w:tcPr>
            <w:tcW w:w="4970" w:type="dxa"/>
          </w:tcPr>
          <w:p>
            <w:pPr>
              <w:pStyle w:val="TableText"/>
            </w:pPr>
            <w:r>
              <w:t xml:space="preserve">BoP elettrico (trafo MT/BT, quadri MT, cavi, protezioni, adeguamento cabina)</w:t>
            </w:r>
          </w:p>
        </w:tc>
        <w:tc>
          <w:tcPr>
            <w:tcW w:w="639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834" w:type="dxa"/>
          </w:tcPr>
          <w:p>
            <w:pPr>
              <w:pStyle w:val="TableText"/>
            </w:pPr>
            <w:r>
              <w:t xml:space="preserve">35</w:t>
            </w:r>
          </w:p>
        </w:tc>
        <w:tc>
          <w:tcPr>
            <w:tcW w:w="639" w:type="dxa"/>
          </w:tcPr>
          <w:p>
            <w:pPr>
              <w:pStyle w:val="TableText"/>
            </w:pPr>
            <w:r>
              <w:t xml:space="preserve">60</w:t>
            </w:r>
          </w:p>
        </w:tc>
        <w:tc>
          <w:tcPr>
            <w:tcW w:w="639" w:type="dxa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834" w:type="dxa"/>
          </w:tcPr>
          <w:p>
            <w:pPr>
              <w:pStyle w:val="TableText"/>
            </w:pPr>
            <w:r>
              <w:t xml:space="preserve">25</w:t>
            </w:r>
          </w:p>
        </w:tc>
        <w:tc>
          <w:tcPr>
            <w:tcW w:w="639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444" w:type="dxa"/>
          </w:tcPr>
          <w:p>
            <w:pPr>
              <w:pStyle w:val="TableText"/>
            </w:pPr>
            <w:r>
              <w:t xml:space="preserve">€/kWh</w:t>
            </w:r>
          </w:p>
        </w:tc>
      </w:tr>
      <w:tr>
        <w:tc>
          <w:tcPr>
            <w:tcW w:w="4970" w:type="dxa"/>
          </w:tcPr>
          <w:p>
            <w:pPr>
              <w:pStyle w:val="TableText"/>
            </w:pPr>
            <w:r>
              <w:t xml:space="preserve">EMS/SCADA/controllo peak-shaving</w:t>
            </w:r>
          </w:p>
        </w:tc>
        <w:tc>
          <w:tcPr>
            <w:tcW w:w="639" w:type="dxa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834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639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639" w:type="dxa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834" w:type="dxa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639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444" w:type="dxa"/>
          </w:tcPr>
          <w:p>
            <w:pPr>
              <w:pStyle w:val="TableText"/>
            </w:pPr>
            <w:r>
              <w:t xml:space="preserve">€/kWh</w:t>
            </w:r>
          </w:p>
        </w:tc>
      </w:tr>
      <w:tr>
        <w:tc>
          <w:tcPr>
            <w:tcW w:w="4970" w:type="dxa"/>
          </w:tcPr>
          <w:p>
            <w:pPr>
              <w:pStyle w:val="TableText"/>
            </w:pPr>
            <w:r>
              <w:t xml:space="preserve">Installazione, opere civili, trasporti, messa in servizio</w:t>
            </w:r>
          </w:p>
        </w:tc>
        <w:tc>
          <w:tcPr>
            <w:tcW w:w="639" w:type="dxa"/>
          </w:tcPr>
          <w:p>
            <w:pPr>
              <w:pStyle w:val="TableText"/>
            </w:pPr>
            <w:r>
              <w:t xml:space="preserve">25</w:t>
            </w:r>
          </w:p>
        </w:tc>
        <w:tc>
          <w:tcPr>
            <w:tcW w:w="834" w:type="dxa"/>
          </w:tcPr>
          <w:p>
            <w:pPr>
              <w:pStyle w:val="TableText"/>
            </w:pPr>
            <w:r>
              <w:t xml:space="preserve">45</w:t>
            </w:r>
          </w:p>
        </w:tc>
        <w:tc>
          <w:tcPr>
            <w:tcW w:w="639" w:type="dxa"/>
          </w:tcPr>
          <w:p>
            <w:pPr>
              <w:pStyle w:val="TableText"/>
            </w:pPr>
            <w:r>
              <w:t xml:space="preserve">70</w:t>
            </w:r>
          </w:p>
        </w:tc>
        <w:tc>
          <w:tcPr>
            <w:tcW w:w="639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834" w:type="dxa"/>
          </w:tcPr>
          <w:p>
            <w:pPr>
              <w:pStyle w:val="TableText"/>
            </w:pPr>
            <w:r>
              <w:t xml:space="preserve">35</w:t>
            </w:r>
          </w:p>
        </w:tc>
        <w:tc>
          <w:tcPr>
            <w:tcW w:w="639" w:type="dxa"/>
          </w:tcPr>
          <w:p>
            <w:pPr>
              <w:pStyle w:val="TableText"/>
            </w:pPr>
            <w:r>
              <w:t xml:space="preserve">55</w:t>
            </w:r>
          </w:p>
        </w:tc>
        <w:tc>
          <w:tcPr>
            <w:tcW w:w="444" w:type="dxa"/>
          </w:tcPr>
          <w:p>
            <w:pPr>
              <w:pStyle w:val="TableText"/>
            </w:pPr>
            <w:r>
              <w:t xml:space="preserve">€/kWh</w:t>
            </w:r>
          </w:p>
        </w:tc>
      </w:tr>
      <w:tr>
        <w:tc>
          <w:tcPr>
            <w:tcW w:w="4970" w:type="dxa"/>
          </w:tcPr>
          <w:p>
            <w:pPr>
              <w:pStyle w:val="TableText"/>
            </w:pPr>
            <w:r>
              <w:t xml:space="preserve">Ingegneria, permessi (prevenzione incendi), aggiornamento connessione, contingenza</w:t>
            </w:r>
          </w:p>
        </w:tc>
        <w:tc>
          <w:tcPr>
            <w:tcW w:w="639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834" w:type="dxa"/>
          </w:tcPr>
          <w:p>
            <w:pPr>
              <w:pStyle w:val="TableText"/>
            </w:pPr>
            <w:r>
              <w:t xml:space="preserve">30</w:t>
            </w:r>
          </w:p>
        </w:tc>
        <w:tc>
          <w:tcPr>
            <w:tcW w:w="639" w:type="dxa"/>
          </w:tcPr>
          <w:p>
            <w:pPr>
              <w:pStyle w:val="TableText"/>
            </w:pPr>
            <w:r>
              <w:t xml:space="preserve">55</w:t>
            </w:r>
          </w:p>
        </w:tc>
        <w:tc>
          <w:tcPr>
            <w:tcW w:w="639" w:type="dxa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834" w:type="dxa"/>
          </w:tcPr>
          <w:p>
            <w:pPr>
              <w:pStyle w:val="TableText"/>
            </w:pPr>
            <w:r>
              <w:t xml:space="preserve">25</w:t>
            </w:r>
          </w:p>
        </w:tc>
        <w:tc>
          <w:tcPr>
            <w:tcW w:w="639" w:type="dxa"/>
          </w:tcPr>
          <w:p>
            <w:pPr>
              <w:pStyle w:val="TableText"/>
            </w:pPr>
            <w:r>
              <w:t xml:space="preserve">45</w:t>
            </w:r>
          </w:p>
        </w:tc>
        <w:tc>
          <w:tcPr>
            <w:tcW w:w="444" w:type="dxa"/>
          </w:tcPr>
          <w:p>
            <w:pPr>
              <w:pStyle w:val="TableText"/>
            </w:pPr>
            <w:r>
              <w:t xml:space="preserve">€/kWh</w:t>
            </w:r>
          </w:p>
        </w:tc>
      </w:tr>
      <w:tr>
        <w:tc>
          <w:tcPr>
            <w:tcW w:w="4970" w:type="dxa"/>
          </w:tcPr>
          <w:p>
            <w:pPr>
              <w:pStyle w:val="TableText"/>
            </w:pPr>
            <w:r>
              <w:rPr>
                <w:b/>
              </w:rPr>
              <w:t xml:space="preserve">Totale turnkey</w:t>
            </w:r>
          </w:p>
        </w:tc>
        <w:tc>
          <w:tcPr>
            <w:tcW w:w="639" w:type="dxa"/>
          </w:tcPr>
          <w:p>
            <w:pPr>
              <w:pStyle w:val="TableText"/>
            </w:pPr>
            <w:r>
              <w:rPr>
                <w:b/>
              </w:rPr>
              <w:t xml:space="preserve">180</w:t>
            </w:r>
          </w:p>
        </w:tc>
        <w:tc>
          <w:tcPr>
            <w:tcW w:w="834" w:type="dxa"/>
          </w:tcPr>
          <w:p>
            <w:pPr>
              <w:pStyle w:val="TableText"/>
            </w:pPr>
            <w:r>
              <w:rPr>
                <w:b/>
              </w:rPr>
              <w:t xml:space="preserve">260</w:t>
            </w:r>
          </w:p>
        </w:tc>
        <w:tc>
          <w:tcPr>
            <w:tcW w:w="639" w:type="dxa"/>
          </w:tcPr>
          <w:p>
            <w:pPr>
              <w:pStyle w:val="TableText"/>
            </w:pPr>
            <w:r>
              <w:rPr>
                <w:b/>
              </w:rPr>
              <w:t xml:space="preserve">400</w:t>
            </w:r>
          </w:p>
        </w:tc>
        <w:tc>
          <w:tcPr>
            <w:tcW w:w="639" w:type="dxa"/>
          </w:tcPr>
          <w:p>
            <w:pPr>
              <w:pStyle w:val="TableText"/>
            </w:pPr>
            <w:r>
              <w:rPr>
                <w:b/>
              </w:rPr>
              <w:t xml:space="preserve">150</w:t>
            </w:r>
          </w:p>
        </w:tc>
        <w:tc>
          <w:tcPr>
            <w:tcW w:w="834" w:type="dxa"/>
          </w:tcPr>
          <w:p>
            <w:pPr>
              <w:pStyle w:val="TableText"/>
            </w:pPr>
            <w:r>
              <w:rPr>
                <w:b/>
              </w:rPr>
              <w:t xml:space="preserve">210</w:t>
            </w:r>
          </w:p>
        </w:tc>
        <w:tc>
          <w:tcPr>
            <w:tcW w:w="639" w:type="dxa"/>
          </w:tcPr>
          <w:p>
            <w:pPr>
              <w:pStyle w:val="TableText"/>
            </w:pPr>
            <w:r>
              <w:rPr>
                <w:b/>
              </w:rPr>
              <w:t xml:space="preserve">330</w:t>
            </w:r>
          </w:p>
        </w:tc>
        <w:tc>
          <w:tcPr>
            <w:tcW w:w="444" w:type="dxa"/>
          </w:tcPr>
          <w:p>
            <w:pPr>
              <w:pStyle w:val="TableText"/>
            </w:pPr>
            <w:r>
              <w:t xml:space="preserve">€/kWh</w:t>
            </w:r>
          </w:p>
        </w:tc>
      </w:tr>
    </w:tbl>
    <w:p>
      <w:pPr>
        <w:pStyle w:val="Normal"/>
        <w:spacing w:after="60"/>
      </w:pPr>
    </w:p>
    <w:p>
      <w:pPr>
        <w:pStyle w:val="Heading2"/>
      </w:pPr>
      <w:r>
        <w:t xml:space="preserve">2.3 Augmentation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2068"/>
        <w:gridCol w:w="267"/>
        <w:gridCol w:w="300"/>
        <w:gridCol w:w="300"/>
        <w:gridCol w:w="534"/>
        <w:gridCol w:w="6170"/>
      </w:tblGrid>
      <w:tr>
        <w:trPr>
          <w:tblHeader/>
        </w:trPr>
        <w:tc>
          <w:tcPr>
            <w:tcW w:w="2068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Voce</w:t>
            </w:r>
          </w:p>
        </w:tc>
        <w:tc>
          <w:tcPr>
            <w:tcW w:w="267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Min</w:t>
            </w:r>
          </w:p>
        </w:tc>
        <w:tc>
          <w:tcPr>
            <w:tcW w:w="300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Tipico</w:t>
            </w:r>
          </w:p>
        </w:tc>
        <w:tc>
          <w:tcPr>
            <w:tcW w:w="300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Max</w:t>
            </w:r>
          </w:p>
        </w:tc>
        <w:tc>
          <w:tcPr>
            <w:tcW w:w="534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Unità</w:t>
            </w:r>
          </w:p>
        </w:tc>
        <w:tc>
          <w:tcPr>
            <w:tcW w:w="6170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Fonte / nota</w:t>
            </w:r>
          </w:p>
        </w:tc>
      </w:tr>
      <w:tr>
        <w:tc>
          <w:tcPr>
            <w:tcW w:w="2068" w:type="dxa"/>
          </w:tcPr>
          <w:p>
            <w:pPr>
              <w:pStyle w:val="TableText"/>
            </w:pPr>
            <w:r>
              <w:t xml:space="preserve">Costo dei kWh aggiunti (moduli + installazione, prezzi 2026)</w:t>
            </w:r>
          </w:p>
        </w:tc>
        <w:tc>
          <w:tcPr>
            <w:tcW w:w="267" w:type="dxa"/>
          </w:tcPr>
          <w:p>
            <w:pPr>
              <w:pStyle w:val="TableText"/>
            </w:pPr>
            <w:r>
              <w:t xml:space="preserve">90</w:t>
            </w:r>
          </w:p>
        </w:tc>
        <w:tc>
          <w:tcPr>
            <w:tcW w:w="300" w:type="dxa"/>
          </w:tcPr>
          <w:p>
            <w:pPr>
              <w:pStyle w:val="TableText"/>
            </w:pPr>
            <w:r>
              <w:t xml:space="preserve">120</w:t>
            </w:r>
          </w:p>
        </w:tc>
        <w:tc>
          <w:tcPr>
            <w:tcW w:w="300" w:type="dxa"/>
          </w:tcPr>
          <w:p>
            <w:pPr>
              <w:pStyle w:val="TableText"/>
            </w:pPr>
            <w:r>
              <w:t xml:space="preserve">200</w:t>
            </w:r>
          </w:p>
        </w:tc>
        <w:tc>
          <w:tcPr>
            <w:tcW w:w="534" w:type="dxa"/>
          </w:tcPr>
          <w:p>
            <w:pPr>
              <w:pStyle w:val="TableText"/>
            </w:pPr>
            <w:r>
              <w:t xml:space="preserve">€/kWh aggiunto</w:t>
            </w:r>
          </w:p>
        </w:tc>
        <w:tc>
          <w:tcPr>
            <w:tcW w:w="6170" w:type="dxa"/>
          </w:tcPr>
          <w:p>
            <w:pPr>
              <w:pStyle w:val="TableText"/>
            </w:pPr>
            <w:r>
              <w:t xml:space="preserve">[23] Phelas: 2–4 M€ per ripotenziare i moduli di un 10 MW/20 MWh, cioè ≈100–200 €/kWh (calcolo nostro). Min e tipico </w:t>
            </w:r>
            <w:r>
              <w:rPr>
                <w:b/>
              </w:rPr>
              <w:t xml:space="preserve">[stima]</w:t>
            </w:r>
            <w:r>
              <w:t xml:space="preserve">, che assume ulteriori cali del prezzo delle celle [14][15]</w:t>
            </w:r>
          </w:p>
        </w:tc>
      </w:tr>
      <w:tr>
        <w:tc>
          <w:tcPr>
            <w:tcW w:w="2068" w:type="dxa"/>
          </w:tcPr>
          <w:p>
            <w:pPr>
              <w:pStyle w:val="TableText"/>
            </w:pPr>
            <w:r>
              <w:t xml:space="preserve">Momento dell'intervento</w:t>
            </w:r>
          </w:p>
        </w:tc>
        <w:tc>
          <w:tcPr>
            <w:tcW w:w="267" w:type="dxa"/>
          </w:tcPr>
          <w:p>
            <w:pPr>
              <w:pStyle w:val="TableText"/>
            </w:pPr>
            <w:r>
              <w:t xml:space="preserve">anno 8</w:t>
            </w:r>
          </w:p>
        </w:tc>
        <w:tc>
          <w:tcPr>
            <w:tcW w:w="300" w:type="dxa"/>
          </w:tcPr>
          <w:p>
            <w:pPr>
              <w:pStyle w:val="TableText"/>
            </w:pPr>
            <w:r>
              <w:t xml:space="preserve">anno 10</w:t>
            </w:r>
          </w:p>
        </w:tc>
        <w:tc>
          <w:tcPr>
            <w:tcW w:w="300" w:type="dxa"/>
          </w:tcPr>
          <w:p>
            <w:pPr>
              <w:pStyle w:val="TableText"/>
            </w:pPr>
            <w:r>
              <w:t xml:space="preserve">anno 12</w:t>
            </w:r>
          </w:p>
        </w:tc>
        <w:tc>
          <w:tcPr>
            <w:tcW w:w="534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6170" w:type="dxa"/>
          </w:tcPr>
          <w:p>
            <w:pPr>
              <w:pStyle w:val="TableText"/>
            </w:pPr>
            <w:r>
              <w:t xml:space="preserve">[23] l'80% di SoH si raggiunge tra l'anno 8 e il 12</w:t>
            </w:r>
          </w:p>
        </w:tc>
      </w:tr>
      <w:tr>
        <w:tc>
          <w:tcPr>
            <w:tcW w:w="2068" w:type="dxa"/>
          </w:tcPr>
          <w:p>
            <w:pPr>
              <w:pStyle w:val="TableText"/>
            </w:pPr>
            <w:r>
              <w:t xml:space="preserve">Alternativa: FOM comprensivo di augmentation (NREL ATB 2025)</w:t>
            </w:r>
          </w:p>
        </w:tc>
        <w:tc>
          <w:tcPr>
            <w:tcW w:w="267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300" w:type="dxa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300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534" w:type="dxa"/>
          </w:tcPr>
          <w:p>
            <w:pPr>
              <w:pStyle w:val="TableText"/>
            </w:pPr>
            <w:r>
              <w:t xml:space="preserve">% CAPEX/anno</w:t>
            </w:r>
          </w:p>
        </w:tc>
        <w:tc>
          <w:tcPr>
            <w:tcW w:w="6170" w:type="dxa"/>
          </w:tcPr>
          <w:p>
            <w:pPr>
              <w:pStyle w:val="TableText"/>
            </w:pPr>
            <w:r>
              <w:t xml:space="preserve">[26]</w:t>
            </w:r>
          </w:p>
        </w:tc>
      </w:tr>
    </w:tbl>
    <w:p>
      <w:pPr>
        <w:pStyle w:val="Normal"/>
        <w:spacing w:after="60"/>
      </w:pPr>
    </w:p>
    <w:p>
      <w:pPr>
        <w:pStyle w:val="Normal"/>
        <w:pBdr>
          <w:bottom w:val="single" w:sz="6" w:space="1" w:color="A0A8AE"/>
        </w:pBdr>
      </w:pPr>
    </w:p>
    <w:p>
      <w:pPr>
        <w:pStyle w:val="Heading1"/>
      </w:pPr>
      <w:r>
        <w:t xml:space="preserve">3) OPEX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2494"/>
        <w:gridCol w:w="356"/>
        <w:gridCol w:w="236"/>
        <w:gridCol w:w="411"/>
        <w:gridCol w:w="521"/>
        <w:gridCol w:w="5619"/>
      </w:tblGrid>
      <w:tr>
        <w:trPr>
          <w:tblHeader/>
        </w:trPr>
        <w:tc>
          <w:tcPr>
            <w:tcW w:w="2494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Voce</w:t>
            </w:r>
          </w:p>
        </w:tc>
        <w:tc>
          <w:tcPr>
            <w:tcW w:w="356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Min</w:t>
            </w:r>
          </w:p>
        </w:tc>
        <w:tc>
          <w:tcPr>
            <w:tcW w:w="236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Tipico</w:t>
            </w:r>
          </w:p>
        </w:tc>
        <w:tc>
          <w:tcPr>
            <w:tcW w:w="411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Max</w:t>
            </w:r>
          </w:p>
        </w:tc>
        <w:tc>
          <w:tcPr>
            <w:tcW w:w="521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Unità</w:t>
            </w:r>
          </w:p>
        </w:tc>
        <w:tc>
          <w:tcPr>
            <w:tcW w:w="5619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Fonte / nota</w:t>
            </w:r>
          </w:p>
        </w:tc>
      </w:tr>
      <w:tr>
        <w:tc>
          <w:tcPr>
            <w:tcW w:w="2494" w:type="dxa"/>
          </w:tcPr>
          <w:p>
            <w:pPr>
              <w:pStyle w:val="TableText"/>
            </w:pPr>
            <w:r>
              <w:t xml:space="preserve">O&amp;M FV C&amp;I su tetto (manutenzione preventiva/correttiva, pulizia, verifiche)</w:t>
            </w:r>
          </w:p>
        </w:tc>
        <w:tc>
          <w:tcPr>
            <w:tcW w:w="356" w:type="dxa"/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236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411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521" w:type="dxa"/>
          </w:tcPr>
          <w:p>
            <w:pPr>
              <w:pStyle w:val="TableText"/>
            </w:pPr>
            <w:r>
              <w:t xml:space="preserve">€/kWp/anno</w:t>
            </w:r>
          </w:p>
        </w:tc>
        <w:tc>
          <w:tcPr>
            <w:tcW w:w="5619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: nessuna fonte pubblica italiana in €/kWp per l'industriale [27]. Ancoraggio: OPEX FER X 14 €/MWh [24] × 1,2–1,5 MWh/kWp = 17–21 €/kWp/anno di OPEX </w:t>
            </w:r>
            <w:r>
              <w:rPr>
                <w:b/>
              </w:rPr>
              <w:t xml:space="preserve">totale</w:t>
            </w:r>
            <w:r>
              <w:t xml:space="preserve"> (O&amp;M + assicurazione + oneri + gestione)</w:t>
            </w:r>
          </w:p>
        </w:tc>
      </w:tr>
      <w:tr>
        <w:tc>
          <w:tcPr>
            <w:tcW w:w="2494" w:type="dxa"/>
          </w:tcPr>
          <w:p>
            <w:pPr>
              <w:pStyle w:val="TableText"/>
            </w:pPr>
            <w:r>
              <w:t xml:space="preserve">O&amp;M FV a terra 1–10 MWp (incluso sfalcio e lavaggio)</w:t>
            </w:r>
          </w:p>
        </w:tc>
        <w:tc>
          <w:tcPr>
            <w:tcW w:w="356" w:type="dxa"/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236" w:type="dxa"/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411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521" w:type="dxa"/>
          </w:tcPr>
          <w:p>
            <w:pPr>
              <w:pStyle w:val="TableText"/>
            </w:pPr>
            <w:r>
              <w:t xml:space="preserve">€/kWp/anno</w:t>
            </w:r>
          </w:p>
        </w:tc>
        <w:tc>
          <w:tcPr>
            <w:tcW w:w="5619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 come sopra</w:t>
            </w:r>
          </w:p>
        </w:tc>
      </w:tr>
      <w:tr>
        <w:tc>
          <w:tcPr>
            <w:tcW w:w="2494" w:type="dxa"/>
          </w:tcPr>
          <w:p>
            <w:pPr>
              <w:pStyle w:val="TableText"/>
            </w:pPr>
            <w:r>
              <w:t xml:space="preserve">Monitoraggio/telecontrollo/asset management</w:t>
            </w:r>
          </w:p>
        </w:tc>
        <w:tc>
          <w:tcPr>
            <w:tcW w:w="356" w:type="dxa"/>
          </w:tcPr>
          <w:p>
            <w:pPr>
              <w:pStyle w:val="TableText"/>
            </w:pPr>
            <w:r>
              <w:t xml:space="preserve">0,5</w:t>
            </w:r>
          </w:p>
        </w:tc>
        <w:tc>
          <w:tcPr>
            <w:tcW w:w="236" w:type="dxa"/>
          </w:tcPr>
          <w:p>
            <w:pPr>
              <w:pStyle w:val="TableText"/>
            </w:pPr>
            <w:r>
              <w:t xml:space="preserve">1,0</w:t>
            </w:r>
          </w:p>
        </w:tc>
        <w:tc>
          <w:tcPr>
            <w:tcW w:w="411" w:type="dxa"/>
          </w:tcPr>
          <w:p>
            <w:pPr>
              <w:pStyle w:val="TableText"/>
            </w:pPr>
            <w:r>
              <w:t xml:space="preserve">2,0</w:t>
            </w:r>
          </w:p>
        </w:tc>
        <w:tc>
          <w:tcPr>
            <w:tcW w:w="521" w:type="dxa"/>
          </w:tcPr>
          <w:p>
            <w:pPr>
              <w:pStyle w:val="TableText"/>
            </w:pPr>
            <w:r>
              <w:t xml:space="preserve">€/kWp/anno</w:t>
            </w:r>
          </w:p>
        </w:tc>
        <w:tc>
          <w:tcPr>
            <w:tcW w:w="5619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</w:p>
        </w:tc>
      </w:tr>
      <w:tr>
        <w:tc>
          <w:tcPr>
            <w:tcW w:w="2494" w:type="dxa"/>
          </w:tcPr>
          <w:p>
            <w:pPr>
              <w:pStyle w:val="TableText"/>
            </w:pPr>
            <w:r>
              <w:t xml:space="preserve">Sostituzione inverter di stringa (una volta, anni 12–15)</w:t>
            </w:r>
          </w:p>
        </w:tc>
        <w:tc>
          <w:tcPr>
            <w:tcW w:w="356" w:type="dxa"/>
          </w:tcPr>
          <w:p>
            <w:pPr>
              <w:pStyle w:val="TableText"/>
            </w:pPr>
            <w:r>
              <w:t xml:space="preserve">0,03</w:t>
            </w:r>
          </w:p>
        </w:tc>
        <w:tc>
          <w:tcPr>
            <w:tcW w:w="236" w:type="dxa"/>
          </w:tcPr>
          <w:p>
            <w:pPr>
              <w:pStyle w:val="TableText"/>
            </w:pPr>
            <w:r>
              <w:t xml:space="preserve">0,04</w:t>
            </w:r>
          </w:p>
        </w:tc>
        <w:tc>
          <w:tcPr>
            <w:tcW w:w="411" w:type="dxa"/>
          </w:tcPr>
          <w:p>
            <w:pPr>
              <w:pStyle w:val="TableText"/>
            </w:pPr>
            <w:r>
              <w:t xml:space="preserve">0,06</w:t>
            </w:r>
          </w:p>
        </w:tc>
        <w:tc>
          <w:tcPr>
            <w:tcW w:w="521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5619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 = prezzo hardware [5] + manodopera e logistica. In alternativa un fondo di 1–2 €/kWp/anno</w:t>
            </w:r>
          </w:p>
        </w:tc>
      </w:tr>
      <w:tr>
        <w:tc>
          <w:tcPr>
            <w:tcW w:w="2494" w:type="dxa"/>
          </w:tcPr>
          <w:p>
            <w:pPr>
              <w:pStyle w:val="TableText"/>
            </w:pPr>
            <w:r>
              <w:t xml:space="preserve">Assicurazione all-risk + RCT + mancato guadagno (FV)</w:t>
            </w:r>
          </w:p>
        </w:tc>
        <w:tc>
          <w:tcPr>
            <w:tcW w:w="356" w:type="dxa"/>
          </w:tcPr>
          <w:p>
            <w:pPr>
              <w:pStyle w:val="TableText"/>
            </w:pPr>
            <w:r>
              <w:t xml:space="preserve">0,20</w:t>
            </w:r>
          </w:p>
        </w:tc>
        <w:tc>
          <w:tcPr>
            <w:tcW w:w="236" w:type="dxa"/>
          </w:tcPr>
          <w:p>
            <w:pPr>
              <w:pStyle w:val="TableText"/>
            </w:pPr>
            <w:r>
              <w:t xml:space="preserve">0,30</w:t>
            </w:r>
          </w:p>
        </w:tc>
        <w:tc>
          <w:tcPr>
            <w:tcW w:w="411" w:type="dxa"/>
          </w:tcPr>
          <w:p>
            <w:pPr>
              <w:pStyle w:val="TableText"/>
            </w:pPr>
            <w:r>
              <w:t xml:space="preserve">0,50</w:t>
            </w:r>
          </w:p>
        </w:tc>
        <w:tc>
          <w:tcPr>
            <w:tcW w:w="521" w:type="dxa"/>
          </w:tcPr>
          <w:p>
            <w:pPr>
              <w:pStyle w:val="TableText"/>
            </w:pPr>
            <w:r>
              <w:t xml:space="preserve">% CAPEX/anno</w:t>
            </w:r>
          </w:p>
        </w:tc>
        <w:tc>
          <w:tcPr>
            <w:tcW w:w="5619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: nessuna fonte con tasso pubblico [28]</w:t>
            </w:r>
          </w:p>
        </w:tc>
      </w:tr>
      <w:tr>
        <w:tc>
          <w:tcPr>
            <w:tcW w:w="2494" w:type="dxa"/>
          </w:tcPr>
          <w:p>
            <w:pPr>
              <w:pStyle w:val="TableText"/>
            </w:pPr>
            <w:r>
              <w:t xml:space="preserve">Security/vigilanza (solo a terra)</w:t>
            </w:r>
          </w:p>
        </w:tc>
        <w:tc>
          <w:tcPr>
            <w:tcW w:w="356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236" w:type="dxa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411" w:type="dxa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521" w:type="dxa"/>
          </w:tcPr>
          <w:p>
            <w:pPr>
              <w:pStyle w:val="TableText"/>
            </w:pPr>
            <w:r>
              <w:t xml:space="preserve">€/kWp/anno</w:t>
            </w:r>
          </w:p>
        </w:tc>
        <w:tc>
          <w:tcPr>
            <w:tcW w:w="5619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 (vigilanza su allarme e manutenzione TVCC)</w:t>
            </w:r>
          </w:p>
        </w:tc>
      </w:tr>
      <w:tr>
        <w:tc>
          <w:tcPr>
            <w:tcW w:w="2494" w:type="dxa"/>
          </w:tcPr>
          <w:p>
            <w:pPr>
              <w:pStyle w:val="TableText"/>
            </w:pPr>
            <w:r>
              <w:t xml:space="preserve">IMU impianti a terra (categoria D/1, rendita su suolo e opere, esclusi moduli e inverter)</w:t>
            </w:r>
          </w:p>
        </w:tc>
        <w:tc>
          <w:tcPr>
            <w:tcW w:w="356" w:type="dxa"/>
          </w:tcPr>
          <w:p>
            <w:pPr>
              <w:pStyle w:val="TableText"/>
            </w:pPr>
            <w:r>
              <w:t xml:space="preserve">0,5</w:t>
            </w:r>
          </w:p>
        </w:tc>
        <w:tc>
          <w:tcPr>
            <w:tcW w:w="236" w:type="dxa"/>
          </w:tcPr>
          <w:p>
            <w:pPr>
              <w:pStyle w:val="TableText"/>
            </w:pPr>
            <w:r>
              <w:t xml:space="preserve">1,5</w:t>
            </w:r>
          </w:p>
        </w:tc>
        <w:tc>
          <w:tcPr>
            <w:tcW w:w="411" w:type="dxa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521" w:type="dxa"/>
          </w:tcPr>
          <w:p>
            <w:pPr>
              <w:pStyle w:val="TableText"/>
            </w:pPr>
            <w:r>
              <w:t xml:space="preserve">€/kWp/anno</w:t>
            </w:r>
          </w:p>
        </w:tc>
        <w:tc>
          <w:tcPr>
            <w:tcW w:w="5619" w:type="dxa"/>
          </w:tcPr>
          <w:p>
            <w:pPr>
              <w:pStyle w:val="TableText"/>
            </w:pPr>
            <w:r>
              <w:t xml:space="preserve">Regola: circ. AdE 2/E/2016 e 36/E/2013, IMU = rendita × 1,05 × 65 × aliquota (fino a 1,06%) [29]. Il valore in €/kWp è </w:t>
            </w:r>
            <w:r>
              <w:rPr>
                <w:b/>
              </w:rPr>
              <w:t xml:space="preserve">[stima]</w:t>
            </w:r>
          </w:p>
        </w:tc>
      </w:tr>
      <w:tr>
        <w:tc>
          <w:tcPr>
            <w:tcW w:w="2494" w:type="dxa"/>
          </w:tcPr>
          <w:p>
            <w:pPr>
              <w:pStyle w:val="TableText"/>
            </w:pPr>
            <w:r>
              <w:t xml:space="preserve">IMU FV su tetto in autoconsumo</w:t>
            </w:r>
          </w:p>
        </w:tc>
        <w:tc>
          <w:tcPr>
            <w:tcW w:w="356" w:type="dxa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236" w:type="dxa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411" w:type="dxa"/>
          </w:tcPr>
          <w:p>
            <w:pPr>
              <w:pStyle w:val="TableText"/>
            </w:pPr>
            <w:r>
              <w:t xml:space="preserve">0,5</w:t>
            </w:r>
          </w:p>
        </w:tc>
        <w:tc>
          <w:tcPr>
            <w:tcW w:w="521" w:type="dxa"/>
          </w:tcPr>
          <w:p>
            <w:pPr>
              <w:pStyle w:val="TableText"/>
            </w:pPr>
            <w:r>
              <w:t xml:space="preserve">€/kWp/anno</w:t>
            </w:r>
          </w:p>
        </w:tc>
        <w:tc>
          <w:tcPr>
            <w:tcW w:w="5619" w:type="dxa"/>
          </w:tcPr>
          <w:p>
            <w:pPr>
              <w:pStyle w:val="TableText"/>
            </w:pPr>
            <w:r>
              <w:t xml:space="preserve">[29] CGT Milano 2026: pertinenza senza rendita autonoma (se il valore cresce meno del 15%)</w:t>
            </w:r>
          </w:p>
        </w:tc>
      </w:tr>
      <w:tr>
        <w:tc>
          <w:tcPr>
            <w:tcW w:w="2494" w:type="dxa"/>
          </w:tcPr>
          <w:p>
            <w:pPr>
              <w:pStyle w:val="TableText"/>
            </w:pPr>
            <w:r>
              <w:t xml:space="preserve">Affitto o diritto di superficie (terreno)</w:t>
            </w:r>
          </w:p>
        </w:tc>
        <w:tc>
          <w:tcPr>
            <w:tcW w:w="356" w:type="dxa"/>
          </w:tcPr>
          <w:p>
            <w:pPr>
              <w:pStyle w:val="TableText"/>
            </w:pPr>
            <w:r>
              <w:t xml:space="preserve">2.000</w:t>
            </w:r>
          </w:p>
        </w:tc>
        <w:tc>
          <w:tcPr>
            <w:tcW w:w="236" w:type="dxa"/>
          </w:tcPr>
          <w:p>
            <w:pPr>
              <w:pStyle w:val="TableText"/>
            </w:pPr>
            <w:r>
              <w:t xml:space="preserve">3.000</w:t>
            </w:r>
          </w:p>
        </w:tc>
        <w:tc>
          <w:tcPr>
            <w:tcW w:w="411" w:type="dxa"/>
          </w:tcPr>
          <w:p>
            <w:pPr>
              <w:pStyle w:val="TableText"/>
            </w:pPr>
            <w:r>
              <w:t xml:space="preserve">4.000</w:t>
            </w:r>
          </w:p>
        </w:tc>
        <w:tc>
          <w:tcPr>
            <w:tcW w:w="521" w:type="dxa"/>
          </w:tcPr>
          <w:p>
            <w:pPr>
              <w:pStyle w:val="TableText"/>
            </w:pPr>
            <w:r>
              <w:t xml:space="preserve">€/ha/anno</w:t>
            </w:r>
          </w:p>
        </w:tc>
        <w:tc>
          <w:tcPr>
            <w:tcW w:w="5619" w:type="dxa"/>
          </w:tcPr>
          <w:p>
            <w:pPr>
              <w:pStyle w:val="TableText"/>
            </w:pPr>
            <w:r>
              <w:t xml:space="preserve">[30] Meteoweb 2023: 2.500–3.500, fino a 4.000 in Pianura Padana; solareindustriale: 2.000–3.500. Attenzione al DL 63/2024 sui terreni agricoli [30]</w:t>
            </w:r>
          </w:p>
        </w:tc>
      </w:tr>
      <w:tr>
        <w:tc>
          <w:tcPr>
            <w:tcW w:w="2494" w:type="dxa"/>
          </w:tcPr>
          <w:p>
            <w:pPr>
              <w:pStyle w:val="TableText"/>
            </w:pPr>
            <w:r>
              <w:t xml:space="preserve">Occupazione di suolo</w:t>
            </w:r>
          </w:p>
        </w:tc>
        <w:tc>
          <w:tcPr>
            <w:tcW w:w="356" w:type="dxa"/>
          </w:tcPr>
          <w:p>
            <w:pPr>
              <w:pStyle w:val="TableText"/>
            </w:pPr>
            <w:r>
              <w:t xml:space="preserve">1,3 (fisso)</w:t>
            </w:r>
          </w:p>
        </w:tc>
        <w:tc>
          <w:tcPr>
            <w:tcW w:w="236" w:type="dxa"/>
          </w:tcPr>
          <w:p>
            <w:pPr>
              <w:pStyle w:val="TableText"/>
            </w:pPr>
            <w:r>
              <w:t xml:space="preserve">1,5</w:t>
            </w:r>
          </w:p>
        </w:tc>
        <w:tc>
          <w:tcPr>
            <w:tcW w:w="411" w:type="dxa"/>
          </w:tcPr>
          <w:p>
            <w:pPr>
              <w:pStyle w:val="TableText"/>
            </w:pPr>
            <w:r>
              <w:t xml:space="preserve">2,0 (tracker)</w:t>
            </w:r>
          </w:p>
        </w:tc>
        <w:tc>
          <w:tcPr>
            <w:tcW w:w="521" w:type="dxa"/>
          </w:tcPr>
          <w:p>
            <w:pPr>
              <w:pStyle w:val="TableText"/>
            </w:pPr>
            <w:r>
              <w:t xml:space="preserve">ha/MWp</w:t>
            </w:r>
          </w:p>
        </w:tc>
        <w:tc>
          <w:tcPr>
            <w:tcW w:w="5619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</w:p>
        </w:tc>
      </w:tr>
      <w:tr>
        <w:tc>
          <w:tcPr>
            <w:tcW w:w="2494" w:type="dxa"/>
          </w:tcPr>
          <w:p>
            <w:pPr>
              <w:pStyle w:val="TableText"/>
            </w:pPr>
            <w:r>
              <w:t xml:space="preserve">O&amp;M BESS (contratto LTSA, monitoraggio, HVAC, antincendio)</w:t>
            </w:r>
          </w:p>
        </w:tc>
        <w:tc>
          <w:tcPr>
            <w:tcW w:w="356" w:type="dxa"/>
          </w:tcPr>
          <w:p>
            <w:pPr>
              <w:pStyle w:val="TableText"/>
            </w:pPr>
            <w:r>
              <w:t xml:space="preserve">0,5</w:t>
            </w:r>
          </w:p>
        </w:tc>
        <w:tc>
          <w:tcPr>
            <w:tcW w:w="236" w:type="dxa"/>
          </w:tcPr>
          <w:p>
            <w:pPr>
              <w:pStyle w:val="TableText"/>
            </w:pPr>
            <w:r>
              <w:t xml:space="preserve">1,5</w:t>
            </w:r>
          </w:p>
        </w:tc>
        <w:tc>
          <w:tcPr>
            <w:tcW w:w="411" w:type="dxa"/>
          </w:tcPr>
          <w:p>
            <w:pPr>
              <w:pStyle w:val="TableText"/>
            </w:pPr>
            <w:r>
              <w:t xml:space="preserve">2,5</w:t>
            </w:r>
          </w:p>
        </w:tc>
        <w:tc>
          <w:tcPr>
            <w:tcW w:w="521" w:type="dxa"/>
          </w:tcPr>
          <w:p>
            <w:pPr>
              <w:pStyle w:val="TableText"/>
            </w:pPr>
            <w:r>
              <w:t xml:space="preserve">% CAPEX/anno</w:t>
            </w:r>
          </w:p>
        </w:tc>
        <w:tc>
          <w:tcPr>
            <w:tcW w:w="5619" w:type="dxa"/>
          </w:tcPr>
          <w:p>
            <w:pPr>
              <w:pStyle w:val="TableText"/>
            </w:pPr>
            <w:r>
              <w:t xml:space="preserve">[23] contratto O&amp;M 0,5–1,5% CAPEX; [26] NREL ATB 2024: FOM 2,5% CAPEX; consultazione ARERA per MACSE: costi fissi ≈ 2% CAPEX [19c]</w:t>
            </w:r>
          </w:p>
        </w:tc>
      </w:tr>
      <w:tr>
        <w:tc>
          <w:tcPr>
            <w:tcW w:w="2494" w:type="dxa"/>
          </w:tcPr>
          <w:p>
            <w:pPr>
              <w:pStyle w:val="TableText"/>
            </w:pPr>
            <w:r>
              <w:t xml:space="preserve">O&amp;M BESS in €/kWh</w:t>
            </w:r>
          </w:p>
        </w:tc>
        <w:tc>
          <w:tcPr>
            <w:tcW w:w="356" w:type="dxa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236" w:type="dxa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411" w:type="dxa"/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521" w:type="dxa"/>
          </w:tcPr>
          <w:p>
            <w:pPr>
              <w:pStyle w:val="TableText"/>
            </w:pPr>
            <w:r>
              <w:t xml:space="preserve">€/kWh/anno</w:t>
            </w:r>
          </w:p>
        </w:tc>
        <w:tc>
          <w:tcPr>
            <w:tcW w:w="5619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 = % × CAPEX tipico 210–260 €/kWh</w:t>
            </w:r>
          </w:p>
        </w:tc>
      </w:tr>
      <w:tr>
        <w:tc>
          <w:tcPr>
            <w:tcW w:w="2494" w:type="dxa"/>
          </w:tcPr>
          <w:p>
            <w:pPr>
              <w:pStyle w:val="TableText"/>
            </w:pPr>
            <w:r>
              <w:t xml:space="preserve">Assicurazione BESS</w:t>
            </w:r>
          </w:p>
        </w:tc>
        <w:tc>
          <w:tcPr>
            <w:tcW w:w="356" w:type="dxa"/>
          </w:tcPr>
          <w:p>
            <w:pPr>
              <w:pStyle w:val="TableText"/>
            </w:pPr>
            <w:r>
              <w:t xml:space="preserve">0,3</w:t>
            </w:r>
          </w:p>
        </w:tc>
        <w:tc>
          <w:tcPr>
            <w:tcW w:w="236" w:type="dxa"/>
          </w:tcPr>
          <w:p>
            <w:pPr>
              <w:pStyle w:val="TableText"/>
            </w:pPr>
            <w:r>
              <w:t xml:space="preserve">0,4</w:t>
            </w:r>
          </w:p>
        </w:tc>
        <w:tc>
          <w:tcPr>
            <w:tcW w:w="411" w:type="dxa"/>
          </w:tcPr>
          <w:p>
            <w:pPr>
              <w:pStyle w:val="TableText"/>
            </w:pPr>
            <w:r>
              <w:t xml:space="preserve">0,6</w:t>
            </w:r>
          </w:p>
        </w:tc>
        <w:tc>
          <w:tcPr>
            <w:tcW w:w="521" w:type="dxa"/>
          </w:tcPr>
          <w:p>
            <w:pPr>
              <w:pStyle w:val="TableText"/>
            </w:pPr>
            <w:r>
              <w:t xml:space="preserve">% CAPEX/anno</w:t>
            </w:r>
          </w:p>
        </w:tc>
        <w:tc>
          <w:tcPr>
            <w:tcW w:w="5619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 (premio superiore al FV per il rischio incendio)</w:t>
            </w:r>
          </w:p>
        </w:tc>
      </w:tr>
      <w:tr>
        <w:tc>
          <w:tcPr>
            <w:tcW w:w="2494" w:type="dxa"/>
          </w:tcPr>
          <w:p>
            <w:pPr>
              <w:pStyle w:val="TableText"/>
            </w:pPr>
            <w:r>
              <w:t xml:space="preserve">Costi variabili BESS</w:t>
            </w:r>
          </w:p>
        </w:tc>
        <w:tc>
          <w:tcPr>
            <w:tcW w:w="356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236" w:type="dxa"/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411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521" w:type="dxa"/>
          </w:tcPr>
          <w:p>
            <w:pPr>
              <w:pStyle w:val="TableText"/>
            </w:pPr>
            <w:r>
              <w:t xml:space="preserve">US$/MWh scaricato</w:t>
            </w:r>
          </w:p>
        </w:tc>
        <w:tc>
          <w:tcPr>
            <w:tcW w:w="5619" w:type="dxa"/>
          </w:tcPr>
          <w:p>
            <w:pPr>
              <w:pStyle w:val="TableText"/>
            </w:pPr>
            <w:r>
              <w:t xml:space="preserve">[31] NYISO/BMcD: VOM 6,47 $/MWh (USA 2024), solo come riferimento</w:t>
            </w:r>
          </w:p>
        </w:tc>
      </w:tr>
    </w:tbl>
    <w:p>
      <w:pPr>
        <w:pStyle w:val="Normal"/>
        <w:spacing w:after="60"/>
      </w:pPr>
    </w:p>
    <w:p>
      <w:pPr>
        <w:pStyle w:val="Normal"/>
        <w:pBdr>
          <w:bottom w:val="single" w:sz="6" w:space="1" w:color="A0A8AE"/>
        </w:pBdr>
      </w:pPr>
    </w:p>
    <w:p>
      <w:pPr>
        <w:pStyle w:val="Heading1"/>
      </w:pPr>
      <w:r>
        <w:t xml:space="preserve">4) Prestazioni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2710"/>
        <w:gridCol w:w="297"/>
        <w:gridCol w:w="319"/>
        <w:gridCol w:w="297"/>
        <w:gridCol w:w="520"/>
        <w:gridCol w:w="5495"/>
      </w:tblGrid>
      <w:tr>
        <w:trPr>
          <w:tblHeader/>
        </w:trPr>
        <w:tc>
          <w:tcPr>
            <w:tcW w:w="2710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Voce</w:t>
            </w:r>
          </w:p>
        </w:tc>
        <w:tc>
          <w:tcPr>
            <w:tcW w:w="297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Min</w:t>
            </w:r>
          </w:p>
        </w:tc>
        <w:tc>
          <w:tcPr>
            <w:tcW w:w="319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Tipico</w:t>
            </w:r>
          </w:p>
        </w:tc>
        <w:tc>
          <w:tcPr>
            <w:tcW w:w="297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Max</w:t>
            </w:r>
          </w:p>
        </w:tc>
        <w:tc>
          <w:tcPr>
            <w:tcW w:w="520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Unità</w:t>
            </w:r>
          </w:p>
        </w:tc>
        <w:tc>
          <w:tcPr>
            <w:tcW w:w="5495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Fonte / nota</w:t>
            </w:r>
          </w:p>
        </w:tc>
      </w:tr>
      <w:tr>
        <w:tc>
          <w:tcPr>
            <w:tcW w:w="2710" w:type="dxa"/>
          </w:tcPr>
          <w:p>
            <w:pPr>
              <w:pStyle w:val="TableText"/>
            </w:pPr>
            <w:r>
              <w:t xml:space="preserve">Degradazione TOPCon nel primo anno (garanzia)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0,8</w:t>
            </w:r>
          </w:p>
        </w:tc>
        <w:tc>
          <w:tcPr>
            <w:tcW w:w="319" w:type="dxa"/>
          </w:tcPr>
          <w:p>
            <w:pPr>
              <w:pStyle w:val="TableText"/>
            </w:pPr>
            <w:r>
              <w:t xml:space="preserve">1,0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1,0</w:t>
            </w:r>
          </w:p>
        </w:tc>
        <w:tc>
          <w:tcPr>
            <w:tcW w:w="520" w:type="dxa"/>
          </w:tcPr>
          <w:p>
            <w:pPr>
              <w:pStyle w:val="TableText"/>
            </w:pPr>
            <w:r>
              <w:t xml:space="preserve">%</w:t>
            </w:r>
          </w:p>
        </w:tc>
        <w:tc>
          <w:tcPr>
            <w:tcW w:w="5495" w:type="dxa"/>
          </w:tcPr>
          <w:p>
            <w:pPr>
              <w:pStyle w:val="TableText"/>
            </w:pPr>
            <w:r>
              <w:t xml:space="preserve">[32] Jinko Tiger Neo 3.0, Phono Draco, Qn-Solar, Luxen: ≤1% il primo anno</w:t>
            </w:r>
          </w:p>
        </w:tc>
      </w:tr>
      <w:tr>
        <w:tc>
          <w:tcPr>
            <w:tcW w:w="2710" w:type="dxa"/>
          </w:tcPr>
          <w:p>
            <w:pPr>
              <w:pStyle w:val="TableText"/>
            </w:pPr>
            <w:r>
              <w:t xml:space="preserve">Degradazione TOPCon, anni 2–30 (garanzia lineare)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0,35</w:t>
            </w:r>
          </w:p>
        </w:tc>
        <w:tc>
          <w:tcPr>
            <w:tcW w:w="319" w:type="dxa"/>
          </w:tcPr>
          <w:p>
            <w:pPr>
              <w:pStyle w:val="TableText"/>
            </w:pPr>
            <w:r>
              <w:t xml:space="preserve">0,40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0,40</w:t>
            </w:r>
          </w:p>
        </w:tc>
        <w:tc>
          <w:tcPr>
            <w:tcW w:w="520" w:type="dxa"/>
          </w:tcPr>
          <w:p>
            <w:pPr>
              <w:pStyle w:val="TableText"/>
            </w:pPr>
            <w:r>
              <w:t xml:space="preserve">%/anno</w:t>
            </w:r>
          </w:p>
        </w:tc>
        <w:tc>
          <w:tcPr>
            <w:tcW w:w="5495" w:type="dxa"/>
          </w:tcPr>
          <w:p>
            <w:pPr>
              <w:pStyle w:val="TableText"/>
            </w:pPr>
            <w:r>
              <w:t xml:space="preserve">[32] 0,4%/anno; 87,4% della potenza all'anno 30</w:t>
            </w:r>
          </w:p>
        </w:tc>
      </w:tr>
      <w:tr>
        <w:tc>
          <w:tcPr>
            <w:tcW w:w="2710" w:type="dxa"/>
          </w:tcPr>
          <w:p>
            <w:pPr>
              <w:pStyle w:val="TableText"/>
            </w:pPr>
            <w:r>
              <w:t xml:space="preserve">Degradazione HJT (garanzia tipica)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0,25</w:t>
            </w:r>
          </w:p>
        </w:tc>
        <w:tc>
          <w:tcPr>
            <w:tcW w:w="319" w:type="dxa"/>
          </w:tcPr>
          <w:p>
            <w:pPr>
              <w:pStyle w:val="TableText"/>
            </w:pPr>
            <w:r>
              <w:t xml:space="preserve">0,35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0,40</w:t>
            </w:r>
          </w:p>
        </w:tc>
        <w:tc>
          <w:tcPr>
            <w:tcW w:w="520" w:type="dxa"/>
          </w:tcPr>
          <w:p>
            <w:pPr>
              <w:pStyle w:val="TableText"/>
            </w:pPr>
            <w:r>
              <w:t xml:space="preserve">%/anno</w:t>
            </w:r>
          </w:p>
        </w:tc>
        <w:tc>
          <w:tcPr>
            <w:tcW w:w="5495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 (datasheet HJT tipici 1%/0,375%)</w:t>
            </w:r>
          </w:p>
        </w:tc>
      </w:tr>
      <w:tr>
        <w:tc>
          <w:tcPr>
            <w:tcW w:w="2710" w:type="dxa"/>
          </w:tcPr>
          <w:p>
            <w:pPr>
              <w:pStyle w:val="TableText"/>
            </w:pPr>
            <w:r>
              <w:t xml:space="preserve">RTE AC-AC BESS LFP (POI, ausiliari inclusi)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319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90</w:t>
            </w:r>
          </w:p>
        </w:tc>
        <w:tc>
          <w:tcPr>
            <w:tcW w:w="520" w:type="dxa"/>
          </w:tcPr>
          <w:p>
            <w:pPr>
              <w:pStyle w:val="TableText"/>
            </w:pPr>
            <w:r>
              <w:t xml:space="preserve">%</w:t>
            </w:r>
          </w:p>
        </w:tc>
        <w:tc>
          <w:tcPr>
            <w:tcW w:w="5495" w:type="dxa"/>
          </w:tcPr>
          <w:p>
            <w:pPr>
              <w:pStyle w:val="TableText"/>
            </w:pPr>
            <w:r>
              <w:t xml:space="preserve">[26] NREL ATB 2025: 85%; [19b] ARERA: 80–90%; [35] container 5 MWh: 88% dichiarato (probabilmente lato DC)</w:t>
            </w:r>
          </w:p>
        </w:tc>
      </w:tr>
      <w:tr>
        <w:tc>
          <w:tcPr>
            <w:tcW w:w="2710" w:type="dxa"/>
          </w:tcPr>
          <w:p>
            <w:pPr>
              <w:pStyle w:val="TableText"/>
            </w:pPr>
            <w:r>
              <w:t xml:space="preserve">Cicli di vita della cella (80% SoH, 0,3C, 25 °C, DoD 100%)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8.000</w:t>
            </w:r>
          </w:p>
        </w:tc>
        <w:tc>
          <w:tcPr>
            <w:tcW w:w="319" w:type="dxa"/>
          </w:tcPr>
          <w:p>
            <w:pPr>
              <w:pStyle w:val="TableText"/>
            </w:pPr>
            <w:r>
              <w:t xml:space="preserve">10.000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12.000</w:t>
            </w:r>
          </w:p>
        </w:tc>
        <w:tc>
          <w:tcPr>
            <w:tcW w:w="520" w:type="dxa"/>
          </w:tcPr>
          <w:p>
            <w:pPr>
              <w:pStyle w:val="TableText"/>
            </w:pPr>
            <w:r>
              <w:t xml:space="preserve">cicli</w:t>
            </w:r>
          </w:p>
        </w:tc>
        <w:tc>
          <w:tcPr>
            <w:tcW w:w="5495" w:type="dxa"/>
          </w:tcPr>
          <w:p>
            <w:pPr>
              <w:pStyle w:val="TableText"/>
            </w:pPr>
            <w:r>
              <w:t xml:space="preserve">[35] evreporter: 10.000 per la cella 314 Ah</w:t>
            </w:r>
          </w:p>
        </w:tc>
      </w:tr>
      <w:tr>
        <w:tc>
          <w:tcPr>
            <w:tcW w:w="2710" w:type="dxa"/>
          </w:tcPr>
          <w:p>
            <w:pPr>
              <w:pStyle w:val="TableText"/>
            </w:pPr>
            <w:r>
              <w:t xml:space="preserve">Cicli a livello di sistema (DoD 90%)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6.000</w:t>
            </w:r>
          </w:p>
        </w:tc>
        <w:tc>
          <w:tcPr>
            <w:tcW w:w="319" w:type="dxa"/>
          </w:tcPr>
          <w:p>
            <w:pPr>
              <w:pStyle w:val="TableText"/>
            </w:pPr>
            <w:r>
              <w:t xml:space="preserve">8.000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10.000</w:t>
            </w:r>
          </w:p>
        </w:tc>
        <w:tc>
          <w:tcPr>
            <w:tcW w:w="520" w:type="dxa"/>
          </w:tcPr>
          <w:p>
            <w:pPr>
              <w:pStyle w:val="TableText"/>
            </w:pPr>
            <w:r>
              <w:t xml:space="preserve">cicli</w:t>
            </w:r>
          </w:p>
        </w:tc>
        <w:tc>
          <w:tcPr>
            <w:tcW w:w="5495" w:type="dxa"/>
          </w:tcPr>
          <w:p>
            <w:pPr>
              <w:pStyle w:val="TableText"/>
            </w:pPr>
            <w:r>
              <w:t xml:space="preserve">[35] 8.000 cicli a livello BESS, 20 anni di vita calendariale</w:t>
            </w:r>
          </w:p>
        </w:tc>
      </w:tr>
      <w:tr>
        <w:tc>
          <w:tcPr>
            <w:tcW w:w="2710" w:type="dxa"/>
          </w:tcPr>
          <w:p>
            <w:pPr>
              <w:pStyle w:val="TableText"/>
            </w:pPr>
            <w:r>
              <w:t xml:space="preserve">Vita utile BESS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319" w:type="dxa"/>
          </w:tcPr>
          <w:p>
            <w:pPr>
              <w:pStyle w:val="TableText"/>
            </w:pPr>
            <w:r>
              <w:t xml:space="preserve">15–20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520" w:type="dxa"/>
          </w:tcPr>
          <w:p>
            <w:pPr>
              <w:pStyle w:val="TableText"/>
            </w:pPr>
            <w:r>
              <w:t xml:space="preserve">anni</w:t>
            </w:r>
          </w:p>
        </w:tc>
        <w:tc>
          <w:tcPr>
            <w:tcW w:w="5495" w:type="dxa"/>
          </w:tcPr>
          <w:p>
            <w:pPr>
              <w:pStyle w:val="TableText"/>
            </w:pPr>
            <w:r>
              <w:t xml:space="preserve">[19b][26]</w:t>
            </w:r>
          </w:p>
        </w:tc>
      </w:tr>
      <w:tr>
        <w:tc>
          <w:tcPr>
            <w:tcW w:w="2710" w:type="dxa"/>
          </w:tcPr>
          <w:p>
            <w:pPr>
              <w:pStyle w:val="TableText"/>
            </w:pPr>
            <w:r>
              <w:t xml:space="preserve">Degradazione capacità BESS (≈1 ciclo/giorno)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1,5</w:t>
            </w:r>
          </w:p>
        </w:tc>
        <w:tc>
          <w:tcPr>
            <w:tcW w:w="319" w:type="dxa"/>
          </w:tcPr>
          <w:p>
            <w:pPr>
              <w:pStyle w:val="TableText"/>
            </w:pPr>
            <w:r>
              <w:t xml:space="preserve">2,0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3,0</w:t>
            </w:r>
          </w:p>
        </w:tc>
        <w:tc>
          <w:tcPr>
            <w:tcW w:w="520" w:type="dxa"/>
          </w:tcPr>
          <w:p>
            <w:pPr>
              <w:pStyle w:val="TableText"/>
            </w:pPr>
            <w:r>
              <w:t xml:space="preserve">%/anno</w:t>
            </w:r>
          </w:p>
        </w:tc>
        <w:tc>
          <w:tcPr>
            <w:tcW w:w="5495" w:type="dxa"/>
          </w:tcPr>
          <w:p>
            <w:pPr>
              <w:pStyle w:val="TableText"/>
            </w:pPr>
            <w:r>
              <w:t xml:space="preserve">[23] invecchiamento calendariale LFP 1,5–2,5%/anno; altre fonti 2–3%/anno</w:t>
            </w:r>
          </w:p>
        </w:tc>
      </w:tr>
      <w:tr>
        <w:tc>
          <w:tcPr>
            <w:tcW w:w="2710" w:type="dxa"/>
          </w:tcPr>
          <w:p>
            <w:pPr>
              <w:pStyle w:val="TableText"/>
            </w:pPr>
            <w:r>
              <w:t xml:space="preserve">Degradazione per ciclo (equivalente)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0,0020</w:t>
            </w:r>
          </w:p>
        </w:tc>
        <w:tc>
          <w:tcPr>
            <w:tcW w:w="319" w:type="dxa"/>
          </w:tcPr>
          <w:p>
            <w:pPr>
              <w:pStyle w:val="TableText"/>
            </w:pPr>
            <w:r>
              <w:t xml:space="preserve">0,0025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0,0035</w:t>
            </w:r>
          </w:p>
        </w:tc>
        <w:tc>
          <w:tcPr>
            <w:tcW w:w="520" w:type="dxa"/>
          </w:tcPr>
          <w:p>
            <w:pPr>
              <w:pStyle w:val="TableText"/>
            </w:pPr>
            <w:r>
              <w:t xml:space="preserve">%/ciclo</w:t>
            </w:r>
          </w:p>
        </w:tc>
        <w:tc>
          <w:tcPr>
            <w:tcW w:w="5495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 = 20% di perdita su 8.000 cicli [35] (accelera nell'ultima parte della vita)</w:t>
            </w:r>
          </w:p>
        </w:tc>
      </w:tr>
      <w:tr>
        <w:tc>
          <w:tcPr>
            <w:tcW w:w="2710" w:type="dxa"/>
          </w:tcPr>
          <w:p>
            <w:pPr>
              <w:pStyle w:val="TableText"/>
            </w:pPr>
            <w:r>
              <w:t xml:space="preserve">Producibilità media nazionale del parco FV esistente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319" w:type="dxa"/>
          </w:tcPr>
          <w:p>
            <w:pPr>
              <w:pStyle w:val="TableText"/>
            </w:pPr>
            <w:r>
              <w:t xml:space="preserve">1.122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520" w:type="dxa"/>
          </w:tcPr>
          <w:p>
            <w:pPr>
              <w:pStyle w:val="TableText"/>
            </w:pPr>
            <w:r>
              <w:t xml:space="preserve">kWh/kW</w:t>
            </w:r>
          </w:p>
        </w:tc>
        <w:tc>
          <w:tcPr>
            <w:tcW w:w="5495" w:type="dxa"/>
          </w:tcPr>
          <w:p>
            <w:pPr>
              <w:pStyle w:val="TableText"/>
            </w:pPr>
            <w:r>
              <w:t xml:space="preserve">[36] dati ENEA/GSE a fine 2022 (include tetti non ottimali e impianti vecchi)</w:t>
            </w:r>
          </w:p>
        </w:tc>
      </w:tr>
      <w:tr>
        <w:tc>
          <w:tcPr>
            <w:tcW w:w="2710" w:type="dxa"/>
          </w:tcPr>
          <w:p>
            <w:pPr>
              <w:pStyle w:val="TableText"/>
            </w:pPr>
            <w:r>
              <w:t xml:space="preserve">Nord (Milano/Pianura Padana), fisso a inclinazione ottimale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1.150</w:t>
            </w:r>
          </w:p>
        </w:tc>
        <w:tc>
          <w:tcPr>
            <w:tcW w:w="319" w:type="dxa"/>
          </w:tcPr>
          <w:p>
            <w:pPr>
              <w:pStyle w:val="TableText"/>
            </w:pPr>
            <w:r>
              <w:t xml:space="preserve">1.250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1.350</w:t>
            </w:r>
          </w:p>
        </w:tc>
        <w:tc>
          <w:tcPr>
            <w:tcW w:w="520" w:type="dxa"/>
          </w:tcPr>
          <w:p>
            <w:pPr>
              <w:pStyle w:val="TableText"/>
            </w:pPr>
            <w:r>
              <w:t xml:space="preserve">kWh/kWp/anno</w:t>
            </w:r>
          </w:p>
        </w:tc>
        <w:tc>
          <w:tcPr>
            <w:tcW w:w="5495" w:type="dxa"/>
          </w:tcPr>
          <w:p>
            <w:pPr>
              <w:pStyle w:val="TableText"/>
            </w:pPr>
            <w:r>
              <w:rPr>
                <w:b/>
              </w:rPr>
              <w:t xml:space="preserve">[stima PVGIS]</w:t>
            </w:r>
            <w:r>
              <w:t xml:space="preserve">: API JRC non raggiungibile da questa sessione; valori attesi con PVGIS-SARAH3 e perdite al 14%. Da rieseguire su re.jrc.ec.europa.eu</w:t>
            </w:r>
          </w:p>
        </w:tc>
      </w:tr>
      <w:tr>
        <w:tc>
          <w:tcPr>
            <w:tcW w:w="2710" w:type="dxa"/>
          </w:tcPr>
          <w:p>
            <w:pPr>
              <w:pStyle w:val="TableText"/>
            </w:pPr>
            <w:r>
              <w:t xml:space="preserve">Nord, tracker monoassiale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1.320</w:t>
            </w:r>
          </w:p>
        </w:tc>
        <w:tc>
          <w:tcPr>
            <w:tcW w:w="319" w:type="dxa"/>
          </w:tcPr>
          <w:p>
            <w:pPr>
              <w:pStyle w:val="TableText"/>
            </w:pPr>
            <w:r>
              <w:t xml:space="preserve">1.450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1.580</w:t>
            </w:r>
          </w:p>
        </w:tc>
        <w:tc>
          <w:tcPr>
            <w:tcW w:w="520" w:type="dxa"/>
          </w:tcPr>
          <w:p>
            <w:pPr>
              <w:pStyle w:val="TableText"/>
            </w:pPr>
            <w:r>
              <w:t xml:space="preserve">kWh/kWp/anno</w:t>
            </w:r>
          </w:p>
        </w:tc>
        <w:tc>
          <w:tcPr>
            <w:tcW w:w="5495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 fisso × 1,15–1,18</w:t>
            </w:r>
          </w:p>
        </w:tc>
      </w:tr>
      <w:tr>
        <w:tc>
          <w:tcPr>
            <w:tcW w:w="2710" w:type="dxa"/>
          </w:tcPr>
          <w:p>
            <w:pPr>
              <w:pStyle w:val="TableText"/>
            </w:pPr>
            <w:r>
              <w:t xml:space="preserve">Centro (Roma/Lazio), fisso ottimale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1.380</w:t>
            </w:r>
          </w:p>
        </w:tc>
        <w:tc>
          <w:tcPr>
            <w:tcW w:w="319" w:type="dxa"/>
          </w:tcPr>
          <w:p>
            <w:pPr>
              <w:pStyle w:val="TableText"/>
            </w:pPr>
            <w:r>
              <w:t xml:space="preserve">1.480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1.570</w:t>
            </w:r>
          </w:p>
        </w:tc>
        <w:tc>
          <w:tcPr>
            <w:tcW w:w="520" w:type="dxa"/>
          </w:tcPr>
          <w:p>
            <w:pPr>
              <w:pStyle w:val="TableText"/>
            </w:pPr>
            <w:r>
              <w:t xml:space="preserve">kWh/kWp/anno</w:t>
            </w:r>
          </w:p>
        </w:tc>
        <w:tc>
          <w:tcPr>
            <w:tcW w:w="5495" w:type="dxa"/>
          </w:tcPr>
          <w:p>
            <w:pPr>
              <w:pStyle w:val="TableText"/>
            </w:pPr>
            <w:r>
              <w:t xml:space="preserve">Riscontro: PVsyst Roma, fisso 20°, 1.563 kWh/kWp, PR 84,8% (meteo SolarGIS) [36]</w:t>
            </w:r>
          </w:p>
        </w:tc>
      </w:tr>
      <w:tr>
        <w:tc>
          <w:tcPr>
            <w:tcW w:w="2710" w:type="dxa"/>
          </w:tcPr>
          <w:p>
            <w:pPr>
              <w:pStyle w:val="TableText"/>
            </w:pPr>
            <w:r>
              <w:t xml:space="preserve">Centro, tracker monoassiale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1.650</w:t>
            </w:r>
          </w:p>
        </w:tc>
        <w:tc>
          <w:tcPr>
            <w:tcW w:w="319" w:type="dxa"/>
          </w:tcPr>
          <w:p>
            <w:pPr>
              <w:pStyle w:val="TableText"/>
            </w:pPr>
            <w:r>
              <w:t xml:space="preserve">1.750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1.850</w:t>
            </w:r>
          </w:p>
        </w:tc>
        <w:tc>
          <w:tcPr>
            <w:tcW w:w="520" w:type="dxa"/>
          </w:tcPr>
          <w:p>
            <w:pPr>
              <w:pStyle w:val="TableText"/>
            </w:pPr>
            <w:r>
              <w:t xml:space="preserve">kWh/kWp/anno</w:t>
            </w:r>
          </w:p>
        </w:tc>
        <w:tc>
          <w:tcPr>
            <w:tcW w:w="5495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 fisso × 1,18–1,20</w:t>
            </w:r>
          </w:p>
        </w:tc>
      </w:tr>
      <w:tr>
        <w:tc>
          <w:tcPr>
            <w:tcW w:w="2710" w:type="dxa"/>
          </w:tcPr>
          <w:p>
            <w:pPr>
              <w:pStyle w:val="TableText"/>
            </w:pPr>
            <w:r>
              <w:t xml:space="preserve">Sud e isole (Puglia/Sicilia), fisso ottimale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1.494</w:t>
            </w:r>
          </w:p>
        </w:tc>
        <w:tc>
          <w:tcPr>
            <w:tcW w:w="319" w:type="dxa"/>
          </w:tcPr>
          <w:p>
            <w:pPr>
              <w:pStyle w:val="TableText"/>
            </w:pPr>
            <w:r>
              <w:t xml:space="preserve">1.600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1.700</w:t>
            </w:r>
          </w:p>
        </w:tc>
        <w:tc>
          <w:tcPr>
            <w:tcW w:w="520" w:type="dxa"/>
          </w:tcPr>
          <w:p>
            <w:pPr>
              <w:pStyle w:val="TableText"/>
            </w:pPr>
            <w:r>
              <w:t xml:space="preserve">kWh/kWp/anno</w:t>
            </w:r>
          </w:p>
        </w:tc>
        <w:tc>
          <w:tcPr>
            <w:tcW w:w="5495" w:type="dxa"/>
          </w:tcPr>
          <w:p>
            <w:pPr>
              <w:pStyle w:val="TableText"/>
            </w:pPr>
            <w:r>
              <w:t xml:space="preserve">PVsyst Molise 1.510; Fiumesanto (Sardegna) 1.494 [36][36b]</w:t>
            </w:r>
          </w:p>
        </w:tc>
      </w:tr>
      <w:tr>
        <w:tc>
          <w:tcPr>
            <w:tcW w:w="2710" w:type="dxa"/>
          </w:tcPr>
          <w:p>
            <w:pPr>
              <w:pStyle w:val="TableText"/>
            </w:pPr>
            <w:r>
              <w:t xml:space="preserve">Sud e isole, tracker monoassiale (bifacciale)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1.726</w:t>
            </w:r>
          </w:p>
        </w:tc>
        <w:tc>
          <w:tcPr>
            <w:tcW w:w="319" w:type="dxa"/>
          </w:tcPr>
          <w:p>
            <w:pPr>
              <w:pStyle w:val="TableText"/>
            </w:pPr>
            <w:r>
              <w:t xml:space="preserve">1.850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1.950</w:t>
            </w:r>
          </w:p>
        </w:tc>
        <w:tc>
          <w:tcPr>
            <w:tcW w:w="520" w:type="dxa"/>
          </w:tcPr>
          <w:p>
            <w:pPr>
              <w:pStyle w:val="TableText"/>
            </w:pPr>
            <w:r>
              <w:t xml:space="preserve">kWh/kWp/anno</w:t>
            </w:r>
          </w:p>
        </w:tc>
        <w:tc>
          <w:tcPr>
            <w:tcW w:w="5495" w:type="dxa"/>
          </w:tcPr>
          <w:p>
            <w:pPr>
              <w:pStyle w:val="TableText"/>
            </w:pPr>
            <w:r>
              <w:t xml:space="preserve">PVsyst Villafrati (PA) 1.726; Militello (CT) 1.824; Pedagaggi bifacciale 1.876 [36b]</w:t>
            </w:r>
          </w:p>
        </w:tc>
      </w:tr>
      <w:tr>
        <w:tc>
          <w:tcPr>
            <w:tcW w:w="2710" w:type="dxa"/>
          </w:tcPr>
          <w:p>
            <w:pPr>
              <w:pStyle w:val="TableText"/>
            </w:pPr>
            <w:r>
              <w:t xml:space="preserve">Guadagno del tracker sul fisso ottimale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319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30</w:t>
            </w:r>
          </w:p>
        </w:tc>
        <w:tc>
          <w:tcPr>
            <w:tcW w:w="520" w:type="dxa"/>
          </w:tcPr>
          <w:p>
            <w:pPr>
              <w:pStyle w:val="TableText"/>
            </w:pPr>
            <w:r>
              <w:t xml:space="preserve">%</w:t>
            </w:r>
          </w:p>
        </w:tc>
        <w:tc>
          <w:tcPr>
            <w:tcW w:w="5495" w:type="dxa"/>
          </w:tcPr>
          <w:p>
            <w:pPr>
              <w:pStyle w:val="TableText"/>
            </w:pPr>
            <w:r>
              <w:t xml:space="preserve">[36b] JRC: ≈ +30% nel Sud Europa (teorico); </w:t>
            </w:r>
            <w:r>
              <w:rPr>
                <w:b/>
              </w:rPr>
              <w:t xml:space="preserve">[stima]</w:t>
            </w:r>
            <w:r>
              <w:t xml:space="preserve"> +15–25% nei progetti reali</w:t>
            </w:r>
          </w:p>
        </w:tc>
      </w:tr>
      <w:tr>
        <w:tc>
          <w:tcPr>
            <w:tcW w:w="2710" w:type="dxa"/>
          </w:tcPr>
          <w:p>
            <w:pPr>
              <w:pStyle w:val="TableText"/>
            </w:pPr>
            <w:r>
              <w:t xml:space="preserve">Penalità per tetto piano con zavorre E-O 10° rispetto al fisso ottimale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−15</w:t>
            </w:r>
          </w:p>
        </w:tc>
        <w:tc>
          <w:tcPr>
            <w:tcW w:w="319" w:type="dxa"/>
          </w:tcPr>
          <w:p>
            <w:pPr>
              <w:pStyle w:val="TableText"/>
            </w:pPr>
            <w:r>
              <w:t xml:space="preserve">−10</w:t>
            </w:r>
          </w:p>
        </w:tc>
        <w:tc>
          <w:tcPr>
            <w:tcW w:w="297" w:type="dxa"/>
          </w:tcPr>
          <w:p>
            <w:pPr>
              <w:pStyle w:val="TableText"/>
            </w:pPr>
            <w:r>
              <w:t xml:space="preserve">−5</w:t>
            </w:r>
          </w:p>
        </w:tc>
        <w:tc>
          <w:tcPr>
            <w:tcW w:w="520" w:type="dxa"/>
          </w:tcPr>
          <w:p>
            <w:pPr>
              <w:pStyle w:val="TableText"/>
            </w:pPr>
            <w:r>
              <w:t xml:space="preserve">%</w:t>
            </w:r>
          </w:p>
        </w:tc>
        <w:tc>
          <w:tcPr>
            <w:tcW w:w="5495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; [36] tetto piano a Roma: 86,3% dell'irraggiamento rispetto ai 34° ottimali</w:t>
            </w:r>
          </w:p>
        </w:tc>
      </w:tr>
    </w:tbl>
    <w:p>
      <w:pPr>
        <w:pStyle w:val="Normal"/>
        <w:spacing w:after="60"/>
      </w:pPr>
    </w:p>
    <w:p>
      <w:pPr>
        <w:pStyle w:val="Normal"/>
        <w:pBdr>
          <w:bottom w:val="single" w:sz="6" w:space="1" w:color="A0A8AE"/>
        </w:pBdr>
      </w:pPr>
    </w:p>
    <w:p>
      <w:pPr>
        <w:pStyle w:val="Heading1"/>
      </w:pPr>
      <w:r>
        <w:t xml:space="preserve">5) Prezzi dell'energia in Italia</w:t>
      </w:r>
    </w:p>
    <w:p>
      <w:pPr>
        <w:pStyle w:val="Heading2"/>
      </w:pPr>
      <w:r>
        <w:t xml:space="preserve">5.1 Prezzo all'ingrosso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1538"/>
        <w:gridCol w:w="677"/>
        <w:gridCol w:w="964"/>
        <w:gridCol w:w="287"/>
        <w:gridCol w:w="513"/>
        <w:gridCol w:w="5660"/>
      </w:tblGrid>
      <w:tr>
        <w:trPr>
          <w:tblHeader/>
        </w:trPr>
        <w:tc>
          <w:tcPr>
            <w:tcW w:w="1538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Voce</w:t>
            </w:r>
          </w:p>
        </w:tc>
        <w:tc>
          <w:tcPr>
            <w:tcW w:w="677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Min</w:t>
            </w:r>
          </w:p>
        </w:tc>
        <w:tc>
          <w:tcPr>
            <w:tcW w:w="964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Tipico</w:t>
            </w:r>
          </w:p>
        </w:tc>
        <w:tc>
          <w:tcPr>
            <w:tcW w:w="287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Max</w:t>
            </w:r>
          </w:p>
        </w:tc>
        <w:tc>
          <w:tcPr>
            <w:tcW w:w="513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Unità</w:t>
            </w:r>
          </w:p>
        </w:tc>
        <w:tc>
          <w:tcPr>
            <w:tcW w:w="5660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Fonte / nota</w:t>
            </w:r>
          </w:p>
        </w:tc>
      </w:tr>
      <w:tr>
        <w:tc>
          <w:tcPr>
            <w:tcW w:w="1538" w:type="dxa"/>
          </w:tcPr>
          <w:p>
            <w:pPr>
              <w:pStyle w:val="TableText"/>
            </w:pPr>
            <w:r>
              <w:t xml:space="preserve">PUN Index GME, media 2025</w:t>
            </w:r>
          </w:p>
        </w:tc>
        <w:tc>
          <w:tcPr>
            <w:tcW w:w="677" w:type="dxa"/>
          </w:tcPr>
          <w:p>
            <w:pPr>
              <w:pStyle w:val="TableText"/>
            </w:pPr>
            <w:r>
              <w:t xml:space="preserve">115,32</w:t>
            </w:r>
          </w:p>
        </w:tc>
        <w:tc>
          <w:tcPr>
            <w:tcW w:w="964" w:type="dxa"/>
          </w:tcPr>
          <w:p>
            <w:pPr>
              <w:pStyle w:val="TableText"/>
            </w:pPr>
            <w:r>
              <w:t xml:space="preserve">115,32</w:t>
            </w:r>
          </w:p>
        </w:tc>
        <w:tc>
          <w:tcPr>
            <w:tcW w:w="287" w:type="dxa"/>
          </w:tcPr>
          <w:p>
            <w:pPr>
              <w:pStyle w:val="TableText"/>
            </w:pPr>
            <w:r>
              <w:t xml:space="preserve">115,94</w:t>
            </w:r>
          </w:p>
        </w:tc>
        <w:tc>
          <w:tcPr>
            <w:tcW w:w="513" w:type="dxa"/>
          </w:tcPr>
          <w:p>
            <w:pPr>
              <w:pStyle w:val="TableText"/>
            </w:pPr>
            <w:r>
              <w:t xml:space="preserve">€/MWh</w:t>
            </w:r>
          </w:p>
        </w:tc>
        <w:tc>
          <w:tcPr>
            <w:tcW w:w="5660" w:type="dxa"/>
          </w:tcPr>
          <w:p>
            <w:pPr>
              <w:pStyle w:val="TableText"/>
            </w:pPr>
            <w:r>
              <w:t xml:space="preserve">[12] Newsletter GME gen-2026 / QualEnergia: 115,32 (2024: 108,52). Relazione annuale GME: 115,94 [12b]</w:t>
            </w:r>
          </w:p>
        </w:tc>
      </w:tr>
      <w:tr>
        <w:tc>
          <w:tcPr>
            <w:tcW w:w="1538" w:type="dxa"/>
          </w:tcPr>
          <w:p>
            <w:pPr>
              <w:pStyle w:val="TableText"/>
            </w:pPr>
            <w:r>
              <w:t xml:space="preserve">PUN 2025 nelle ore di picco / fuori picco</w:t>
            </w:r>
          </w:p>
        </w:tc>
        <w:tc>
          <w:tcPr>
            <w:tcW w:w="677" w:type="dxa"/>
          </w:tcPr>
          <w:p>
            <w:pPr>
              <w:pStyle w:val="TableText"/>
            </w:pPr>
            <w:r>
              <w:t xml:space="preserve">110,66</w:t>
            </w:r>
          </w:p>
        </w:tc>
        <w:tc>
          <w:tcPr>
            <w:tcW w:w="964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287" w:type="dxa"/>
          </w:tcPr>
          <w:p>
            <w:pPr>
              <w:pStyle w:val="TableText"/>
            </w:pPr>
            <w:r>
              <w:t xml:space="preserve">124,23</w:t>
            </w:r>
          </w:p>
        </w:tc>
        <w:tc>
          <w:tcPr>
            <w:tcW w:w="513" w:type="dxa"/>
          </w:tcPr>
          <w:p>
            <w:pPr>
              <w:pStyle w:val="TableText"/>
            </w:pPr>
            <w:r>
              <w:t xml:space="preserve">€/MWh</w:t>
            </w:r>
          </w:p>
        </w:tc>
        <w:tc>
          <w:tcPr>
            <w:tcW w:w="5660" w:type="dxa"/>
          </w:tcPr>
          <w:p>
            <w:pPr>
              <w:pStyle w:val="TableText"/>
            </w:pPr>
            <w:r>
              <w:t xml:space="preserve">[12][12c]</w:t>
            </w:r>
          </w:p>
        </w:tc>
      </w:tr>
      <w:tr>
        <w:tc>
          <w:tcPr>
            <w:tcW w:w="1538" w:type="dxa"/>
          </w:tcPr>
          <w:p>
            <w:pPr>
              <w:pStyle w:val="TableText"/>
            </w:pPr>
            <w:r>
              <w:t xml:space="preserve">PUN 2025 per trimestre (Q1 / Q2 / Q3)</w:t>
            </w:r>
          </w:p>
        </w:tc>
        <w:tc>
          <w:tcPr>
            <w:tcW w:w="677" w:type="dxa"/>
          </w:tcPr>
          <w:p>
            <w:pPr>
              <w:pStyle w:val="TableText"/>
            </w:pPr>
            <w:r>
              <w:t xml:space="preserve">101,74</w:t>
            </w:r>
          </w:p>
        </w:tc>
        <w:tc>
          <w:tcPr>
            <w:tcW w:w="964" w:type="dxa"/>
          </w:tcPr>
          <w:p>
            <w:pPr>
              <w:pStyle w:val="TableText"/>
            </w:pPr>
            <w:r>
              <w:t xml:space="preserve">110,33</w:t>
            </w:r>
          </w:p>
        </w:tc>
        <w:tc>
          <w:tcPr>
            <w:tcW w:w="287" w:type="dxa"/>
          </w:tcPr>
          <w:p>
            <w:pPr>
              <w:pStyle w:val="TableText"/>
            </w:pPr>
            <w:r>
              <w:t xml:space="preserve">137,98</w:t>
            </w:r>
          </w:p>
        </w:tc>
        <w:tc>
          <w:tcPr>
            <w:tcW w:w="513" w:type="dxa"/>
          </w:tcPr>
          <w:p>
            <w:pPr>
              <w:pStyle w:val="TableText"/>
            </w:pPr>
            <w:r>
              <w:t xml:space="preserve">€/MWh</w:t>
            </w:r>
          </w:p>
        </w:tc>
        <w:tc>
          <w:tcPr>
            <w:tcW w:w="5660" w:type="dxa"/>
          </w:tcPr>
          <w:p>
            <w:pPr>
              <w:pStyle w:val="TableText"/>
            </w:pPr>
            <w:r>
              <w:t xml:space="preserve">[12d] CCIAA Genova</w:t>
            </w:r>
          </w:p>
        </w:tc>
      </w:tr>
      <w:tr>
        <w:tc>
          <w:tcPr>
            <w:tcW w:w="1538" w:type="dxa"/>
          </w:tcPr>
          <w:p>
            <w:pPr>
              <w:pStyle w:val="TableText"/>
            </w:pPr>
            <w:r>
              <w:t xml:space="preserve">PUN 2026 mensile, gen–set</w:t>
            </w:r>
          </w:p>
        </w:tc>
        <w:tc>
          <w:tcPr>
            <w:tcW w:w="677" w:type="dxa"/>
          </w:tcPr>
          <w:p>
            <w:pPr>
              <w:pStyle w:val="TableText"/>
            </w:pPr>
            <w:r>
              <w:t xml:space="preserve">114 (feb)</w:t>
            </w:r>
          </w:p>
        </w:tc>
        <w:tc>
          <w:tcPr>
            <w:tcW w:w="964" w:type="dxa"/>
          </w:tcPr>
          <w:p>
            <w:pPr>
              <w:pStyle w:val="TableText"/>
            </w:pPr>
            <w:r>
              <w:t xml:space="preserve">~145 (media)</w:t>
            </w:r>
          </w:p>
        </w:tc>
        <w:tc>
          <w:tcPr>
            <w:tcW w:w="287" w:type="dxa"/>
          </w:tcPr>
          <w:p>
            <w:pPr>
              <w:pStyle w:val="TableText"/>
            </w:pPr>
            <w:r>
              <w:t xml:space="preserve">~205 (set)</w:t>
            </w:r>
          </w:p>
        </w:tc>
        <w:tc>
          <w:tcPr>
            <w:tcW w:w="513" w:type="dxa"/>
          </w:tcPr>
          <w:p>
            <w:pPr>
              <w:pStyle w:val="TableText"/>
            </w:pPr>
            <w:r>
              <w:t xml:space="preserve">€/MWh</w:t>
            </w:r>
          </w:p>
        </w:tc>
        <w:tc>
          <w:tcPr>
            <w:tcW w:w="5660" w:type="dxa"/>
          </w:tcPr>
          <w:p>
            <w:pPr>
              <w:pStyle w:val="TableText"/>
            </w:pPr>
            <w:r>
              <w:t xml:space="preserve">gen 133, feb 114, mar 143, apr 119, mag 119, giu 131–133, lug 157, ago 180, set ≈ 200–208 [13][13b][16]. La </w:t>
            </w:r>
            <w:r>
              <w:rPr>
                <w:b/>
              </w:rPr>
              <w:t xml:space="preserve">media gen–set ≈ 145 €/MWh è un nostro calcolo</w:t>
            </w:r>
            <w:r>
              <w:t xml:space="preserve"> su dati secondari che a volte si contraddicono (es. luglio 132,5 secondo un'altra pagina Switcho). Da verificare sul GME</w:t>
            </w:r>
          </w:p>
        </w:tc>
      </w:tr>
      <w:tr>
        <w:tc>
          <w:tcPr>
            <w:tcW w:w="1538" w:type="dxa"/>
          </w:tcPr>
          <w:p>
            <w:pPr>
              <w:pStyle w:val="TableText"/>
            </w:pPr>
            <w:r>
              <w:t xml:space="preserve">PUN ottobre 2026 (giornaliero)</w:t>
            </w:r>
          </w:p>
        </w:tc>
        <w:tc>
          <w:tcPr>
            <w:tcW w:w="677" w:type="dxa"/>
          </w:tcPr>
          <w:p>
            <w:pPr>
              <w:pStyle w:val="TableText"/>
            </w:pPr>
            <w:r>
              <w:t xml:space="preserve">180</w:t>
            </w:r>
          </w:p>
        </w:tc>
        <w:tc>
          <w:tcPr>
            <w:tcW w:w="964" w:type="dxa"/>
          </w:tcPr>
          <w:p>
            <w:pPr>
              <w:pStyle w:val="TableText"/>
            </w:pPr>
            <w:r>
              <w:t xml:space="preserve">220</w:t>
            </w:r>
          </w:p>
        </w:tc>
        <w:tc>
          <w:tcPr>
            <w:tcW w:w="287" w:type="dxa"/>
          </w:tcPr>
          <w:p>
            <w:pPr>
              <w:pStyle w:val="TableText"/>
            </w:pPr>
            <w:r>
              <w:t xml:space="preserve">260</w:t>
            </w:r>
          </w:p>
        </w:tc>
        <w:tc>
          <w:tcPr>
            <w:tcW w:w="513" w:type="dxa"/>
          </w:tcPr>
          <w:p>
            <w:pPr>
              <w:pStyle w:val="TableText"/>
            </w:pPr>
            <w:r>
              <w:t xml:space="preserve">€/MWh</w:t>
            </w:r>
          </w:p>
        </w:tc>
        <w:tc>
          <w:tcPr>
            <w:tcW w:w="5660" w:type="dxa"/>
          </w:tcPr>
          <w:p>
            <w:pPr>
              <w:pStyle w:val="TableText"/>
            </w:pPr>
            <w:r>
              <w:t xml:space="preserve">[16c] comparasemplice (dati GME): 219 il 10/10, 259 il 20/10, 252 il 21/10</w:t>
            </w:r>
          </w:p>
        </w:tc>
      </w:tr>
      <w:tr>
        <w:tc>
          <w:tcPr>
            <w:tcW w:w="1538" w:type="dxa"/>
          </w:tcPr>
          <w:p>
            <w:pPr>
              <w:pStyle w:val="TableText"/>
            </w:pPr>
            <w:r>
              <w:t xml:space="preserve">Futures baseload Italia Cal-2027</w:t>
            </w:r>
          </w:p>
        </w:tc>
        <w:tc>
          <w:tcPr>
            <w:tcW w:w="677" w:type="dxa"/>
          </w:tcPr>
          <w:p>
            <w:pPr>
              <w:pStyle w:val="TableText"/>
            </w:pPr>
            <w:r>
              <w:t xml:space="preserve">72 (giu-27)</w:t>
            </w:r>
          </w:p>
        </w:tc>
        <w:tc>
          <w:tcPr>
            <w:tcW w:w="964" w:type="dxa"/>
          </w:tcPr>
          <w:p>
            <w:pPr>
              <w:pStyle w:val="TableText"/>
            </w:pPr>
            <w:r>
              <w:t xml:space="preserve">~100</w:t>
            </w:r>
          </w:p>
        </w:tc>
        <w:tc>
          <w:tcPr>
            <w:tcW w:w="287" w:type="dxa"/>
          </w:tcPr>
          <w:p>
            <w:pPr>
              <w:pStyle w:val="TableText"/>
            </w:pPr>
            <w:r>
              <w:t xml:space="preserve">112 (gen-27)</w:t>
            </w:r>
          </w:p>
        </w:tc>
        <w:tc>
          <w:tcPr>
            <w:tcW w:w="513" w:type="dxa"/>
          </w:tcPr>
          <w:p>
            <w:pPr>
              <w:pStyle w:val="TableText"/>
            </w:pPr>
            <w:r>
              <w:t xml:space="preserve">€/MWh</w:t>
            </w:r>
          </w:p>
        </w:tc>
        <w:tc>
          <w:tcPr>
            <w:tcW w:w="5660" w:type="dxa"/>
          </w:tcPr>
          <w:p>
            <w:pPr>
              <w:pStyle w:val="TableText"/>
            </w:pPr>
            <w:r>
              <w:t xml:space="preserve">[38] ICE Endex IPB da TradingView, istantanee </w:t>
            </w:r>
            <w:r>
              <w:rPr>
                <w:b/>
              </w:rPr>
              <w:t xml:space="preserve">non datate</w:t>
            </w:r>
            <w:r>
              <w:t xml:space="preserve"> (gen-27 106,7–111,5; giu-27 72–86; ott-27 ≈97). </w:t>
            </w:r>
            <w:r>
              <w:rPr>
                <w:b/>
              </w:rPr>
              <w:t xml:space="preserve">Settlement EEX/ICE di ottobre 2026 non trovato.</w:t>
            </w:r>
            <w:r>
              <w:t xml:space="preserve"> Le istantanee sono probabilmente precedenti alla crisi</w:t>
            </w:r>
          </w:p>
        </w:tc>
      </w:tr>
      <w:tr>
        <w:tc>
          <w:tcPr>
            <w:tcW w:w="1538" w:type="dxa"/>
          </w:tcPr>
          <w:p>
            <w:pPr>
              <w:pStyle w:val="TableText"/>
            </w:pPr>
            <w:r>
              <w:t xml:space="preserve">Profilo per fasce, esempio dic-2025 (F1 / F2 / F3)</w:t>
            </w:r>
          </w:p>
        </w:tc>
        <w:tc>
          <w:tcPr>
            <w:tcW w:w="677" w:type="dxa"/>
          </w:tcPr>
          <w:p>
            <w:pPr>
              <w:pStyle w:val="TableText"/>
            </w:pPr>
            <w:r>
              <w:t xml:space="preserve">104,5 (F3)</w:t>
            </w:r>
          </w:p>
        </w:tc>
        <w:tc>
          <w:tcPr>
            <w:tcW w:w="964" w:type="dxa"/>
          </w:tcPr>
          <w:p>
            <w:pPr>
              <w:pStyle w:val="TableText"/>
            </w:pPr>
            <w:r>
              <w:t xml:space="preserve">111,2 (F2)</w:t>
            </w:r>
          </w:p>
        </w:tc>
        <w:tc>
          <w:tcPr>
            <w:tcW w:w="287" w:type="dxa"/>
          </w:tcPr>
          <w:p>
            <w:pPr>
              <w:pStyle w:val="TableText"/>
            </w:pPr>
            <w:r>
              <w:t xml:space="preserve">130,1 (F1)</w:t>
            </w:r>
          </w:p>
        </w:tc>
        <w:tc>
          <w:tcPr>
            <w:tcW w:w="513" w:type="dxa"/>
          </w:tcPr>
          <w:p>
            <w:pPr>
              <w:pStyle w:val="TableText"/>
            </w:pPr>
            <w:r>
              <w:t xml:space="preserve">€/MWh</w:t>
            </w:r>
          </w:p>
        </w:tc>
        <w:tc>
          <w:tcPr>
            <w:tcW w:w="5660" w:type="dxa"/>
          </w:tcPr>
          <w:p>
            <w:pPr>
              <w:pStyle w:val="TableText"/>
            </w:pPr>
            <w:r>
              <w:t xml:space="preserve">[13c] tabella Switcho. Nessuna media annua 2025 per fascia trovata</w:t>
            </w:r>
          </w:p>
        </w:tc>
      </w:tr>
      <w:tr>
        <w:tc>
          <w:tcPr>
            <w:tcW w:w="1538" w:type="dxa"/>
          </w:tcPr>
          <w:p>
            <w:pPr>
              <w:pStyle w:val="TableText"/>
            </w:pPr>
            <w:r>
              <w:t xml:space="preserve">Rapporto fascia/PUN da usare nel simulatore</w:t>
            </w:r>
          </w:p>
        </w:tc>
        <w:tc>
          <w:tcPr>
            <w:tcW w:w="677" w:type="dxa"/>
          </w:tcPr>
          <w:p>
            <w:pPr>
              <w:pStyle w:val="TableText"/>
            </w:pPr>
            <w:r>
              <w:t xml:space="preserve">F3 0,93</w:t>
            </w:r>
          </w:p>
        </w:tc>
        <w:tc>
          <w:tcPr>
            <w:tcW w:w="964" w:type="dxa"/>
          </w:tcPr>
          <w:p>
            <w:pPr>
              <w:pStyle w:val="TableText"/>
            </w:pPr>
            <w:r>
              <w:t xml:space="preserve">F2 1,03</w:t>
            </w:r>
          </w:p>
        </w:tc>
        <w:tc>
          <w:tcPr>
            <w:tcW w:w="287" w:type="dxa"/>
          </w:tcPr>
          <w:p>
            <w:pPr>
              <w:pStyle w:val="TableText"/>
            </w:pPr>
            <w:r>
              <w:t xml:space="preserve">F1 1,07</w:t>
            </w:r>
          </w:p>
        </w:tc>
        <w:tc>
          <w:tcPr>
            <w:tcW w:w="513" w:type="dxa"/>
          </w:tcPr>
          <w:p>
            <w:pPr>
              <w:pStyle w:val="TableText"/>
            </w:pPr>
            <w:r>
              <w:t xml:space="preserve">× PUN</w:t>
            </w:r>
          </w:p>
        </w:tc>
        <w:tc>
          <w:tcPr>
            <w:tcW w:w="5660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 da picco/fuori picco 2025 (124,2/110,7 su 115,3) [12] e da dic-2025 [13c]</w:t>
            </w:r>
          </w:p>
        </w:tc>
      </w:tr>
      <w:tr>
        <w:tc>
          <w:tcPr>
            <w:tcW w:w="1538" w:type="dxa"/>
          </w:tcPr>
          <w:p>
            <w:pPr>
              <w:pStyle w:val="TableText"/>
            </w:pPr>
            <w:r>
              <w:t xml:space="preserve">Prezzi zonali 2025 rispetto al PUN</w:t>
            </w:r>
          </w:p>
        </w:tc>
        <w:tc>
          <w:tcPr>
            <w:tcW w:w="677" w:type="dxa"/>
          </w:tcPr>
          <w:p>
            <w:pPr>
              <w:pStyle w:val="TableText"/>
            </w:pPr>
            <w:r>
              <w:t xml:space="preserve">Sardegna −3,77</w:t>
            </w:r>
          </w:p>
        </w:tc>
        <w:tc>
          <w:tcPr>
            <w:tcW w:w="964" w:type="dxa"/>
          </w:tcPr>
          <w:p>
            <w:pPr>
              <w:pStyle w:val="TableText"/>
            </w:pPr>
            <w:r>
              <w:t xml:space="preserve">NORD −0,07; CSUD +0,38; SUD −0,91; SICI +0,13</w:t>
            </w:r>
          </w:p>
        </w:tc>
        <w:tc>
          <w:tcPr>
            <w:tcW w:w="287" w:type="dxa"/>
          </w:tcPr>
          <w:p>
            <w:pPr>
              <w:pStyle w:val="TableText"/>
            </w:pPr>
            <w:r>
              <w:t xml:space="preserve">CNOR +0,85</w:t>
            </w:r>
          </w:p>
        </w:tc>
        <w:tc>
          <w:tcPr>
            <w:tcW w:w="513" w:type="dxa"/>
          </w:tcPr>
          <w:p>
            <w:pPr>
              <w:pStyle w:val="TableText"/>
            </w:pPr>
            <w:r>
              <w:t xml:space="preserve">€/MWh</w:t>
            </w:r>
          </w:p>
        </w:tc>
        <w:tc>
          <w:tcPr>
            <w:tcW w:w="5660" w:type="dxa"/>
          </w:tcPr>
          <w:p>
            <w:pPr>
              <w:pStyle w:val="TableText"/>
            </w:pPr>
            <w:r>
              <w:t xml:space="preserve">[39] presentazione AIEE su dati GME (tabella di lettura difficile, valori approssimati). [12c]: NORD e CNOR ≈116 €/MWh, altre zone 112–115; differenziale Nord-Sud +2,4</w:t>
            </w:r>
          </w:p>
        </w:tc>
      </w:tr>
      <w:tr>
        <w:tc>
          <w:tcPr>
            <w:tcW w:w="1538" w:type="dxa"/>
          </w:tcPr>
          <w:p>
            <w:pPr>
              <w:pStyle w:val="TableText"/>
            </w:pPr>
            <w:r>
              <w:t xml:space="preserve">Prezzi zonali nelle ore solari, Q2 2026</w:t>
            </w:r>
          </w:p>
        </w:tc>
        <w:tc>
          <w:tcPr>
            <w:tcW w:w="677" w:type="dxa"/>
          </w:tcPr>
          <w:p>
            <w:pPr>
              <w:pStyle w:val="TableText"/>
            </w:pPr>
            <w:r>
              <w:t xml:space="preserve">&lt;20 €/MWh fino al 10% delle ore</w:t>
            </w:r>
          </w:p>
        </w:tc>
        <w:tc>
          <w:tcPr>
            <w:tcW w:w="964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287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513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5660" w:type="dxa"/>
          </w:tcPr>
          <w:p>
            <w:pPr>
              <w:pStyle w:val="TableText"/>
            </w:pPr>
            <w:r>
              <w:t xml:space="preserve">[40] Italia Solare: SUD, CALA, SARD e SICI; 215 ore sotto 20 €/MWh nel trimestre (tra le 10 e le 18). Spread mensile sul PUN a maggio: SARD −8,57, SICI −7,72</w:t>
            </w:r>
          </w:p>
        </w:tc>
      </w:tr>
      <w:tr>
        <w:tc>
          <w:tcPr>
            <w:tcW w:w="1538" w:type="dxa"/>
          </w:tcPr>
          <w:p>
            <w:pPr>
              <w:pStyle w:val="TableText"/>
            </w:pPr>
            <w:r>
              <w:t xml:space="preserve">Capture price solare nazionale</w:t>
            </w:r>
          </w:p>
        </w:tc>
        <w:tc>
          <w:tcPr>
            <w:tcW w:w="677" w:type="dxa"/>
          </w:tcPr>
          <w:p>
            <w:pPr>
              <w:pStyle w:val="TableText"/>
            </w:pPr>
            <w:r>
              <w:t xml:space="preserve">0,80</w:t>
            </w:r>
          </w:p>
        </w:tc>
        <w:tc>
          <w:tcPr>
            <w:tcW w:w="964" w:type="dxa"/>
          </w:tcPr>
          <w:p>
            <w:pPr>
              <w:pStyle w:val="TableText"/>
            </w:pPr>
            <w:r>
              <w:t xml:space="preserve">0,86</w:t>
            </w:r>
          </w:p>
        </w:tc>
        <w:tc>
          <w:tcPr>
            <w:tcW w:w="287" w:type="dxa"/>
          </w:tcPr>
          <w:p>
            <w:pPr>
              <w:pStyle w:val="TableText"/>
            </w:pPr>
            <w:r>
              <w:t xml:space="preserve">0,95</w:t>
            </w:r>
          </w:p>
        </w:tc>
        <w:tc>
          <w:tcPr>
            <w:tcW w:w="513" w:type="dxa"/>
          </w:tcPr>
          <w:p>
            <w:pPr>
              <w:pStyle w:val="TableText"/>
            </w:pPr>
            <w:r>
              <w:t xml:space="preserve">× PUN</w:t>
            </w:r>
          </w:p>
        </w:tc>
        <w:tc>
          <w:tcPr>
            <w:tcW w:w="5660" w:type="dxa"/>
          </w:tcPr>
          <w:p>
            <w:pPr>
              <w:pStyle w:val="TableText"/>
            </w:pPr>
            <w:r>
              <w:t xml:space="preserve">[41] Modo Energy: capture rate annuo 86%; mar-2026 124,72 €/MWh contro una media a 12 mesi di 97,32. Min e max </w:t>
            </w:r>
            <w:r>
              <w:rPr>
                <w:b/>
              </w:rPr>
              <w:t xml:space="preserve">[stima]</w:t>
            </w:r>
            <w:r>
              <w:t xml:space="preserve">; il rischio di forte calo dal 2027 al Sud è segnalato da Italia Solare [40]</w:t>
            </w:r>
          </w:p>
        </w:tc>
      </w:tr>
      <w:tr>
        <w:tc>
          <w:tcPr>
            <w:tcW w:w="1538" w:type="dxa"/>
          </w:tcPr>
          <w:p>
            <w:pPr>
              <w:pStyle w:val="TableText"/>
            </w:pPr>
            <w:r>
              <w:t xml:space="preserve">Spread di arbitraggio TB4 (4 ore), zona NORD, H1 2026</w:t>
            </w:r>
          </w:p>
        </w:tc>
        <w:tc>
          <w:tcPr>
            <w:tcW w:w="677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964" w:type="dxa"/>
          </w:tcPr>
          <w:p>
            <w:pPr>
              <w:pStyle w:val="TableText"/>
            </w:pPr>
            <w:r>
              <w:t xml:space="preserve">≈ 75</w:t>
            </w:r>
          </w:p>
        </w:tc>
        <w:tc>
          <w:tcPr>
            <w:tcW w:w="287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513" w:type="dxa"/>
          </w:tcPr>
          <w:p>
            <w:pPr>
              <w:pStyle w:val="TableText"/>
            </w:pPr>
            <w:r>
              <w:t xml:space="preserve">€/MWh medio giornaliero</w:t>
            </w:r>
          </w:p>
        </w:tc>
        <w:tc>
          <w:tcPr>
            <w:tcW w:w="5660" w:type="dxa"/>
          </w:tcPr>
          <w:p>
            <w:pPr>
              <w:pStyle w:val="TableText"/>
            </w:pPr>
            <w:r>
              <w:t xml:space="preserve">[42] Modo: TB4 NORD 110.000 €/MW/anno → 110.000/(365×4) ≈ 75 €/MWh (</w:t>
            </w:r>
            <w:r>
              <w:rPr>
                <w:b/>
              </w:rPr>
              <w:t xml:space="preserve">calcolo nostro</w:t>
            </w:r>
            <w:r>
              <w:t xml:space="preserve">, senza perdite). I ricavi BESS H1 2026 vanno da 95.500 €/MW/anno (CNOR/NORD) a 149.000 (SARD). Il TB2 in Sardegna è +34% rispetto al Nord</w:t>
            </w:r>
          </w:p>
        </w:tc>
      </w:tr>
      <w:tr>
        <w:tc>
          <w:tcPr>
            <w:tcW w:w="1538" w:type="dxa"/>
          </w:tcPr>
          <w:p>
            <w:pPr>
              <w:pStyle w:val="TableText"/>
            </w:pPr>
            <w:r>
              <w:t xml:space="preserve">Spread serale vs ore solari da usare nel simulatore (zona NORD/CSUD)</w:t>
            </w:r>
          </w:p>
        </w:tc>
        <w:tc>
          <w:tcPr>
            <w:tcW w:w="677" w:type="dxa"/>
          </w:tcPr>
          <w:p>
            <w:pPr>
              <w:pStyle w:val="TableText"/>
            </w:pPr>
            <w:r>
              <w:t xml:space="preserve">40</w:t>
            </w:r>
          </w:p>
        </w:tc>
        <w:tc>
          <w:tcPr>
            <w:tcW w:w="964" w:type="dxa"/>
          </w:tcPr>
          <w:p>
            <w:pPr>
              <w:pStyle w:val="TableText"/>
            </w:pPr>
            <w:r>
              <w:t xml:space="preserve">70</w:t>
            </w:r>
          </w:p>
        </w:tc>
        <w:tc>
          <w:tcPr>
            <w:tcW w:w="287" w:type="dxa"/>
          </w:tcPr>
          <w:p>
            <w:pPr>
              <w:pStyle w:val="TableText"/>
            </w:pPr>
            <w:r>
              <w:t xml:space="preserve">110</w:t>
            </w:r>
          </w:p>
        </w:tc>
        <w:tc>
          <w:tcPr>
            <w:tcW w:w="513" w:type="dxa"/>
          </w:tcPr>
          <w:p>
            <w:pPr>
              <w:pStyle w:val="TableText"/>
            </w:pPr>
            <w:r>
              <w:t xml:space="preserve">€/MWh</w:t>
            </w:r>
          </w:p>
        </w:tc>
        <w:tc>
          <w:tcPr>
            <w:tcW w:w="5660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 basata su [42] e [40] (al Sud e nelle isole +20–35%)</w:t>
            </w:r>
          </w:p>
        </w:tc>
      </w:tr>
      <w:tr>
        <w:tc>
          <w:tcPr>
            <w:tcW w:w="1538" w:type="dxa"/>
          </w:tcPr>
          <w:p>
            <w:pPr>
              <w:pStyle w:val="TableText"/>
            </w:pPr>
            <w:r>
              <w:t xml:space="preserve">Prezzo minimo garantito RID 2026, FV (primi 1,5 GWh/anno, impianti ≤1 MW)</w:t>
            </w:r>
          </w:p>
        </w:tc>
        <w:tc>
          <w:tcPr>
            <w:tcW w:w="677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964" w:type="dxa"/>
          </w:tcPr>
          <w:p>
            <w:pPr>
              <w:pStyle w:val="TableText"/>
            </w:pPr>
            <w:r>
              <w:t xml:space="preserve">47,5</w:t>
            </w:r>
          </w:p>
        </w:tc>
        <w:tc>
          <w:tcPr>
            <w:tcW w:w="287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513" w:type="dxa"/>
          </w:tcPr>
          <w:p>
            <w:pPr>
              <w:pStyle w:val="TableText"/>
            </w:pPr>
            <w:r>
              <w:t xml:space="preserve">€/MWh</w:t>
            </w:r>
          </w:p>
        </w:tc>
        <w:tc>
          <w:tcPr>
            <w:tcW w:w="5660" w:type="dxa"/>
          </w:tcPr>
          <w:p>
            <w:pPr>
              <w:pStyle w:val="TableText"/>
            </w:pPr>
            <w:r>
              <w:t xml:space="preserve">[43] edilizia.com e solareindustriale.it (secondarie): 47,5 (+1,4% FOI). Delibera ARERA non verificata</w:t>
            </w:r>
          </w:p>
        </w:tc>
      </w:tr>
      <w:tr>
        <w:tc>
          <w:tcPr>
            <w:tcW w:w="1538" w:type="dxa"/>
          </w:tcPr>
          <w:p>
            <w:pPr>
              <w:pStyle w:val="TableText"/>
            </w:pPr>
            <w:r>
              <w:t xml:space="preserve">FER X ≤1 MW (contratto per differenza a 20 anni, alternativa al merchant)</w:t>
            </w:r>
          </w:p>
        </w:tc>
        <w:tc>
          <w:tcPr>
            <w:tcW w:w="677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964" w:type="dxa"/>
          </w:tcPr>
          <w:p>
            <w:pPr>
              <w:pStyle w:val="TableText"/>
            </w:pPr>
            <w:r>
              <w:t xml:space="preserve">77</w:t>
            </w:r>
          </w:p>
        </w:tc>
        <w:tc>
          <w:tcPr>
            <w:tcW w:w="287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513" w:type="dxa"/>
          </w:tcPr>
          <w:p>
            <w:pPr>
              <w:pStyle w:val="TableText"/>
            </w:pPr>
            <w:r>
              <w:t xml:space="preserve">€/MWh</w:t>
            </w:r>
          </w:p>
        </w:tc>
        <w:tc>
          <w:tcPr>
            <w:tcW w:w="5660" w:type="dxa"/>
          </w:tcPr>
          <w:p>
            <w:pPr>
              <w:pStyle w:val="TableText"/>
            </w:pPr>
            <w:r>
              <w:t xml:space="preserve">[24]</w:t>
            </w:r>
          </w:p>
        </w:tc>
      </w:tr>
    </w:tbl>
    <w:p>
      <w:pPr>
        <w:pStyle w:val="Normal"/>
        <w:spacing w:after="60"/>
      </w:pPr>
    </w:p>
    <w:p>
      <w:pPr>
        <w:pStyle w:val="Heading2"/>
      </w:pPr>
      <w:r>
        <w:t xml:space="preserve">5.2 Costo di prelievo evitato per un'impresa in MT (€/MWh, IVA esclusa)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1860"/>
        <w:gridCol w:w="183"/>
        <w:gridCol w:w="262"/>
        <w:gridCol w:w="183"/>
        <w:gridCol w:w="229"/>
        <w:gridCol w:w="6921"/>
      </w:tblGrid>
      <w:tr>
        <w:trPr>
          <w:tblHeader/>
        </w:trPr>
        <w:tc>
          <w:tcPr>
            <w:tcW w:w="1860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Componente</w:t>
            </w:r>
          </w:p>
        </w:tc>
        <w:tc>
          <w:tcPr>
            <w:tcW w:w="183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Min</w:t>
            </w:r>
          </w:p>
        </w:tc>
        <w:tc>
          <w:tcPr>
            <w:tcW w:w="262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Tipico</w:t>
            </w:r>
          </w:p>
        </w:tc>
        <w:tc>
          <w:tcPr>
            <w:tcW w:w="183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Max</w:t>
            </w:r>
          </w:p>
        </w:tc>
        <w:tc>
          <w:tcPr>
            <w:tcW w:w="229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Unità</w:t>
            </w:r>
          </w:p>
        </w:tc>
        <w:tc>
          <w:tcPr>
            <w:tcW w:w="6921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Fonte / nota</w:t>
            </w:r>
          </w:p>
        </w:tc>
      </w:tr>
      <w:tr>
        <w:tc>
          <w:tcPr>
            <w:tcW w:w="1860" w:type="dxa"/>
          </w:tcPr>
          <w:p>
            <w:pPr>
              <w:pStyle w:val="TableText"/>
            </w:pPr>
            <w:r>
              <w:t xml:space="preserve">Energia (PUN orario × profilo)</w:t>
            </w:r>
          </w:p>
        </w:tc>
        <w:tc>
          <w:tcPr>
            <w:tcW w:w="183" w:type="dxa"/>
          </w:tcPr>
          <w:p>
            <w:pPr>
              <w:pStyle w:val="TableText"/>
            </w:pPr>
            <w:r>
              <w:t xml:space="preserve">115</w:t>
            </w:r>
          </w:p>
        </w:tc>
        <w:tc>
          <w:tcPr>
            <w:tcW w:w="262" w:type="dxa"/>
          </w:tcPr>
          <w:p>
            <w:pPr>
              <w:pStyle w:val="TableText"/>
            </w:pPr>
            <w:r>
              <w:t xml:space="preserve">130</w:t>
            </w:r>
          </w:p>
        </w:tc>
        <w:tc>
          <w:tcPr>
            <w:tcW w:w="183" w:type="dxa"/>
          </w:tcPr>
          <w:p>
            <w:pPr>
              <w:pStyle w:val="TableText"/>
            </w:pPr>
            <w:r>
              <w:t xml:space="preserve">180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€/MWh</w:t>
            </w:r>
          </w:p>
        </w:tc>
        <w:tc>
          <w:tcPr>
            <w:tcW w:w="6921" w:type="dxa"/>
          </w:tcPr>
          <w:p>
            <w:pPr>
              <w:pStyle w:val="TableText"/>
            </w:pPr>
            <w:r>
              <w:t xml:space="preserve">§5.1; il tipico è uno scenario 2027 </w:t>
            </w:r>
            <w:r>
              <w:rPr>
                <w:b/>
              </w:rPr>
              <w:t xml:space="preserve">[stima]</w:t>
            </w:r>
          </w:p>
        </w:tc>
      </w:tr>
      <w:tr>
        <w:tc>
          <w:tcPr>
            <w:tcW w:w="1860" w:type="dxa"/>
          </w:tcPr>
          <w:p>
            <w:pPr>
              <w:pStyle w:val="TableText"/>
            </w:pPr>
            <w:r>
              <w:t xml:space="preserve">Perdite di rete MT (maggiorazione dell'energia)</w:t>
            </w:r>
          </w:p>
        </w:tc>
        <w:tc>
          <w:tcPr>
            <w:tcW w:w="183" w:type="dxa"/>
          </w:tcPr>
          <w:p>
            <w:pPr>
              <w:pStyle w:val="TableText"/>
            </w:pPr>
            <w:r>
              <w:t xml:space="preserve">3,0</w:t>
            </w:r>
          </w:p>
        </w:tc>
        <w:tc>
          <w:tcPr>
            <w:tcW w:w="262" w:type="dxa"/>
          </w:tcPr>
          <w:p>
            <w:pPr>
              <w:pStyle w:val="TableText"/>
            </w:pPr>
            <w:r>
              <w:t xml:space="preserve">3,8</w:t>
            </w:r>
          </w:p>
        </w:tc>
        <w:tc>
          <w:tcPr>
            <w:tcW w:w="183" w:type="dxa"/>
          </w:tcPr>
          <w:p>
            <w:pPr>
              <w:pStyle w:val="TableText"/>
            </w:pPr>
            <w:r>
              <w:t xml:space="preserve">4,5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%</w:t>
            </w:r>
          </w:p>
        </w:tc>
        <w:tc>
          <w:tcPr>
            <w:tcW w:w="6921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 (fattore perdite MT del TIS ARERA, valore non verificato in questa sessione) [44]</w:t>
            </w:r>
          </w:p>
        </w:tc>
      </w:tr>
      <w:tr>
        <w:tc>
          <w:tcPr>
            <w:tcW w:w="1860" w:type="dxa"/>
          </w:tcPr>
          <w:p>
            <w:pPr>
              <w:pStyle w:val="TableText"/>
            </w:pPr>
            <w:r>
              <w:t xml:space="preserve">Dispacciamento (uplift, unità essenziali, Terna)</w:t>
            </w:r>
          </w:p>
        </w:tc>
        <w:tc>
          <w:tcPr>
            <w:tcW w:w="183" w:type="dxa"/>
          </w:tcPr>
          <w:p>
            <w:pPr>
              <w:pStyle w:val="TableText"/>
            </w:pPr>
            <w:r>
              <w:t xml:space="preserve">7,7</w:t>
            </w:r>
          </w:p>
        </w:tc>
        <w:tc>
          <w:tcPr>
            <w:tcW w:w="262" w:type="dxa"/>
          </w:tcPr>
          <w:p>
            <w:pPr>
              <w:pStyle w:val="TableText"/>
            </w:pPr>
            <w:r>
              <w:t xml:space="preserve">11,6</w:t>
            </w:r>
          </w:p>
        </w:tc>
        <w:tc>
          <w:tcPr>
            <w:tcW w:w="183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€/MWh</w:t>
            </w:r>
          </w:p>
        </w:tc>
        <w:tc>
          <w:tcPr>
            <w:tcW w:w="6921" w:type="dxa"/>
          </w:tcPr>
          <w:p>
            <w:pPr>
              <w:pStyle w:val="TableText"/>
            </w:pPr>
            <w:r>
              <w:t xml:space="preserve">[44] CTE Axpo Q2 2026: 11,55; Q3 2026: uplift 3,66 + unità essenziali 3,35 + funzionamento Terna 0,72</w:t>
            </w:r>
          </w:p>
        </w:tc>
      </w:tr>
      <w:tr>
        <w:tc>
          <w:tcPr>
            <w:tcW w:w="1860" w:type="dxa"/>
          </w:tcPr>
          <w:p>
            <w:pPr>
              <w:pStyle w:val="TableText"/>
            </w:pPr>
            <w:r>
              <w:t xml:space="preserve">Corrispettivo mercato della capacità</w:t>
            </w:r>
          </w:p>
        </w:tc>
        <w:tc>
          <w:tcPr>
            <w:tcW w:w="183" w:type="dxa"/>
          </w:tcPr>
          <w:p>
            <w:pPr>
              <w:pStyle w:val="TableText"/>
            </w:pPr>
            <w:r>
              <w:t xml:space="preserve">14,5</w:t>
            </w:r>
          </w:p>
        </w:tc>
        <w:tc>
          <w:tcPr>
            <w:tcW w:w="262" w:type="dxa"/>
          </w:tcPr>
          <w:p>
            <w:pPr>
              <w:pStyle w:val="TableText"/>
            </w:pPr>
            <w:r>
              <w:t xml:space="preserve">15,9</w:t>
            </w:r>
          </w:p>
        </w:tc>
        <w:tc>
          <w:tcPr>
            <w:tcW w:w="183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€/MWh</w:t>
            </w:r>
          </w:p>
        </w:tc>
        <w:tc>
          <w:tcPr>
            <w:tcW w:w="6921" w:type="dxa"/>
          </w:tcPr>
          <w:p>
            <w:pPr>
              <w:pStyle w:val="TableText"/>
            </w:pPr>
            <w:r>
              <w:t xml:space="preserve">[44] Axpo Q3 2026: 15,941 €/MWh lordo perdite (14,492 netto)</w:t>
            </w:r>
          </w:p>
        </w:tc>
      </w:tr>
      <w:tr>
        <w:tc>
          <w:tcPr>
            <w:tcW w:w="1860" w:type="dxa"/>
          </w:tcPr>
          <w:p>
            <w:pPr>
              <w:pStyle w:val="TableText"/>
            </w:pPr>
            <w:r>
              <w:t xml:space="preserve">Spread/commercializzazione del fornitore</w:t>
            </w:r>
          </w:p>
        </w:tc>
        <w:tc>
          <w:tcPr>
            <w:tcW w:w="183" w:type="dxa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262" w:type="dxa"/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183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€/MWh</w:t>
            </w:r>
          </w:p>
        </w:tc>
        <w:tc>
          <w:tcPr>
            <w:tcW w:w="6921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</w:p>
        </w:tc>
      </w:tr>
      <w:tr>
        <w:tc>
          <w:tcPr>
            <w:tcW w:w="1860" w:type="dxa"/>
          </w:tcPr>
          <w:p>
            <w:pPr>
              <w:pStyle w:val="TableText"/>
            </w:pPr>
            <w:r>
              <w:t xml:space="preserve">Trasporto e misura MT (quota energia, e-distribuzione 2026)</w:t>
            </w:r>
          </w:p>
        </w:tc>
        <w:tc>
          <w:tcPr>
            <w:tcW w:w="183" w:type="dxa"/>
          </w:tcPr>
          <w:p>
            <w:pPr>
              <w:pStyle w:val="TableText"/>
            </w:pPr>
            <w:r>
              <w:t xml:space="preserve">11,6</w:t>
            </w:r>
          </w:p>
        </w:tc>
        <w:tc>
          <w:tcPr>
            <w:tcW w:w="262" w:type="dxa"/>
          </w:tcPr>
          <w:p>
            <w:pPr>
              <w:pStyle w:val="TableText"/>
            </w:pPr>
            <w:r>
              <w:t xml:space="preserve">11,6</w:t>
            </w:r>
          </w:p>
        </w:tc>
        <w:tc>
          <w:tcPr>
            <w:tcW w:w="183" w:type="dxa"/>
          </w:tcPr>
          <w:p>
            <w:pPr>
              <w:pStyle w:val="TableText"/>
            </w:pPr>
            <w:r>
              <w:t xml:space="preserve">11,8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€/MWh</w:t>
            </w:r>
          </w:p>
        </w:tc>
        <w:tc>
          <w:tcPr>
            <w:tcW w:w="6921" w:type="dxa"/>
          </w:tcPr>
          <w:p>
            <w:pPr>
              <w:pStyle w:val="TableText"/>
            </w:pPr>
            <w:r>
              <w:t xml:space="preserve">[45] MTA1 0,01176; MTA2 0,01169; MTA3 0,01164 €/kWh</w:t>
            </w:r>
          </w:p>
        </w:tc>
      </w:tr>
      <w:tr>
        <w:tc>
          <w:tcPr>
            <w:tcW w:w="1860" w:type="dxa"/>
          </w:tcPr>
          <w:p>
            <w:pPr>
              <w:pStyle w:val="TableText"/>
            </w:pPr>
            <w:r>
              <w:t xml:space="preserve">Oneri generali ASOS + ARIM, MT altri usi</w:t>
            </w:r>
          </w:p>
        </w:tc>
        <w:tc>
          <w:tcPr>
            <w:tcW w:w="183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262" w:type="dxa"/>
          </w:tcPr>
          <w:p>
            <w:pPr>
              <w:pStyle w:val="TableText"/>
            </w:pPr>
            <w:r>
              <w:t xml:space="preserve">25</w:t>
            </w:r>
          </w:p>
        </w:tc>
        <w:tc>
          <w:tcPr>
            <w:tcW w:w="183" w:type="dxa"/>
          </w:tcPr>
          <w:p>
            <w:pPr>
              <w:pStyle w:val="TableText"/>
            </w:pPr>
            <w:r>
              <w:t xml:space="preserve">35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€/MWh</w:t>
            </w:r>
          </w:p>
        </w:tc>
        <w:tc>
          <w:tcPr>
            <w:tcW w:w="6921" w:type="dxa"/>
          </w:tcPr>
          <w:p>
            <w:pPr>
              <w:pStyle w:val="TableText"/>
            </w:pPr>
            <w:r>
              <w:rPr>
                <w:b/>
              </w:rPr>
              <w:t xml:space="preserve">Non trovato</w:t>
            </w:r>
            <w:r>
              <w:t xml:space="preserve"> il valore unitario 2026. </w:t>
            </w:r>
            <w:r>
              <w:rPr>
                <w:b/>
              </w:rPr>
              <w:t xml:space="preserve">[stima]</w:t>
            </w:r>
            <w:r>
              <w:t xml:space="preserve"> sui livelli 2024–25. Il DL 21/2026 (L. 49/2026) riduce l'ASOS per le MT non energivore (431,5 M€ nel 2026) [46]</w:t>
            </w:r>
          </w:p>
        </w:tc>
      </w:tr>
      <w:tr>
        <w:tc>
          <w:tcPr>
            <w:tcW w:w="1860" w:type="dxa"/>
          </w:tcPr>
          <w:p>
            <w:pPr>
              <w:pStyle w:val="TableText"/>
            </w:pPr>
            <w:r>
              <w:t xml:space="preserve">Accisa (usi non domestici)</w:t>
            </w:r>
          </w:p>
        </w:tc>
        <w:tc>
          <w:tcPr>
            <w:tcW w:w="183" w:type="dxa"/>
          </w:tcPr>
          <w:p>
            <w:pPr>
              <w:pStyle w:val="TableText"/>
            </w:pPr>
            <w:r>
              <w:t xml:space="preserve">7,5</w:t>
            </w:r>
          </w:p>
        </w:tc>
        <w:tc>
          <w:tcPr>
            <w:tcW w:w="262" w:type="dxa"/>
          </w:tcPr>
          <w:p>
            <w:pPr>
              <w:pStyle w:val="TableText"/>
            </w:pPr>
            <w:r>
              <w:t xml:space="preserve">12,5</w:t>
            </w:r>
          </w:p>
        </w:tc>
        <w:tc>
          <w:tcPr>
            <w:tcW w:w="183" w:type="dxa"/>
          </w:tcPr>
          <w:p>
            <w:pPr>
              <w:pStyle w:val="TableText"/>
            </w:pPr>
            <w:r>
              <w:t xml:space="preserve">12,5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€/MWh</w:t>
            </w:r>
          </w:p>
        </w:tc>
        <w:tc>
          <w:tcPr>
            <w:tcW w:w="6921" w:type="dxa"/>
          </w:tcPr>
          <w:p>
            <w:pPr>
              <w:pStyle w:val="TableText"/>
            </w:pPr>
            <w:r>
              <w:t xml:space="preserve">[47] 12,5 €/MWh sui primi 200.000 kWh/mese; 7,5 oltre (fino a 1,2 GWh/mese); oltre 1,2 GWh/mese quota fissa di 4.820 €/mese. L'autoconsumo FV &gt;20 kW nello stesso sito è esente (art. 52 c.3 lett. b TUA; circ. ADM 21/2026) [48]</w:t>
            </w:r>
          </w:p>
        </w:tc>
      </w:tr>
      <w:tr>
        <w:tc>
          <w:tcPr>
            <w:tcW w:w="1860" w:type="dxa"/>
          </w:tcPr>
          <w:p>
            <w:pPr>
              <w:pStyle w:val="TableText"/>
            </w:pPr>
            <w:r>
              <w:rPr>
                <w:b/>
              </w:rPr>
              <w:t xml:space="preserve">Totale costo variabile di prelievo evitato</w:t>
            </w:r>
          </w:p>
        </w:tc>
        <w:tc>
          <w:tcPr>
            <w:tcW w:w="183" w:type="dxa"/>
          </w:tcPr>
          <w:p>
            <w:pPr>
              <w:pStyle w:val="TableText"/>
            </w:pPr>
            <w:r>
              <w:rPr>
                <w:b/>
              </w:rPr>
              <w:t xml:space="preserve">185</w:t>
            </w:r>
          </w:p>
        </w:tc>
        <w:tc>
          <w:tcPr>
            <w:tcW w:w="262" w:type="dxa"/>
          </w:tcPr>
          <w:p>
            <w:pPr>
              <w:pStyle w:val="TableText"/>
            </w:pPr>
            <w:r>
              <w:rPr>
                <w:b/>
              </w:rPr>
              <w:t xml:space="preserve">≈220</w:t>
            </w:r>
          </w:p>
        </w:tc>
        <w:tc>
          <w:tcPr>
            <w:tcW w:w="183" w:type="dxa"/>
          </w:tcPr>
          <w:p>
            <w:pPr>
              <w:pStyle w:val="TableText"/>
            </w:pPr>
            <w:r>
              <w:rPr>
                <w:b/>
              </w:rPr>
              <w:t xml:space="preserve">275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€/MWh</w:t>
            </w:r>
          </w:p>
        </w:tc>
        <w:tc>
          <w:tcPr>
            <w:tcW w:w="6921" w:type="dxa"/>
          </w:tcPr>
          <w:p>
            <w:pPr>
              <w:pStyle w:val="TableText"/>
            </w:pPr>
            <w:r>
              <w:rPr>
                <w:b/>
              </w:rPr>
              <w:t xml:space="preserve">Calcolo nostro</w:t>
            </w:r>
            <w:r>
              <w:t xml:space="preserve">: 130×1,038 + 11,6 + 15,9 + 8 + 11,6 + 25 + 12,5 ≈ 219. Riscontro: Confindustria/Eurostat H1-2025 prezzo medio imprese IT 278 €/MWh (media di tutte le fasce, con le quote fisse) [49]</w:t>
            </w:r>
          </w:p>
        </w:tc>
      </w:tr>
      <w:tr>
        <w:tc>
          <w:tcPr>
            <w:tcW w:w="1860" w:type="dxa"/>
          </w:tcPr>
          <w:p>
            <w:pPr>
              <w:pStyle w:val="TableText"/>
            </w:pPr>
            <w:r>
              <w:rPr>
                <w:b/>
              </w:rPr>
              <w:t xml:space="preserve">Valore dell'energia immessa in rete (RID/merchant)</w:t>
            </w:r>
          </w:p>
        </w:tc>
        <w:tc>
          <w:tcPr>
            <w:tcW w:w="183" w:type="dxa"/>
          </w:tcPr>
          <w:p>
            <w:pPr>
              <w:pStyle w:val="TableText"/>
            </w:pPr>
            <w:r>
              <w:t xml:space="preserve">85</w:t>
            </w:r>
          </w:p>
        </w:tc>
        <w:tc>
          <w:tcPr>
            <w:tcW w:w="262" w:type="dxa"/>
          </w:tcPr>
          <w:p>
            <w:pPr>
              <w:pStyle w:val="TableText"/>
            </w:pPr>
            <w:r>
              <w:t xml:space="preserve">110</w:t>
            </w:r>
          </w:p>
        </w:tc>
        <w:tc>
          <w:tcPr>
            <w:tcW w:w="183" w:type="dxa"/>
          </w:tcPr>
          <w:p>
            <w:pPr>
              <w:pStyle w:val="TableText"/>
            </w:pPr>
            <w:r>
              <w:t xml:space="preserve">150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€/MWh</w:t>
            </w:r>
          </w:p>
        </w:tc>
        <w:tc>
          <w:tcPr>
            <w:tcW w:w="6921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 = PUN × capture rate 0,86 [41] meno i corrispettivi GSE; pavimento RID 47,5 [43]</w:t>
            </w:r>
          </w:p>
        </w:tc>
      </w:tr>
      <w:tr>
        <w:tc>
          <w:tcPr>
            <w:tcW w:w="1860" w:type="dxa"/>
          </w:tcPr>
          <w:p>
            <w:pPr>
              <w:pStyle w:val="TableText"/>
            </w:pPr>
            <w:r>
              <w:t xml:space="preserve">Rapporto valore autoconsumo / valore immissione</w:t>
            </w:r>
          </w:p>
        </w:tc>
        <w:tc>
          <w:tcPr>
            <w:tcW w:w="183" w:type="dxa"/>
          </w:tcPr>
          <w:p>
            <w:pPr>
              <w:pStyle w:val="TableText"/>
            </w:pPr>
            <w:r>
              <w:t xml:space="preserve">1,7</w:t>
            </w:r>
          </w:p>
        </w:tc>
        <w:tc>
          <w:tcPr>
            <w:tcW w:w="262" w:type="dxa"/>
          </w:tcPr>
          <w:p>
            <w:pPr>
              <w:pStyle w:val="TableText"/>
            </w:pPr>
            <w:r>
              <w:t xml:space="preserve">2,0</w:t>
            </w:r>
          </w:p>
        </w:tc>
        <w:tc>
          <w:tcPr>
            <w:tcW w:w="183" w:type="dxa"/>
          </w:tcPr>
          <w:p>
            <w:pPr>
              <w:pStyle w:val="TableText"/>
            </w:pPr>
            <w:r>
              <w:t xml:space="preserve">2,4</w:t>
            </w:r>
          </w:p>
        </w:tc>
        <w:tc>
          <w:tcPr>
            <w:tcW w:w="229" w:type="dxa"/>
          </w:tcPr>
          <w:p>
            <w:pPr>
              <w:pStyle w:val="TableText"/>
            </w:pPr>
            <w:r>
              <w:t xml:space="preserve">×</w:t>
            </w:r>
          </w:p>
        </w:tc>
        <w:tc>
          <w:tcPr>
            <w:tcW w:w="6921" w:type="dxa"/>
          </w:tcPr>
          <w:p>
            <w:pPr>
              <w:pStyle w:val="TableText"/>
            </w:pPr>
            <w:r>
              <w:t xml:space="preserve">Calcolo nostro</w:t>
            </w:r>
          </w:p>
        </w:tc>
      </w:tr>
    </w:tbl>
    <w:p>
      <w:pPr>
        <w:pStyle w:val="Normal"/>
        <w:spacing w:after="60"/>
      </w:pPr>
    </w:p>
    <w:p>
      <w:pPr>
        <w:pStyle w:val="Heading2"/>
      </w:pPr>
      <w:r>
        <w:t xml:space="preserve">5.3 Corrispettivi di potenza MT (peak shaving)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2214"/>
        <w:gridCol w:w="250"/>
        <w:gridCol w:w="1225"/>
        <w:gridCol w:w="250"/>
        <w:gridCol w:w="518"/>
        <w:gridCol w:w="5182"/>
      </w:tblGrid>
      <w:tr>
        <w:trPr>
          <w:tblHeader/>
        </w:trPr>
        <w:tc>
          <w:tcPr>
            <w:tcW w:w="2214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Voce</w:t>
            </w:r>
          </w:p>
        </w:tc>
        <w:tc>
          <w:tcPr>
            <w:tcW w:w="250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Min</w:t>
            </w:r>
          </w:p>
        </w:tc>
        <w:tc>
          <w:tcPr>
            <w:tcW w:w="1225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Tipico</w:t>
            </w:r>
          </w:p>
        </w:tc>
        <w:tc>
          <w:tcPr>
            <w:tcW w:w="250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Max</w:t>
            </w:r>
          </w:p>
        </w:tc>
        <w:tc>
          <w:tcPr>
            <w:tcW w:w="518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Unità</w:t>
            </w:r>
          </w:p>
        </w:tc>
        <w:tc>
          <w:tcPr>
            <w:tcW w:w="5182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Fonte / nota</w:t>
            </w:r>
          </w:p>
        </w:tc>
      </w:tr>
      <w:tr>
        <w:tc>
          <w:tcPr>
            <w:tcW w:w="2214" w:type="dxa"/>
          </w:tcPr>
          <w:p>
            <w:pPr>
              <w:pStyle w:val="TableText"/>
            </w:pPr>
            <w:r>
              <w:t xml:space="preserve">Quota potenza trasporto MTA3 (&gt;500 kW)</w:t>
            </w:r>
          </w:p>
        </w:tc>
        <w:tc>
          <w:tcPr>
            <w:tcW w:w="250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1225" w:type="dxa"/>
          </w:tcPr>
          <w:p>
            <w:pPr>
              <w:pStyle w:val="TableText"/>
            </w:pPr>
            <w:r>
              <w:t xml:space="preserve">28,35 (= 2,36 €/kW/mese)</w:t>
            </w:r>
          </w:p>
        </w:tc>
        <w:tc>
          <w:tcPr>
            <w:tcW w:w="250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518" w:type="dxa"/>
          </w:tcPr>
          <w:p>
            <w:pPr>
              <w:pStyle w:val="TableText"/>
            </w:pPr>
            <w:r>
              <w:t xml:space="preserve">€/kW/anno</w:t>
            </w:r>
          </w:p>
        </w:tc>
        <w:tc>
          <w:tcPr>
            <w:tcW w:w="5182" w:type="dxa"/>
          </w:tcPr>
          <w:p>
            <w:pPr>
              <w:pStyle w:val="TableText"/>
            </w:pPr>
            <w:r>
              <w:t xml:space="preserve">[45] e-distribuzione 2026: 28,3493 €/kW/anno, applicata alla potenza massima prelevata nel mese</w:t>
            </w:r>
          </w:p>
        </w:tc>
      </w:tr>
      <w:tr>
        <w:tc>
          <w:tcPr>
            <w:tcW w:w="2214" w:type="dxa"/>
          </w:tcPr>
          <w:p>
            <w:pPr>
              <w:pStyle w:val="TableText"/>
            </w:pPr>
            <w:r>
              <w:t xml:space="preserve">Quota potenza MTA2 (100–500 kW)</w:t>
            </w:r>
          </w:p>
        </w:tc>
        <w:tc>
          <w:tcPr>
            <w:tcW w:w="250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1225" w:type="dxa"/>
          </w:tcPr>
          <w:p>
            <w:pPr>
              <w:pStyle w:val="TableText"/>
            </w:pPr>
            <w:r>
              <w:t xml:space="preserve">32,32 (= 2,69 €/kW/mese)</w:t>
            </w:r>
          </w:p>
        </w:tc>
        <w:tc>
          <w:tcPr>
            <w:tcW w:w="250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518" w:type="dxa"/>
          </w:tcPr>
          <w:p>
            <w:pPr>
              <w:pStyle w:val="TableText"/>
            </w:pPr>
            <w:r>
              <w:t xml:space="preserve">€/kW/anno</w:t>
            </w:r>
          </w:p>
        </w:tc>
        <w:tc>
          <w:tcPr>
            <w:tcW w:w="5182" w:type="dxa"/>
          </w:tcPr>
          <w:p>
            <w:pPr>
              <w:pStyle w:val="TableText"/>
            </w:pPr>
            <w:r>
              <w:t xml:space="preserve">[45]</w:t>
            </w:r>
          </w:p>
        </w:tc>
      </w:tr>
      <w:tr>
        <w:tc>
          <w:tcPr>
            <w:tcW w:w="2214" w:type="dxa"/>
          </w:tcPr>
          <w:p>
            <w:pPr>
              <w:pStyle w:val="TableText"/>
            </w:pPr>
            <w:r>
              <w:t xml:space="preserve">Quota potenza MTA1 (≤100 kW)</w:t>
            </w:r>
          </w:p>
        </w:tc>
        <w:tc>
          <w:tcPr>
            <w:tcW w:w="250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1225" w:type="dxa"/>
          </w:tcPr>
          <w:p>
            <w:pPr>
              <w:pStyle w:val="TableText"/>
            </w:pPr>
            <w:r>
              <w:t xml:space="preserve">35,99 (= 3,00 €/kW/mese)</w:t>
            </w:r>
          </w:p>
        </w:tc>
        <w:tc>
          <w:tcPr>
            <w:tcW w:w="250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518" w:type="dxa"/>
          </w:tcPr>
          <w:p>
            <w:pPr>
              <w:pStyle w:val="TableText"/>
            </w:pPr>
            <w:r>
              <w:t xml:space="preserve">€/kW/anno</w:t>
            </w:r>
          </w:p>
        </w:tc>
        <w:tc>
          <w:tcPr>
            <w:tcW w:w="5182" w:type="dxa"/>
          </w:tcPr>
          <w:p>
            <w:pPr>
              <w:pStyle w:val="TableText"/>
            </w:pPr>
            <w:r>
              <w:t xml:space="preserve">[45]</w:t>
            </w:r>
          </w:p>
        </w:tc>
      </w:tr>
      <w:tr>
        <w:tc>
          <w:tcPr>
            <w:tcW w:w="2214" w:type="dxa"/>
          </w:tcPr>
          <w:p>
            <w:pPr>
              <w:pStyle w:val="TableText"/>
            </w:pPr>
            <w:r>
              <w:t xml:space="preserve">Quota fissa MTA3</w:t>
            </w:r>
          </w:p>
        </w:tc>
        <w:tc>
          <w:tcPr>
            <w:tcW w:w="250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1225" w:type="dxa"/>
          </w:tcPr>
          <w:p>
            <w:pPr>
              <w:pStyle w:val="TableText"/>
            </w:pPr>
            <w:r>
              <w:t xml:space="preserve">702,77</w:t>
            </w:r>
          </w:p>
        </w:tc>
        <w:tc>
          <w:tcPr>
            <w:tcW w:w="250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518" w:type="dxa"/>
          </w:tcPr>
          <w:p>
            <w:pPr>
              <w:pStyle w:val="TableText"/>
            </w:pPr>
            <w:r>
              <w:t xml:space="preserve">€/anno</w:t>
            </w:r>
          </w:p>
        </w:tc>
        <w:tc>
          <w:tcPr>
            <w:tcW w:w="5182" w:type="dxa"/>
          </w:tcPr>
          <w:p>
            <w:pPr>
              <w:pStyle w:val="TableText"/>
            </w:pPr>
            <w:r>
              <w:t xml:space="preserve">[45]</w:t>
            </w:r>
          </w:p>
        </w:tc>
      </w:tr>
      <w:tr>
        <w:tc>
          <w:tcPr>
            <w:tcW w:w="2214" w:type="dxa"/>
          </w:tcPr>
          <w:p>
            <w:pPr>
              <w:pStyle w:val="TableText"/>
            </w:pPr>
            <w:r>
              <w:t xml:space="preserve">Eventuale quota potenza degli oneri ASOS/ARIM</w:t>
            </w:r>
          </w:p>
        </w:tc>
        <w:tc>
          <w:tcPr>
            <w:tcW w:w="250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1225" w:type="dxa"/>
          </w:tcPr>
          <w:p>
            <w:pPr>
              <w:pStyle w:val="TableText"/>
            </w:pPr>
            <w:r>
              <w:t xml:space="preserve">non trovato</w:t>
            </w:r>
          </w:p>
        </w:tc>
        <w:tc>
          <w:tcPr>
            <w:tcW w:w="250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518" w:type="dxa"/>
          </w:tcPr>
          <w:p>
            <w:pPr>
              <w:pStyle w:val="TableText"/>
            </w:pPr>
            <w:r>
              <w:t xml:space="preserve">€/kW/anno</w:t>
            </w:r>
          </w:p>
        </w:tc>
        <w:tc>
          <w:tcPr>
            <w:tcW w:w="5182" w:type="dxa"/>
          </w:tcPr>
          <w:p>
            <w:pPr>
              <w:pStyle w:val="TableText"/>
            </w:pPr>
            <w:r>
              <w:t xml:space="preserve">Verificare le tabelle ARERA. Senza questa quota il valore del solo peak shaving resta basso (≈2,4 €/kW/mese)</w:t>
            </w:r>
          </w:p>
        </w:tc>
      </w:tr>
    </w:tbl>
    <w:p>
      <w:pPr>
        <w:pStyle w:val="Normal"/>
        <w:spacing w:after="60"/>
      </w:pPr>
    </w:p>
    <w:p>
      <w:pPr>
        <w:pStyle w:val="Normal"/>
        <w:pBdr>
          <w:bottom w:val="single" w:sz="6" w:space="1" w:color="A0A8AE"/>
        </w:pBdr>
      </w:pPr>
    </w:p>
    <w:p>
      <w:pPr>
        <w:pStyle w:val="Heading1"/>
      </w:pPr>
      <w:r>
        <w:t xml:space="preserve">6) Parametri finanziari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2195"/>
        <w:gridCol w:w="244"/>
        <w:gridCol w:w="350"/>
        <w:gridCol w:w="244"/>
        <w:gridCol w:w="305"/>
        <w:gridCol w:w="6301"/>
      </w:tblGrid>
      <w:tr>
        <w:trPr>
          <w:tblHeader/>
        </w:trPr>
        <w:tc>
          <w:tcPr>
            <w:tcW w:w="2195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Voce</w:t>
            </w:r>
          </w:p>
        </w:tc>
        <w:tc>
          <w:tcPr>
            <w:tcW w:w="244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Min</w:t>
            </w:r>
          </w:p>
        </w:tc>
        <w:tc>
          <w:tcPr>
            <w:tcW w:w="350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Tipico</w:t>
            </w:r>
          </w:p>
        </w:tc>
        <w:tc>
          <w:tcPr>
            <w:tcW w:w="244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Max</w:t>
            </w:r>
          </w:p>
        </w:tc>
        <w:tc>
          <w:tcPr>
            <w:tcW w:w="305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Unità</w:t>
            </w:r>
          </w:p>
        </w:tc>
        <w:tc>
          <w:tcPr>
            <w:tcW w:w="6301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Fonte / nota</w:t>
            </w:r>
          </w:p>
        </w:tc>
      </w:tr>
      <w:tr>
        <w:tc>
          <w:tcPr>
            <w:tcW w:w="2195" w:type="dxa"/>
          </w:tcPr>
          <w:p>
            <w:pPr>
              <w:pStyle w:val="TableText"/>
            </w:pPr>
            <w:r>
              <w:t xml:space="preserve">Euribor 6M</w:t>
            </w:r>
          </w:p>
        </w:tc>
        <w:tc>
          <w:tcPr>
            <w:tcW w:w="244" w:type="dxa"/>
          </w:tcPr>
          <w:p>
            <w:pPr>
              <w:pStyle w:val="TableText"/>
            </w:pPr>
            <w:r>
              <w:t xml:space="preserve">2,10</w:t>
            </w:r>
          </w:p>
        </w:tc>
        <w:tc>
          <w:tcPr>
            <w:tcW w:w="350" w:type="dxa"/>
          </w:tcPr>
          <w:p>
            <w:pPr>
              <w:pStyle w:val="TableText"/>
            </w:pPr>
            <w:r>
              <w:t xml:space="preserve">2,72</w:t>
            </w:r>
          </w:p>
        </w:tc>
        <w:tc>
          <w:tcPr>
            <w:tcW w:w="244" w:type="dxa"/>
          </w:tcPr>
          <w:p>
            <w:pPr>
              <w:pStyle w:val="TableText"/>
            </w:pPr>
            <w:r>
              <w:t xml:space="preserve">2,80</w:t>
            </w:r>
          </w:p>
        </w:tc>
        <w:tc>
          <w:tcPr>
            <w:tcW w:w="305" w:type="dxa"/>
          </w:tcPr>
          <w:p>
            <w:pPr>
              <w:pStyle w:val="TableText"/>
            </w:pPr>
            <w:r>
              <w:t xml:space="preserve">%</w:t>
            </w:r>
          </w:p>
        </w:tc>
        <w:tc>
          <w:tcPr>
            <w:tcW w:w="6301" w:type="dxa"/>
          </w:tcPr>
          <w:p>
            <w:pPr>
              <w:pStyle w:val="TableText"/>
            </w:pPr>
            <w:r>
              <w:t xml:space="preserve">[33] euribor-rates.eu 24/07/2026: 2,723%; global-rates: min 2026 2,103%, max 2,724% (a luglio)</w:t>
            </w:r>
          </w:p>
        </w:tc>
      </w:tr>
      <w:tr>
        <w:tc>
          <w:tcPr>
            <w:tcW w:w="2195" w:type="dxa"/>
          </w:tcPr>
          <w:p>
            <w:pPr>
              <w:pStyle w:val="TableText"/>
            </w:pPr>
            <w:r>
              <w:t xml:space="preserve">Euribor 12M</w:t>
            </w:r>
          </w:p>
        </w:tc>
        <w:tc>
          <w:tcPr>
            <w:tcW w:w="244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350" w:type="dxa"/>
          </w:tcPr>
          <w:p>
            <w:pPr>
              <w:pStyle w:val="TableText"/>
            </w:pPr>
            <w:r>
              <w:t xml:space="preserve">3,33</w:t>
            </w:r>
          </w:p>
        </w:tc>
        <w:tc>
          <w:tcPr>
            <w:tcW w:w="244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305" w:type="dxa"/>
          </w:tcPr>
          <w:p>
            <w:pPr>
              <w:pStyle w:val="TableText"/>
            </w:pPr>
            <w:r>
              <w:t xml:space="preserve">%</w:t>
            </w:r>
          </w:p>
        </w:tc>
        <w:tc>
          <w:tcPr>
            <w:tcW w:w="6301" w:type="dxa"/>
          </w:tcPr>
          <w:p>
            <w:pPr>
              <w:pStyle w:val="TableText"/>
            </w:pPr>
            <w:r>
              <w:t xml:space="preserve">[34] rivaluta.it, 15/09/2026</w:t>
            </w:r>
          </w:p>
        </w:tc>
      </w:tr>
      <w:tr>
        <w:tc>
          <w:tcPr>
            <w:tcW w:w="2195" w:type="dxa"/>
          </w:tcPr>
          <w:p>
            <w:pPr>
              <w:pStyle w:val="TableText"/>
            </w:pPr>
            <w:r>
              <w:t xml:space="preserve">Tasso BCE sui depositi</w:t>
            </w:r>
          </w:p>
        </w:tc>
        <w:tc>
          <w:tcPr>
            <w:tcW w:w="244" w:type="dxa"/>
          </w:tcPr>
          <w:p>
            <w:pPr>
              <w:pStyle w:val="TableText"/>
            </w:pPr>
            <w:r>
              <w:t xml:space="preserve">2,00</w:t>
            </w:r>
          </w:p>
        </w:tc>
        <w:tc>
          <w:tcPr>
            <w:tcW w:w="350" w:type="dxa"/>
          </w:tcPr>
          <w:p>
            <w:pPr>
              <w:pStyle w:val="TableText"/>
            </w:pPr>
            <w:r>
              <w:t xml:space="preserve">2,50</w:t>
            </w:r>
          </w:p>
        </w:tc>
        <w:tc>
          <w:tcPr>
            <w:tcW w:w="244" w:type="dxa"/>
          </w:tcPr>
          <w:p>
            <w:pPr>
              <w:pStyle w:val="TableText"/>
            </w:pPr>
            <w:r>
              <w:t xml:space="preserve">2,50</w:t>
            </w:r>
          </w:p>
        </w:tc>
        <w:tc>
          <w:tcPr>
            <w:tcW w:w="305" w:type="dxa"/>
          </w:tcPr>
          <w:p>
            <w:pPr>
              <w:pStyle w:val="TableText"/>
            </w:pPr>
            <w:r>
              <w:t xml:space="preserve">%</w:t>
            </w:r>
          </w:p>
        </w:tc>
        <w:tc>
          <w:tcPr>
            <w:tcW w:w="6301" w:type="dxa"/>
          </w:tcPr>
          <w:p>
            <w:pPr>
              <w:pStyle w:val="TableText"/>
            </w:pPr>
            <w:r>
              <w:t xml:space="preserve">[34] 2,00% ad apr-2026 → 2,25% a giu-2026 → 2,50% dal 16/09/2026 (XTB e rivaluta, </w:t>
            </w:r>
            <w:r>
              <w:rPr>
                <w:b/>
              </w:rPr>
              <w:t xml:space="preserve">da verificare</w:t>
            </w:r>
            <w:r>
              <w:t xml:space="preserve"> su BCE). La decisione di ottobre 2026 non è stata trovata</w:t>
            </w:r>
          </w:p>
        </w:tc>
      </w:tr>
      <w:tr>
        <w:tc>
          <w:tcPr>
            <w:tcW w:w="2195" w:type="dxa"/>
          </w:tcPr>
          <w:p>
            <w:pPr>
              <w:pStyle w:val="TableText"/>
            </w:pPr>
            <w:r>
              <w:t xml:space="preserve">IRS/swap 10–15 anni (base del tasso fisso)</w:t>
            </w:r>
          </w:p>
        </w:tc>
        <w:tc>
          <w:tcPr>
            <w:tcW w:w="244" w:type="dxa"/>
          </w:tcPr>
          <w:p>
            <w:pPr>
              <w:pStyle w:val="TableText"/>
            </w:pPr>
            <w:r>
              <w:t xml:space="preserve">2,7</w:t>
            </w:r>
          </w:p>
        </w:tc>
        <w:tc>
          <w:tcPr>
            <w:tcW w:w="350" w:type="dxa"/>
          </w:tcPr>
          <w:p>
            <w:pPr>
              <w:pStyle w:val="TableText"/>
            </w:pPr>
            <w:r>
              <w:t xml:space="preserve">3,0</w:t>
            </w:r>
          </w:p>
        </w:tc>
        <w:tc>
          <w:tcPr>
            <w:tcW w:w="244" w:type="dxa"/>
          </w:tcPr>
          <w:p>
            <w:pPr>
              <w:pStyle w:val="TableText"/>
            </w:pPr>
            <w:r>
              <w:t xml:space="preserve">3,4</w:t>
            </w:r>
          </w:p>
        </w:tc>
        <w:tc>
          <w:tcPr>
            <w:tcW w:w="305" w:type="dxa"/>
          </w:tcPr>
          <w:p>
            <w:pPr>
              <w:pStyle w:val="TableText"/>
            </w:pPr>
            <w:r>
              <w:t xml:space="preserve">%</w:t>
            </w:r>
          </w:p>
        </w:tc>
        <w:tc>
          <w:tcPr>
            <w:tcW w:w="6301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 tra l'Euribor 12M e il Bund 10Y oltre 3,5% [50]</w:t>
            </w:r>
          </w:p>
        </w:tc>
      </w:tr>
      <w:tr>
        <w:tc>
          <w:tcPr>
            <w:tcW w:w="2195" w:type="dxa"/>
          </w:tcPr>
          <w:p>
            <w:pPr>
              <w:pStyle w:val="TableText"/>
            </w:pPr>
            <w:r>
              <w:t xml:space="preserve">Spread su project finance FV Italia</w:t>
            </w:r>
          </w:p>
        </w:tc>
        <w:tc>
          <w:tcPr>
            <w:tcW w:w="244" w:type="dxa"/>
          </w:tcPr>
          <w:p>
            <w:pPr>
              <w:pStyle w:val="TableText"/>
            </w:pPr>
            <w:r>
              <w:t xml:space="preserve">150</w:t>
            </w:r>
          </w:p>
        </w:tc>
        <w:tc>
          <w:tcPr>
            <w:tcW w:w="350" w:type="dxa"/>
          </w:tcPr>
          <w:p>
            <w:pPr>
              <w:pStyle w:val="TableText"/>
            </w:pPr>
            <w:r>
              <w:t xml:space="preserve">200</w:t>
            </w:r>
          </w:p>
        </w:tc>
        <w:tc>
          <w:tcPr>
            <w:tcW w:w="244" w:type="dxa"/>
          </w:tcPr>
          <w:p>
            <w:pPr>
              <w:pStyle w:val="TableText"/>
            </w:pPr>
            <w:r>
              <w:t xml:space="preserve">275</w:t>
            </w:r>
          </w:p>
        </w:tc>
        <w:tc>
          <w:tcPr>
            <w:tcW w:w="305" w:type="dxa"/>
          </w:tcPr>
          <w:p>
            <w:pPr>
              <w:pStyle w:val="TableText"/>
            </w:pPr>
            <w:r>
              <w:t xml:space="preserve">bps</w:t>
            </w:r>
          </w:p>
        </w:tc>
        <w:tc>
          <w:tcPr>
            <w:tcW w:w="6301" w:type="dxa"/>
          </w:tcPr>
          <w:p>
            <w:pPr>
              <w:pStyle w:val="TableText"/>
            </w:pPr>
            <w:r>
              <w:rPr>
                <w:b/>
              </w:rPr>
              <w:t xml:space="preserve">Non trovato</w:t>
            </w:r>
            <w:r>
              <w:t xml:space="preserve"> (margini non pubblicati per i deal 2026 [50b]). </w:t>
            </w:r>
            <w:r>
              <w:rPr>
                <w:b/>
              </w:rPr>
              <w:t xml:space="preserve">[stima]</w:t>
            </w:r>
          </w:p>
        </w:tc>
      </w:tr>
      <w:tr>
        <w:tc>
          <w:tcPr>
            <w:tcW w:w="2195" w:type="dxa"/>
          </w:tcPr>
          <w:p>
            <w:pPr>
              <w:pStyle w:val="TableText"/>
            </w:pPr>
            <w:r>
              <w:t xml:space="preserve">Costo del debito all-in (tasso fisso)</w:t>
            </w:r>
          </w:p>
        </w:tc>
        <w:tc>
          <w:tcPr>
            <w:tcW w:w="244" w:type="dxa"/>
          </w:tcPr>
          <w:p>
            <w:pPr>
              <w:pStyle w:val="TableText"/>
            </w:pPr>
            <w:r>
              <w:t xml:space="preserve">4,3</w:t>
            </w:r>
          </w:p>
        </w:tc>
        <w:tc>
          <w:tcPr>
            <w:tcW w:w="350" w:type="dxa"/>
          </w:tcPr>
          <w:p>
            <w:pPr>
              <w:pStyle w:val="TableText"/>
            </w:pPr>
            <w:r>
              <w:t xml:space="preserve">5,0</w:t>
            </w:r>
          </w:p>
        </w:tc>
        <w:tc>
          <w:tcPr>
            <w:tcW w:w="244" w:type="dxa"/>
          </w:tcPr>
          <w:p>
            <w:pPr>
              <w:pStyle w:val="TableText"/>
            </w:pPr>
            <w:r>
              <w:t xml:space="preserve">6,0</w:t>
            </w:r>
          </w:p>
        </w:tc>
        <w:tc>
          <w:tcPr>
            <w:tcW w:w="305" w:type="dxa"/>
          </w:tcPr>
          <w:p>
            <w:pPr>
              <w:pStyle w:val="TableText"/>
            </w:pPr>
            <w:r>
              <w:t xml:space="preserve">%</w:t>
            </w:r>
          </w:p>
        </w:tc>
        <w:tc>
          <w:tcPr>
            <w:tcW w:w="6301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 = IRS + spread</w:t>
            </w:r>
          </w:p>
        </w:tc>
      </w:tr>
      <w:tr>
        <w:tc>
          <w:tcPr>
            <w:tcW w:w="2195" w:type="dxa"/>
          </w:tcPr>
          <w:p>
            <w:pPr>
              <w:pStyle w:val="TableText"/>
            </w:pPr>
            <w:r>
              <w:t xml:space="preserve">Leva (debito/CAPEX), project finance</w:t>
            </w:r>
          </w:p>
        </w:tc>
        <w:tc>
          <w:tcPr>
            <w:tcW w:w="244" w:type="dxa"/>
          </w:tcPr>
          <w:p>
            <w:pPr>
              <w:pStyle w:val="TableText"/>
            </w:pPr>
            <w:r>
              <w:t xml:space="preserve">60</w:t>
            </w:r>
          </w:p>
        </w:tc>
        <w:tc>
          <w:tcPr>
            <w:tcW w:w="350" w:type="dxa"/>
          </w:tcPr>
          <w:p>
            <w:pPr>
              <w:pStyle w:val="TableText"/>
            </w:pPr>
            <w:r>
              <w:t xml:space="preserve">70</w:t>
            </w:r>
          </w:p>
        </w:tc>
        <w:tc>
          <w:tcPr>
            <w:tcW w:w="244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305" w:type="dxa"/>
          </w:tcPr>
          <w:p>
            <w:pPr>
              <w:pStyle w:val="TableText"/>
            </w:pPr>
            <w:r>
              <w:t xml:space="preserve">%</w:t>
            </w:r>
          </w:p>
        </w:tc>
        <w:tc>
          <w:tcPr>
            <w:tcW w:w="6301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; per il C&amp;I con finanziamento corporate 50–70%</w:t>
            </w:r>
          </w:p>
        </w:tc>
      </w:tr>
      <w:tr>
        <w:tc>
          <w:tcPr>
            <w:tcW w:w="2195" w:type="dxa"/>
          </w:tcPr>
          <w:p>
            <w:pPr>
              <w:pStyle w:val="TableText"/>
            </w:pPr>
            <w:r>
              <w:t xml:space="preserve">Durata del debito FV (tenor)</w:t>
            </w:r>
          </w:p>
        </w:tc>
        <w:tc>
          <w:tcPr>
            <w:tcW w:w="244" w:type="dxa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350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244" w:type="dxa"/>
          </w:tcPr>
          <w:p>
            <w:pPr>
              <w:pStyle w:val="TableText"/>
            </w:pPr>
            <w:r>
              <w:t xml:space="preserve">18</w:t>
            </w:r>
          </w:p>
        </w:tc>
        <w:tc>
          <w:tcPr>
            <w:tcW w:w="305" w:type="dxa"/>
          </w:tcPr>
          <w:p>
            <w:pPr>
              <w:pStyle w:val="TableText"/>
            </w:pPr>
            <w:r>
              <w:t xml:space="preserve">anni</w:t>
            </w:r>
          </w:p>
        </w:tc>
        <w:tc>
          <w:tcPr>
            <w:tcW w:w="6301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; con contratto FER X a 20 anni fino a 18 anni</w:t>
            </w:r>
          </w:p>
        </w:tc>
      </w:tr>
      <w:tr>
        <w:tc>
          <w:tcPr>
            <w:tcW w:w="2195" w:type="dxa"/>
          </w:tcPr>
          <w:p>
            <w:pPr>
              <w:pStyle w:val="TableText"/>
            </w:pPr>
            <w:r>
              <w:t xml:space="preserve">Durata del debito BESS</w:t>
            </w:r>
          </w:p>
        </w:tc>
        <w:tc>
          <w:tcPr>
            <w:tcW w:w="244" w:type="dxa"/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350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244" w:type="dxa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305" w:type="dxa"/>
          </w:tcPr>
          <w:p>
            <w:pPr>
              <w:pStyle w:val="TableText"/>
            </w:pPr>
            <w:r>
              <w:t xml:space="preserve">anni</w:t>
            </w:r>
          </w:p>
        </w:tc>
        <w:tc>
          <w:tcPr>
            <w:tcW w:w="6301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; MACSE 15 anni</w:t>
            </w:r>
          </w:p>
        </w:tc>
      </w:tr>
      <w:tr>
        <w:tc>
          <w:tcPr>
            <w:tcW w:w="2195" w:type="dxa"/>
          </w:tcPr>
          <w:p>
            <w:pPr>
              <w:pStyle w:val="TableText"/>
            </w:pPr>
            <w:r>
              <w:t xml:space="preserve">WACC BESS (regolatorio, nominale)</w:t>
            </w:r>
          </w:p>
        </w:tc>
        <w:tc>
          <w:tcPr>
            <w:tcW w:w="244" w:type="dxa"/>
          </w:tcPr>
          <w:p>
            <w:pPr>
              <w:pStyle w:val="TableText"/>
            </w:pPr>
            <w:r>
              <w:t xml:space="preserve">8,0</w:t>
            </w:r>
          </w:p>
        </w:tc>
        <w:tc>
          <w:tcPr>
            <w:tcW w:w="350" w:type="dxa"/>
          </w:tcPr>
          <w:p>
            <w:pPr>
              <w:pStyle w:val="TableText"/>
            </w:pPr>
            <w:r>
              <w:t xml:space="preserve">8,2</w:t>
            </w:r>
          </w:p>
        </w:tc>
        <w:tc>
          <w:tcPr>
            <w:tcW w:w="244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305" w:type="dxa"/>
          </w:tcPr>
          <w:p>
            <w:pPr>
              <w:pStyle w:val="TableText"/>
            </w:pPr>
            <w:r>
              <w:t xml:space="preserve">%</w:t>
            </w:r>
          </w:p>
        </w:tc>
        <w:tc>
          <w:tcPr>
            <w:tcW w:w="6301" w:type="dxa"/>
          </w:tcPr>
          <w:p>
            <w:pPr>
              <w:pStyle w:val="TableText"/>
            </w:pPr>
            <w:r>
              <w:t xml:space="preserve">[19] ARERA 332/2026, MACSE: da 8,0% a 8,2% (dati al 31/08/2026)</w:t>
            </w:r>
          </w:p>
        </w:tc>
      </w:tr>
      <w:tr>
        <w:tc>
          <w:tcPr>
            <w:tcW w:w="2195" w:type="dxa"/>
          </w:tcPr>
          <w:p>
            <w:pPr>
              <w:pStyle w:val="TableText"/>
            </w:pPr>
            <w:r>
              <w:t xml:space="preserve">WACC FV (regolatorio FER X, </w:t>
            </w:r>
            <w:r>
              <w:rPr>
                <w:b/>
              </w:rPr>
              <w:t xml:space="preserve">reale pre-tax</w:t>
            </w:r>
            <w:r>
              <w:t xml:space="preserve">)</w:t>
            </w:r>
          </w:p>
        </w:tc>
        <w:tc>
          <w:tcPr>
            <w:tcW w:w="244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350" w:type="dxa"/>
          </w:tcPr>
          <w:p>
            <w:pPr>
              <w:pStyle w:val="TableText"/>
            </w:pPr>
            <w:r>
              <w:t xml:space="preserve">6,5</w:t>
            </w:r>
          </w:p>
        </w:tc>
        <w:tc>
          <w:tcPr>
            <w:tcW w:w="244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305" w:type="dxa"/>
          </w:tcPr>
          <w:p>
            <w:pPr>
              <w:pStyle w:val="TableText"/>
            </w:pPr>
            <w:r>
              <w:t xml:space="preserve">%</w:t>
            </w:r>
          </w:p>
        </w:tc>
        <w:tc>
          <w:tcPr>
            <w:tcW w:w="6301" w:type="dxa"/>
          </w:tcPr>
          <w:p>
            <w:pPr>
              <w:pStyle w:val="TableText"/>
            </w:pPr>
            <w:r>
              <w:t xml:space="preserve">[24b] consultazione ARERA 239/2025</w:t>
            </w:r>
          </w:p>
        </w:tc>
      </w:tr>
      <w:tr>
        <w:tc>
          <w:tcPr>
            <w:tcW w:w="2195" w:type="dxa"/>
          </w:tcPr>
          <w:p>
            <w:pPr>
              <w:pStyle w:val="TableText"/>
            </w:pPr>
            <w:r>
              <w:t xml:space="preserve">WACC FV C&amp;I nominale post-tax (merchant/autoconsumo)</w:t>
            </w:r>
          </w:p>
        </w:tc>
        <w:tc>
          <w:tcPr>
            <w:tcW w:w="244" w:type="dxa"/>
          </w:tcPr>
          <w:p>
            <w:pPr>
              <w:pStyle w:val="TableText"/>
            </w:pPr>
            <w:r>
              <w:t xml:space="preserve">6,0</w:t>
            </w:r>
          </w:p>
        </w:tc>
        <w:tc>
          <w:tcPr>
            <w:tcW w:w="350" w:type="dxa"/>
          </w:tcPr>
          <w:p>
            <w:pPr>
              <w:pStyle w:val="TableText"/>
            </w:pPr>
            <w:r>
              <w:t xml:space="preserve">7,0</w:t>
            </w:r>
          </w:p>
        </w:tc>
        <w:tc>
          <w:tcPr>
            <w:tcW w:w="244" w:type="dxa"/>
          </w:tcPr>
          <w:p>
            <w:pPr>
              <w:pStyle w:val="TableText"/>
            </w:pPr>
            <w:r>
              <w:t xml:space="preserve">8,5</w:t>
            </w:r>
          </w:p>
        </w:tc>
        <w:tc>
          <w:tcPr>
            <w:tcW w:w="305" w:type="dxa"/>
          </w:tcPr>
          <w:p>
            <w:pPr>
              <w:pStyle w:val="TableText"/>
            </w:pPr>
            <w:r>
              <w:t xml:space="preserve">%</w:t>
            </w:r>
          </w:p>
        </w:tc>
        <w:tc>
          <w:tcPr>
            <w:tcW w:w="6301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; riferimento storico Vartiainen et al.: 7% nominale per l'utility FV in Europa [51]</w:t>
            </w:r>
          </w:p>
        </w:tc>
      </w:tr>
      <w:tr>
        <w:tc>
          <w:tcPr>
            <w:tcW w:w="2195" w:type="dxa"/>
          </w:tcPr>
          <w:p>
            <w:pPr>
              <w:pStyle w:val="TableText"/>
            </w:pPr>
            <w:r>
              <w:t xml:space="preserve">Inflazione Italia 2026 / 2027 / 2028</w:t>
            </w:r>
          </w:p>
        </w:tc>
        <w:tc>
          <w:tcPr>
            <w:tcW w:w="244" w:type="dxa"/>
          </w:tcPr>
          <w:p>
            <w:pPr>
              <w:pStyle w:val="TableText"/>
            </w:pPr>
            <w:r>
              <w:t xml:space="preserve">1,7</w:t>
            </w:r>
          </w:p>
        </w:tc>
        <w:tc>
          <w:tcPr>
            <w:tcW w:w="350" w:type="dxa"/>
          </w:tcPr>
          <w:p>
            <w:pPr>
              <w:pStyle w:val="TableText"/>
            </w:pPr>
            <w:r>
              <w:t xml:space="preserve">2,4</w:t>
            </w:r>
          </w:p>
        </w:tc>
        <w:tc>
          <w:tcPr>
            <w:tcW w:w="244" w:type="dxa"/>
          </w:tcPr>
          <w:p>
            <w:pPr>
              <w:pStyle w:val="TableText"/>
            </w:pPr>
            <w:r>
              <w:t xml:space="preserve">3,2</w:t>
            </w:r>
          </w:p>
        </w:tc>
        <w:tc>
          <w:tcPr>
            <w:tcW w:w="305" w:type="dxa"/>
          </w:tcPr>
          <w:p>
            <w:pPr>
              <w:pStyle w:val="TableText"/>
            </w:pPr>
            <w:r>
              <w:t xml:space="preserve">%</w:t>
            </w:r>
          </w:p>
        </w:tc>
        <w:tc>
          <w:tcPr>
            <w:tcW w:w="6301" w:type="dxa"/>
          </w:tcPr>
          <w:p>
            <w:pPr>
              <w:pStyle w:val="TableText"/>
            </w:pPr>
            <w:r>
              <w:t xml:space="preserve">[52] Banca d'Italia ott-2026: 3,2% nel 2026, 2,4% nel 2027, 1,7% nel 2028 (ipotesi petrolio 114 $/bbl)</w:t>
            </w:r>
          </w:p>
        </w:tc>
      </w:tr>
      <w:tr>
        <w:tc>
          <w:tcPr>
            <w:tcW w:w="2195" w:type="dxa"/>
          </w:tcPr>
          <w:p>
            <w:pPr>
              <w:pStyle w:val="TableText"/>
            </w:pPr>
            <w:r>
              <w:t xml:space="preserve">Inflazione Italia 2029–2030</w:t>
            </w:r>
          </w:p>
        </w:tc>
        <w:tc>
          <w:tcPr>
            <w:tcW w:w="244" w:type="dxa"/>
          </w:tcPr>
          <w:p>
            <w:pPr>
              <w:pStyle w:val="TableText"/>
            </w:pPr>
            <w:r>
              <w:t xml:space="preserve">1,7</w:t>
            </w:r>
          </w:p>
        </w:tc>
        <w:tc>
          <w:tcPr>
            <w:tcW w:w="350" w:type="dxa"/>
          </w:tcPr>
          <w:p>
            <w:pPr>
              <w:pStyle w:val="TableText"/>
            </w:pPr>
            <w:r>
              <w:t xml:space="preserve">2,0</w:t>
            </w:r>
          </w:p>
        </w:tc>
        <w:tc>
          <w:tcPr>
            <w:tcW w:w="244" w:type="dxa"/>
          </w:tcPr>
          <w:p>
            <w:pPr>
              <w:pStyle w:val="TableText"/>
            </w:pPr>
            <w:r>
              <w:t xml:space="preserve">2,3</w:t>
            </w:r>
          </w:p>
        </w:tc>
        <w:tc>
          <w:tcPr>
            <w:tcW w:w="305" w:type="dxa"/>
          </w:tcPr>
          <w:p>
            <w:pPr>
              <w:pStyle w:val="TableText"/>
            </w:pPr>
            <w:r>
              <w:t xml:space="preserve">%</w:t>
            </w:r>
          </w:p>
        </w:tc>
        <w:tc>
          <w:tcPr>
            <w:tcW w:w="6301" w:type="dxa"/>
          </w:tcPr>
          <w:p>
            <w:pPr>
              <w:pStyle w:val="TableText"/>
            </w:pPr>
            <w:r>
              <w:rPr>
                <w:b/>
              </w:rPr>
              <w:t xml:space="preserve">[stima]</w:t>
            </w:r>
            <w:r>
              <w:t xml:space="preserve"> = obiettivo BCE</w:t>
            </w:r>
          </w:p>
        </w:tc>
      </w:tr>
    </w:tbl>
    <w:p>
      <w:pPr>
        <w:pStyle w:val="Normal"/>
        <w:spacing w:after="60"/>
      </w:pPr>
    </w:p>
    <w:p>
      <w:pPr>
        <w:pStyle w:val="Normal"/>
        <w:pBdr>
          <w:bottom w:val="single" w:sz="6" w:space="1" w:color="A0A8AE"/>
        </w:pBdr>
      </w:pPr>
    </w:p>
    <w:p>
      <w:pPr>
        <w:pStyle w:val="Heading1"/>
      </w:pPr>
      <w:r>
        <w:t xml:space="preserve">Default consigliati per il simulatore</w:t>
      </w:r>
    </w:p>
    <w:tbl>
      <w:tblPr>
        <w:tblW w:w="5000" w:type="pct"/>
        <w:tblBorders>
          <w:top w:val="single" w:sz="4" w:space="0" w:color="A0A8AE"/>
          <w:left w:val="single" w:sz="4" w:space="0" w:color="A0A8AE"/>
          <w:bottom w:val="single" w:sz="4" w:space="0" w:color="A0A8AE"/>
          <w:right w:val="single" w:sz="4" w:space="0" w:color="A0A8AE"/>
          <w:insideH w:val="single" w:sz="4" w:space="0" w:color="A0A8AE"/>
          <w:insideV w:val="single" w:sz="4" w:space="0" w:color="A0A8AE"/>
        </w:tblBorders>
        <w:tblLayout w:type="fixed"/>
        <w:tblCellMar>
          <w:left w:w="70" w:type="dxa"/>
          <w:right w:w="70" w:type="dxa"/>
        </w:tblCellMar>
      </w:tblPr>
      <w:tblGrid>
        <w:gridCol w:w="1579"/>
        <w:gridCol w:w="1620"/>
        <w:gridCol w:w="4611"/>
        <w:gridCol w:w="1828"/>
      </w:tblGrid>
      <w:tr>
        <w:trPr>
          <w:tblHeader/>
        </w:trPr>
        <w:tc>
          <w:tcPr>
            <w:tcW w:w="1579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Chiave</w:t>
            </w:r>
          </w:p>
        </w:tc>
        <w:tc>
          <w:tcPr>
            <w:tcW w:w="1620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Valore</w:t>
            </w:r>
          </w:p>
        </w:tc>
        <w:tc>
          <w:tcPr>
            <w:tcW w:w="4611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Unità</w:t>
            </w:r>
          </w:p>
        </w:tc>
        <w:tc>
          <w:tcPr>
            <w:tcW w:w="1828" w:type="dxa"/>
            <w:shd w:val="clear" w:color="auto" w:fill="E3EAEC"/>
          </w:tcPr>
          <w:p>
            <w:pPr>
              <w:pStyle w:val="TableText"/>
            </w:pPr>
            <w:r>
              <w:rPr>
                <w:b/>
              </w:rPr>
              <w:t xml:space="preserve">Base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pv.module_price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0.13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[1][2] spot + logistica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pv.inverter_string_price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0.035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[5] + stima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pv.inverter_central_price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0.045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[stima]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pv.structure_fixed_ground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0.05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[7]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pv.structure_tracker_1axis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0.08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[7]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pv.structure_roof_ballast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0.055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[stima]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pv.bos_electrical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0.06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[stima]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pv.mv_substation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0.06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[9] + stima (≈0,10 a 1 MWp; 0,04 a 10 MWp)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pv.grid_connection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0.03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[10] TICA + stima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pv.installation_labour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0.08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[stima]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pv.civil_works_ground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0.035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[stima]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pv.fence_security_ground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0.02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[stima]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pv.engineering_permits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0.03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[stima]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pv.development_ground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0.05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[stima]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pv.epc_total_roof_CI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0.65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[11] + somma delle voci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pv.epc_total_ground_fixed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0.62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€/Wp (escluso sviluppo)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somma delle voci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pv.epc_total_ground_tracker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0.69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€/Wp (escluso sviluppo)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somma delle voci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bess.capex_turnkey_2h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260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€/kWh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§2.2 [stima] su [17][18][19][21]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bess.capex_turnkey_4h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210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€/kWh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§2.2 [stima]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bess.pcs_price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60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€/kW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[stima]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bess.augmentation_price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120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€/kWh aggiunto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[23] + stima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bess.augmentation_year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anno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[23]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pv.om_cost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€/kWp/anno (tetto); 11 a terra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[stima]; [24]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pv.monitoring_cost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1.0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€/kWp/anno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[stima]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pv.inverter_replacement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0.04 (una volta, anno 13)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€/Wp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[5] + stima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pv.insurance_rate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0.30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% CAPEX/anno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[stima]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pv.security_cost_ground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€/kWp/anno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[stima]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pv.imu_ground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1.5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€/kWp/anno (0 su tetto)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[29] + stima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land.lease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3000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€/ha/anno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[30]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land.use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1.5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ha/MWp (fisso 1,3; tracker 1,8)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[stima]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bess.om_rate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1.5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% CAPEX/anno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[23][26][19c]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bess.insurance_rate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0.4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% CAPEX/anno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[stima]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pv.degr_year1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1.0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%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[32]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pv.degr_annual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0.4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%/anno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[32]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bess.rte_ac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%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[26][19b]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bess.cycle_life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8000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cicli (al 80% SoH)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[35]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bess.calendar_life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anni (20 con augmentation)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[19b][26]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bess.degr_annual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2.0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%/anno (≈1 ciclo/giorno)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[23]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yield.fixed_north / centre / south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1250 / 1480 / 1600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kWh/kWp/anno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[stima PVGIS] + [36][36b]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yield.tracker_north / centre / south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1450 / 1750 / 1850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kWh/kWp/anno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[36b] + stima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price.pun_base_2027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130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€/MWh (scenari 100 / 130 / 170)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[12][13][16][38] stima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price.fascia_mult_F1/F2/F3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1.07 / 1.03 / 0.93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× PUN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[12][13c] stima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price.solar_capture_rate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0.86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× PUN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[41]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price.bess_spread_evening_vs_solar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70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€/MWh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[42] stima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price.rid_min_guaranteed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47.5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€/MWh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[43]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grid.loss_factor_MT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3.8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% sul PUN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[stima] §5.2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grid.withdrawal_adders_MT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85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€/MWh oltre il PUN×1,038 (disp. 11,6 + capacità 15,9 + fornitore 8 + trasporto 11,6 + oneri 25 + accisa 12,5)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§5.2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grid.power_charge_MT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2.36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€/kW/mese (MTA3)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[45]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fin.wacc_pv / fin.wacc_bess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7.0 / 8.2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% nominale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[stima] / [19]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fin.debt_rate / leverage / tenor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5.0% / 70% / 15 anni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–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[stima] su [33][34]</w:t>
            </w:r>
          </w:p>
        </w:tc>
      </w:tr>
      <w:tr>
        <w:tc>
          <w:tcPr>
            <w:tcW w:w="1579" w:type="dxa"/>
          </w:tcPr>
          <w:p>
            <w:pPr>
              <w:pStyle w:val="TableText"/>
            </w:pPr>
            <w:r>
              <w:t xml:space="preserve">fin.inflation</w:t>
            </w:r>
          </w:p>
        </w:tc>
        <w:tc>
          <w:tcPr>
            <w:tcW w:w="1620" w:type="dxa"/>
          </w:tcPr>
          <w:p>
            <w:pPr>
              <w:pStyle w:val="TableText"/>
            </w:pPr>
            <w:r>
              <w:t xml:space="preserve">3.2 (2026), 2.4 (2027), 2.0 (2028–30)</w:t>
            </w:r>
          </w:p>
        </w:tc>
        <w:tc>
          <w:tcPr>
            <w:tcW w:w="4611" w:type="dxa"/>
          </w:tcPr>
          <w:p>
            <w:pPr>
              <w:pStyle w:val="TableText"/>
            </w:pPr>
            <w:r>
              <w:t xml:space="preserve">%</w:t>
            </w:r>
          </w:p>
        </w:tc>
        <w:tc>
          <w:tcPr>
            <w:tcW w:w="1828" w:type="dxa"/>
          </w:tcPr>
          <w:p>
            <w:pPr>
              <w:pStyle w:val="TableText"/>
            </w:pPr>
            <w:r>
              <w:t xml:space="preserve">[52] + stima</w:t>
            </w:r>
          </w:p>
        </w:tc>
      </w:tr>
    </w:tbl>
    <w:p>
      <w:pPr>
        <w:pStyle w:val="Normal"/>
        <w:spacing w:after="60"/>
      </w:pPr>
    </w:p>
    <w:p>
      <w:pPr>
        <w:pStyle w:val="Normal"/>
        <w:pBdr>
          <w:bottom w:val="single" w:sz="6" w:space="1" w:color="A0A8AE"/>
        </w:pBdr>
      </w:pPr>
    </w:p>
    <w:p>
      <w:pPr>
        <w:pStyle w:val="Heading1"/>
      </w:pPr>
      <w:r>
        <w:t xml:space="preserve">Fonti (consultate il 27/10/2026)</w:t>
      </w:r>
    </w:p>
    <w:p>
      <w:pPr>
        <w:pStyle w:val="ListParagraph"/>
      </w:pPr>
      <w:r>
        <w:t xml:space="preserve">1. </w:t>
      </w:r>
      <w:r>
        <w:t xml:space="preserve">sun.store PV Index via PV Tech, "European PV module prices inch downwards in September" (set/ott-2026) e articoli di luglio e agosto 2026 – https://www.pv-tech.org/european-pv-module-prices-ease-out-in-september/ ; https://www.pv-tech.org/european-pv-module-prices-and-demand-fall-in-august/ ; https://www.pv-tech.org/european-premium-pv-module-prices-keep-rising-bifacial-topcon-cools-off/</w:t>
      </w:r>
    </w:p>
    <w:p>
      <w:pPr>
        <w:pStyle w:val="ListParagraph"/>
      </w:pPr>
      <w:r>
        <w:t xml:space="preserve">2. </w:t>
      </w:r>
      <w:r>
        <w:t xml:space="preserve">pvXchange (via EMA Energiewelt, mag-2026; Solarserver; Logicenergy 2026) – https://ema-energiewelt.de/wissen/solarmodule-preise-anstieg-2026-trendwende ; https://www.solarserver.de/photovoltaik-preis-pv-modul-preisindex/ ; https://www.logicenergy.de/neuigkeiten/pv-preisentwicklung-2026</w:t>
      </w:r>
    </w:p>
    <w:p>
      <w:pPr>
        <w:pStyle w:val="ListParagraph"/>
      </w:pPr>
      <w:r>
        <w:t xml:space="preserve">3. </w:t>
      </w:r>
      <w:r>
        <w:t xml:space="preserve">OPIS via pv magazine India, "China solar module forward prices ease amid softer Europe demand" (04/07/2026) – https://www.pv-magazine-india.com/2026/07/04/china-solar-module-forward-prices-ease-amid-softer-europe-demand/</w:t>
      </w:r>
    </w:p>
    <w:p>
      <w:pPr>
        <w:pStyle w:val="ListParagraph"/>
      </w:pPr>
      <w:r>
        <w:t xml:space="preserve">4. </w:t>
      </w:r>
      <w:r>
        <w:t xml:space="preserve">EMA Energiewelt, "Photovoltaik-Markt 2026: Preise, Hersteller, Trends" (2026) – https://ema-energiewelt.de/wissen/photovoltaik-markt-2026-preise-hersteller-trends</w:t>
      </w:r>
    </w:p>
    <w:p>
      <w:pPr>
        <w:pStyle w:val="ListParagraph"/>
      </w:pPr>
      <w:r>
        <w:t xml:space="preserve">5. </w:t>
      </w:r>
      <w:r>
        <w:t xml:space="preserve">sun.store PV Index, inverter ago-2026 (via PV Tech) – https://www.pv-tech.org/european-pv-module-prices-and-demand-fall-in-august/ ; dati 2024: https://pv-tech.org/european-module-prices-decline-december-sun-store-latest-pv-index-report</w:t>
      </w:r>
    </w:p>
    <w:p>
      <w:pPr>
        <w:pStyle w:val="ListParagraph"/>
      </w:pPr>
      <w:r>
        <w:t xml:space="preserve">6. </w:t>
      </w:r>
      <w:r>
        <w:t xml:space="preserve">Solar Builder, "Saving costs with large-scale string inverter design, part 1" (data non indicata) – https://solarbuildermag.com/solar-tariff/solar-costs-savings-large-scale-string-inverter-design-part-1/</w:t>
      </w:r>
    </w:p>
    <w:p>
      <w:pPr>
        <w:pStyle w:val="ListParagraph"/>
      </w:pPr>
      <w:r>
        <w:t xml:space="preserve">7. </w:t>
      </w:r>
      <w:r>
        <w:t xml:space="preserve">TaiyangNews, "Balancing Higher Tracker Costs With Increased Energy Yields" (data non indicata, 2025 circa) – https://taiyangnews.info/technology/balancing-higher-tracker-costs-with-increased-energy-yields</w:t>
      </w:r>
    </w:p>
    <w:p>
      <w:pPr>
        <w:pStyle w:val="ListParagraph"/>
      </w:pPr>
      <w:r>
        <w:t xml:space="preserve">8. </w:t>
      </w:r>
      <w:r>
        <w:t xml:space="preserve">Sun Ballast, scheda EasyWest; solareindustriale.it, progetto 500 kW – https://www.sunballast.com/wp-content/uploads/2024/06/SB-IT-SCHEDA-TECNICA-EASY-WEST-V2.pdf ; https://www.solareindustriale.it/progetti/impianto-fotovoltaico-500-kw</w:t>
      </w:r>
    </w:p>
    <w:p>
      <w:pPr>
        <w:pStyle w:val="ListParagraph"/>
      </w:pPr>
      <w:r>
        <w:t xml:space="preserve">9. </w:t>
      </w:r>
      <w:r>
        <w:t xml:space="preserve">MASE – Valutazioni ambientali, elenchi prezzi di progetti FV (cabina 68.000 €, trafo 2 MVA) – https://va.mite.gov.it/File/Documento/786122 ; https://va.mite.gov.it/File/Documento/732585</w:t>
      </w:r>
    </w:p>
    <w:p>
      <w:pPr>
        <w:pStyle w:val="ListParagraph"/>
      </w:pPr>
      <w:r>
        <w:t xml:space="preserve">10. </w:t>
      </w:r>
      <w:r>
        <w:t xml:space="preserve">ARERA, TICA e Tabelle TIC 2026 (delibera 575/2025/R/eel, 23/12/2025) – https://www.arera.it/fileadmin/allegati/docs/25/575-2025-R-eel-TABELLE_TIC.pdf ; FAQ TIT: https://www.arera.it/operatore-elettricita/faq-testo-integrato-trasmissione-distribuzione-e-misura-dellenergia-1</w:t>
      </w:r>
    </w:p>
    <w:p>
      <w:pPr>
        <w:pStyle w:val="ListParagraph"/>
      </w:pPr>
      <w:r>
        <w:t xml:space="preserve">11. </w:t>
      </w:r>
      <w:r>
        <w:t xml:space="preserve">solareindustriale.it, progetti 100/200/250/500 kW e 1 MW (2026, fonte commerciale) – https://www.solareindustriale.it/progetti/impianto-fotovoltaico-200-kw ; https://www.solareindustriale.it/progetti/impianto-fotovoltaico-100-kw ; https://www.solareindustriale.it/progetti/impianto-fotovoltaico-1-mw</w:t>
      </w:r>
    </w:p>
    <w:p>
      <w:pPr>
        <w:pStyle w:val="Normal"/>
      </w:pPr>
      <w:r>
        <w:t xml:space="preserve">11b. QualEnergia, "Fotovoltaico su tetti piani, Contact Italia punta sull'inseguimento monoassiale" – https://www.qualenergia.it/articoli/fotovoltaico-tetti-piani-contact-italia-punta-inseguimento-monoassiale/</w:t>
      </w:r>
    </w:p>
    <w:p>
      <w:pPr>
        <w:pStyle w:val="ListParagraph"/>
      </w:pPr>
      <w:r>
        <w:t xml:space="preserve">12. </w:t>
      </w:r>
      <w:r>
        <w:t xml:space="preserve">QualEnergia, "Nel 2025 Pun medio a 115 euro per MWh" (gen-2026, su newsletter GME) – https://www.qualenergia.it/pro/articoli-pro/nel-2025-pun-medio-a-115-euro-mwh/ ; Newsletter GME 16/01/2026 – https://gme.mercatoelettrico.org/Portals/0/Documents/\../Newsletter/20260116Newsletter.pdf</w:t>
      </w:r>
    </w:p>
    <w:p>
      <w:pPr>
        <w:pStyle w:val="Normal"/>
      </w:pPr>
      <w:r>
        <w:t xml:space="preserve">12b. GME, Relazione annuale 2025 – https://www.mercatoelettrico.org/Portals/0/Documents/it-IT/Gme_RelazioneAnnualeWeb_2025.pdf 12c. Facile.it, riepilogo dei prezzi 2025 – https://www.facile.it/energia-luce-gas/news/prezzi-gas-elettricita-italia-dati-riassuntivi-2025.html 12d. CCIAA Genova, Newsletter energia e gas n. 14–16 (2025) – https://www.ge.camcom.gov.it/it/tutela/prezzi-e-tariffe/prezzi-medi-mensili-del-gas-naturale-1/newsletter-energia-e-gas-1/archivio-energia-e-gas/251017-newsletter-energia-e-gas-n-16.pdf</w:t>
      </w:r>
    </w:p>
    <w:p>
      <w:pPr>
        <w:pStyle w:val="ListParagraph"/>
      </w:pPr>
      <w:r>
        <w:t xml:space="preserve">13. </w:t>
      </w:r>
      <w:r>
        <w:t xml:space="preserve">Italia Solare, comunicato "mercato elettrico Q2 2026" (16/07/2026) e abstract del report mercati del 06/07/2026 – https://www.italiasolare.eu/wp-content/uploads/2026/07/20260716_cs-mercato-elettrico-1.pdf ; https://is.italiasolare.eu/data/report/abstract/italia-solare-report-mercati-20260706-abstract.pdf</w:t>
      </w:r>
    </w:p>
    <w:p>
      <w:pPr>
        <w:pStyle w:val="Normal"/>
      </w:pPr>
      <w:r>
        <w:t xml:space="preserve">13b. Switcho, "PUN maggio 2026" (tabella mensile), "PUN settembre 2026" – https://www.switcho.it/blog/luce-gas/pun-maggio-2026/ ; https://www.switcho.it/blog/luce-gas/pun-settembre-2026/ 13c. Switcho, tabella PUN per fasce (ott–dic 2025) – https://www.switcho.it/blog/?p=115368</w:t>
      </w:r>
    </w:p>
    <w:p>
      <w:pPr>
        <w:pStyle w:val="ListParagraph"/>
      </w:pPr>
      <w:r>
        <w:t xml:space="preserve">14. </w:t>
      </w:r>
      <w:r>
        <w:t xml:space="preserve">BloombergNEF, Lithium-Ion Battery Price Survey 2025 (comunicato, dic-2025) – https://about.bnef.com/insights/clean-energy/lithium-ion-battery-pack-prices/ ; https://about.bnef.com/insights/clean-transport/new-record-lows-for-battery-prices/</w:t>
      </w:r>
    </w:p>
    <w:p>
      <w:pPr>
        <w:pStyle w:val="ListParagraph"/>
      </w:pPr>
      <w:r>
        <w:t xml:space="preserve">15. </w:t>
      </w:r>
      <w:r>
        <w:t xml:space="preserve">ESS News, "China's 314 Ah storage cell prices climb more than 20% in six months" (22/04/2026, dati InfoLink); Benchmark Minerals, "Cell Price Review Q3 2026" – https://www.ess-news.com/2026/04/22/chinas-314-ah-storage-cell-prices-climb-more-than-20-in-six-months/ ; https://source.benchmarkminerals.com/article/lithium-cost-pass-through-drives-volatile-quarter-for-energy-storage-cells-cell-price-review-q3-2026</w:t>
      </w:r>
    </w:p>
    <w:p>
      <w:pPr>
        <w:pStyle w:val="ListParagraph"/>
      </w:pPr>
      <w:r>
        <w:t xml:space="preserve">16. </w:t>
      </w:r>
      <w:r>
        <w:t xml:space="preserve">Il Sole 24 Ore (EN), "Electricity producers 2026, exceptional circumstances…" (set-2026, Elettricità Futura su dati GME: mag 119, giu 132, lug 157, ago 180; 212 €/MWh il 2/9) – https://en.ilsole24ore.com/art/electricity-producers-2026-exceptional-circumstances-now-more-renewables-AJvUzz0</w:t>
      </w:r>
    </w:p>
    <w:p>
      <w:pPr>
        <w:pStyle w:val="Normal"/>
      </w:pPr>
      <w:r>
        <w:t xml:space="preserve">16b. ESS News, "Flexibility shapes Europe's storage future: signals from China's supply chain" (16/07/2026, InfoLink) – https://www.ess-news.com/2026/07/16/flexibility-shapes-europes-storage-future-signals-from-chinas-supply-chain/ 16c. Comparasemplice, aggiornamenti PUN giornalieri 10/20/21-10-2026 (dati GME) – https://www.comparasemplice.it/informazioni/news/pun-aggiornamento-del-20-10-2026</w:t>
      </w:r>
    </w:p>
    <w:p>
      <w:pPr>
        <w:pStyle w:val="ListParagraph"/>
      </w:pPr>
      <w:r>
        <w:t xml:space="preserve">17. </w:t>
      </w:r>
      <w:r>
        <w:t xml:space="preserve">BNEF Energy Storage System Cost Survey 2025 via Energy-Storage.news (dic-2025) – https://www.energy-storage.news/behind-the-numbers-bnef-finds-40-year-on-year-drop-in-bess-costs/ ; https://www.energy-storage.news/?p=92133</w:t>
      </w:r>
    </w:p>
    <w:p>
      <w:pPr>
        <w:pStyle w:val="ListParagraph"/>
      </w:pPr>
      <w:r>
        <w:t xml:space="preserve">18. </w:t>
      </w:r>
      <w:r>
        <w:t xml:space="preserve">Ember, "How cheap is battery storage?" (dic-2025, dati di ott-2025) – https://ember-energy.org/latest-insights/how-cheap-is-battery-storage/</w:t>
      </w:r>
    </w:p>
    <w:p>
      <w:pPr>
        <w:pStyle w:val="ListParagraph"/>
      </w:pPr>
      <w:r>
        <w:t xml:space="preserve">19. </w:t>
      </w:r>
      <w:r>
        <w:t xml:space="preserve">ESS News, "Italy's next MACSE: ARERA sets auction premium cap higher, up from €22,000 to €27,000/MWh" (28/09/2026); ARERA delibera 332/2026/R/eel (24/09/2026) – https://www.ess-news.com/2026/09/28/italys-next-macse-arera-sets-auction-premium-cap-higher-up-from-e22000-to-e27000-mwh/ ; https://www.arera.it/fileadmin/allegati/docs/26/332-2026-R-eel.pdf</w:t>
      </w:r>
    </w:p>
    <w:p>
      <w:pPr>
        <w:pStyle w:val="Normal"/>
      </w:pPr>
      <w:r>
        <w:t xml:space="preserve">19b. Studio tecnico ARERA sugli accumuli (Allegato B alla delibera 168/2025, citato da Energía Estratégica) – https://arera.it/fileadmin/allegati/docs/25/168-2025-R-eel-ALLEGATO_B.pdf ; https://energiaestrategica.com/strategicenergy/en/notes/macse-italy 19c. ESS News, "Italy's MACSE Auction: battery storage price cap boosted to €37,000" (2025) – https://www.ess-news.com/?p=6100</w:t>
      </w:r>
    </w:p>
    <w:p>
      <w:pPr>
        <w:pStyle w:val="ListParagraph"/>
      </w:pPr>
      <w:r>
        <w:t xml:space="preserve">20. </w:t>
      </w:r>
      <w:r>
        <w:t xml:space="preserve">Modo Energy, "Global battery capex – September 2026" (abstract) – https://modoenergy.com/research/global-battery-capex-september-2026-research</w:t>
      </w:r>
    </w:p>
    <w:p>
      <w:pPr>
        <w:pStyle w:val="ListParagraph"/>
      </w:pPr>
      <w:r>
        <w:t xml:space="preserve">21. </w:t>
      </w:r>
      <w:r>
        <w:t xml:space="preserve">solareindustriale.it, "Quando conviene installare un sistema BESS" e "Accumulo BESS" (2026, fonte commerciale) – https://www.solareindustriale.it/blog-fotovoltaico/quando-conviene-installare-un-sistema-bess ; https://www.solareindustriale.it/accumulo-bess</w:t>
      </w:r>
    </w:p>
    <w:p>
      <w:pPr>
        <w:pStyle w:val="ListParagraph"/>
      </w:pPr>
      <w:r>
        <w:t xml:space="preserve">22. </w:t>
      </w:r>
      <w:r>
        <w:t xml:space="preserve">Fraunhofer ISE, Stromgestehungskosten Erneuerbare Energien (lug-2024) – https://www.ise.fraunhofer.de/content/dam/ise/de/documents/publications/studies/DE2024_ISE_Studie_Stromgestehungskosten_Erneuerbare_Energien.pdf</w:t>
      </w:r>
    </w:p>
    <w:p>
      <w:pPr>
        <w:pStyle w:val="ListParagraph"/>
      </w:pPr>
      <w:r>
        <w:t xml:space="preserve">23. </w:t>
      </w:r>
      <w:r>
        <w:t xml:space="preserve">Phelas, "BESS investment analysis" (2026) – https://www.phelas.com/en/insights/knowledge/bess-investment-analysis</w:t>
      </w:r>
    </w:p>
    <w:p>
      <w:pPr>
        <w:pStyle w:val="ListParagraph"/>
      </w:pPr>
      <w:r>
        <w:t xml:space="preserve">24. </w:t>
      </w:r>
      <w:r>
        <w:t xml:space="preserve">Assolombarda, "FER X transitorio – PdA per gli impianti fino a 1 MW" (ARERA 339/2025: 77 €/MWh = 63 CAPEX + 14 OPEX); QualEnergia – https://www.assolombarda.it/servizi/energia/informazioni/fer-x-transitorio-pda-per-gli-impianti-fino-a-1-mw ; https://www.qualenergia.it/pro/articoli-pro/fer-x-transitorio-tariffe-sotto-1-mw-fotovoltaico-77-mwh/</w:t>
      </w:r>
    </w:p>
    <w:p>
      <w:pPr>
        <w:pStyle w:val="Normal"/>
      </w:pPr>
      <w:r>
        <w:t xml:space="preserve">24b. ARERA, DCO 239/2025/R/efr Allegato A (WACC 6,5% reale pre-tax) – https://www.arera.it/fileadmin/allegati/docs/25/239-2025-R-efr-ALLEGATO_A.pdf</w:t>
      </w:r>
    </w:p>
    <w:p>
      <w:pPr>
        <w:pStyle w:val="ListParagraph"/>
      </w:pPr>
      <w:r>
        <w:t xml:space="preserve">25. </w:t>
      </w:r>
      <w:r>
        <w:t xml:space="preserve">Teleborsa / QualEnergia / Energy-Storage.news, esiti della prima asta MACSE (01/10/2025) – https://www.teleborsa.it/AMP/News/2025/10/01/terna-conclusa-la-prima-asta-macse-assegnati-10-gwh-di-capacita-di-accumulo-di-energia-155.html ; https://www.qualenergia.it/pro/articoli-pro/asta-macse-aggiudicati-10-gwh-quasi-13000-mwh-annui/</w:t>
      </w:r>
    </w:p>
    <w:p>
      <w:pPr>
        <w:pStyle w:val="ListParagraph"/>
      </w:pPr>
      <w:r>
        <w:t xml:space="preserve">26. </w:t>
      </w:r>
      <w:r>
        <w:t xml:space="preserve">NREL/NLR Annual Technology Baseline 2024 e 2025, Utility-Scale Battery Storage – https://atb.nrel.gov/electricity/2024/utility-scale_battery_storage ; https://atb.nlr.gov/electricity/2025/utility-scale_battery_storage</w:t>
      </w:r>
    </w:p>
    <w:p>
      <w:pPr>
        <w:pStyle w:val="ListParagraph"/>
      </w:pPr>
      <w:r>
        <w:t xml:space="preserve">27. </w:t>
      </w:r>
      <w:r>
        <w:t xml:space="preserve">solareindustriale.it, "Costi O&amp;M del fotovoltaico industriale" (nessun €/kWp pubblicato) – https://www.solareindustriale.it/blog-fotovoltaico/costi-om-fotovoltaico-industriale</w:t>
      </w:r>
    </w:p>
    <w:p>
      <w:pPr>
        <w:pStyle w:val="ListParagraph"/>
      </w:pPr>
      <w:r>
        <w:t xml:space="preserve">28. </w:t>
      </w:r>
      <w:r>
        <w:t xml:space="preserve">Marsh (presentazione a Svensk Solenergi, dic-2024); Enel Energia/Helvetia – https://svensksolenergi.se/wp-content/uploads/2024/12/Marsh.pdf</w:t>
      </w:r>
    </w:p>
    <w:p>
      <w:pPr>
        <w:pStyle w:val="ListParagraph"/>
      </w:pPr>
      <w:r>
        <w:t xml:space="preserve">29. </w:t>
      </w:r>
      <w:r>
        <w:t xml:space="preserve">Agenzia Entrate, circ. 2/E/2016 (via Fiscozen, ECNews); CGT Milano 2026 – https://www.fiscozen.it/news/impianto-fotovoltaico-aziendale-quando-non-scatta-accatastamento-autonomo-e-imu/ ; https://www.ecnews.it/fiscale/?p=144356</w:t>
      </w:r>
    </w:p>
    <w:p>
      <w:pPr>
        <w:pStyle w:val="ListParagraph"/>
      </w:pPr>
      <w:r>
        <w:t xml:space="preserve">30. </w:t>
      </w:r>
      <w:r>
        <w:t xml:space="preserve">Meteoweb (feb-2023); solareindustriale.it, canone del diritto di superficie (2026) – https://www.meteoweb.eu/2023/02/affitto-terreni-agro-fotovoltaico/1001198602/ ; https://www.solareindustriale.it/blog-fotovoltaico/canone-diritto-superficie-fotovoltaico-quanto-guadagna</w:t>
      </w:r>
    </w:p>
    <w:p>
      <w:pPr>
        <w:pStyle w:val="ListParagraph"/>
      </w:pPr>
      <w:r>
        <w:t xml:space="preserve">31. </w:t>
      </w:r>
      <w:r>
        <w:t xml:space="preserve">NYISO, 2025–2029 Demand Curve Reset, presentazione BMcD (lug-2024) – https://www.nyiso.com/documents/20142/45958275/2025-2029%20DCR%20-%20BMcD%20Presentation%2007232024%20ICAPWG.pdf/0bc0c3b6-077f-8df4-8dec-2b473cdcdf10</w:t>
      </w:r>
    </w:p>
    <w:p>
      <w:pPr>
        <w:pStyle w:val="ListParagraph"/>
      </w:pPr>
      <w:r>
        <w:t xml:space="preserve">32. </w:t>
      </w:r>
      <w:r>
        <w:t xml:space="preserve">pv magazine, "JinkoSolar announces new TOPCon solar modules with efficiency of 24.8%" (23/10/2024); datasheet Phono Solar Draco – https://pv-magazine.com/2024/10/23/jinkosolar-announces-new-topcon-solar-modules-with-efficiency-of-24-8 ; https://ressupply.com/documents/phono/Draco_Series_420-440W_Data_Sheet.pdf</w:t>
      </w:r>
    </w:p>
    <w:p>
      <w:pPr>
        <w:pStyle w:val="ListParagraph"/>
      </w:pPr>
      <w:r>
        <w:t xml:space="preserve">33. </w:t>
      </w:r>
      <w:r>
        <w:t xml:space="preserve">euribor-rates.eu, Euribor 6 mesi; global-rates.com, storico 2026 – https://www.euribor-rates.eu/it/tassi-euribor-aggiornati/3/euribor-tasso-6-mesi/ ; https://www.global-rates.com/it/tassi-di-interesse/euribor/storico/2026/?id=3</w:t>
      </w:r>
    </w:p>
    <w:p>
      <w:pPr>
        <w:pStyle w:val="ListParagraph"/>
      </w:pPr>
      <w:r>
        <w:t xml:space="preserve">34. </w:t>
      </w:r>
      <w:r>
        <w:t xml:space="preserve">rivaluta.it, "Analisi tecnica Euribor 12 mesi, 15 settembre 2026"; XTB, BCE e tassi 2026 – https://www.rivaluta.it/analisi-tecnica-euribor-12-mesi-15-settembre-2026/ ; https://www.xtb.com/it/formazione/bce-tassi-interesse-mutui-in-italia-notizie</w:t>
      </w:r>
    </w:p>
    <w:p>
      <w:pPr>
        <w:pStyle w:val="ListParagraph"/>
      </w:pPr>
      <w:r>
        <w:t xml:space="preserve">35. </w:t>
      </w:r>
      <w:r>
        <w:t xml:space="preserve">EVreporter, "Understanding BESS – Part 4/5" (cicli delle celle 314 Ah); ETN News, RelyEZ GridUltra 5 MWh (set-2024) – https://evreporter.com/understanding-battery-energy-storage-system-bess-part-5/ ; https://etn.news/energy-storage/relyez-gridultra-battery-energy-storage-system-launch-china?format=amp</w:t>
      </w:r>
    </w:p>
    <w:p>
      <w:pPr>
        <w:pStyle w:val="ListParagraph"/>
      </w:pPr>
      <w:r>
        <w:t xml:space="preserve">36. </w:t>
      </w:r>
      <w:r>
        <w:t xml:space="preserve">Regione FVG, PER cap. 9 (dati ENEA/GSE); relazioni PVsyst su va.mite.gov.it (Roma 1.563; Molise 1.510) – https://prod-energia.regione.fvg.it/export/sites/energia/documents/il-piano-energetico-regionale/9_Ruolo_del_fotovoltaico_nel_PER.pdf ; https://va.mite.gov.it/File/Documento/593419</w:t>
      </w:r>
    </w:p>
    <w:p>
      <w:pPr>
        <w:pStyle w:val="Normal"/>
      </w:pPr>
      <w:r>
        <w:t xml:space="preserve">36b. Politesi (PoliMi), tesi Pedagaggi/Fiumesanto; relazioni VIA Villafrati e Militello; JRC (tracking +30%) – https://www.politesi.polimi.it/handle/10589/229869 ; https://va.mite.gov.it/File/Documento/811782 ; https://publications.jrc.ec.europa.eu/repository/handle/JRC52138</w:t>
      </w:r>
    </w:p>
    <w:p>
      <w:pPr>
        <w:pStyle w:val="ListParagraph"/>
      </w:pPr>
      <w:r>
        <w:t xml:space="preserve">37. </w:t>
      </w:r>
      <w:r>
        <w:t xml:space="preserve">SolarPower Europe, studio sul reshoring (via pv magazine, 24/10/2025) – https://www.pv-magazine.com/2025/10/24/solar-modules-could-be-produced-in-europe-at-e0-15-w/</w:t>
      </w:r>
    </w:p>
    <w:p>
      <w:pPr>
        <w:pStyle w:val="ListParagraph"/>
      </w:pPr>
      <w:r>
        <w:t xml:space="preserve">38. </w:t>
      </w:r>
      <w:r>
        <w:t xml:space="preserve">TradingView, ICE Endex Italian Power Financial Base Futures (istantanee non datate) – https://in.tradingview.com/symbols/ICEENDEX-IPB1!/contracts</w:t>
      </w:r>
    </w:p>
    <w:p>
      <w:pPr>
        <w:pStyle w:val="ListParagraph"/>
      </w:pPr>
      <w:r>
        <w:t xml:space="preserve">39. </w:t>
      </w:r>
      <w:r>
        <w:t xml:space="preserve">AIEE, presentazione Benedettini (lug-2026, dati GME) – https://www.aiee.it/wp-content/uploads/2026/07/BENEDETTINI.pdf</w:t>
      </w:r>
    </w:p>
    <w:p>
      <w:pPr>
        <w:pStyle w:val="ListParagraph"/>
      </w:pPr>
      <w:r>
        <w:t xml:space="preserve">40. </w:t>
      </w:r>
      <w:r>
        <w:t xml:space="preserve">Italia Solare (vedi 13); pv magazine, "Italy's solar capture price falls below market average in southern regions" (16/07/2026) – https://www.pv-magazine.com/2026/07/16/italys-solar-capture-price-falls-below-market-average-in-southern-regions/</w:t>
      </w:r>
    </w:p>
    <w:p>
      <w:pPr>
        <w:pStyle w:val="ListParagraph"/>
      </w:pPr>
      <w:r>
        <w:t xml:space="preserve">41. </w:t>
      </w:r>
      <w:r>
        <w:t xml:space="preserve">Modo Energy, "Europe solar capture rates – March 2026" (16/04/2026) – https://modoenergy.com/research/europe-solar-capture-rates-capture-price-march-2026-italy-red-tape-solar-buildout</w:t>
      </w:r>
    </w:p>
    <w:p>
      <w:pPr>
        <w:pStyle w:val="ListParagraph"/>
      </w:pPr>
      <w:r>
        <w:t xml:space="preserve">42. </w:t>
      </w:r>
      <w:r>
        <w:t xml:space="preserve">Modo Energy, "Italy BESS benchmark H1 2026"; "Italy BESS market overview" (ott-2025) – https://modoenergy.com/research/italy-bess-benchmark-h1-2026-battery ; https://modoenergy.com/research/italy-bess-market-overview-fixed-revenue-merchant-october-25</w:t>
      </w:r>
    </w:p>
    <w:p>
      <w:pPr>
        <w:pStyle w:val="ListParagraph"/>
      </w:pPr>
      <w:r>
        <w:t xml:space="preserve">43. </w:t>
      </w:r>
      <w:r>
        <w:t xml:space="preserve">edilizia.com, "Ritiro dedicato: cos'è, come funziona, quanto paga"; solareindustriale.it, "Ritiro dedicato" (2026) – https://www.edilizia.com/guide/ritiro-dedicato-cose-come-funziona-quanto-paga-conviene/ ; https://www.solareindustriale.it/incentivi/ritiro-dedicato</w:t>
      </w:r>
    </w:p>
    <w:p>
      <w:pPr>
        <w:pStyle w:val="ListParagraph"/>
      </w:pPr>
      <w:r>
        <w:t xml:space="preserve">44. </w:t>
      </w:r>
      <w:r>
        <w:t xml:space="preserve">Axpo Italia, CTE "Scegli Dinamico/Sereno 2.0" (mag e ago 2026) – https://www.axpo.com/content/dam/axpo19/italy/cte-offerte-business/Scegli%20Sereno%202.0_2608.pdf ; https://www.axpo.com/content/dam/axpo19/italy/cte-offerte-business/Scegli%20Dinamico%202.0_2608.pdf</w:t>
      </w:r>
    </w:p>
    <w:p>
      <w:pPr>
        <w:pStyle w:val="ListParagraph"/>
      </w:pPr>
      <w:r>
        <w:t xml:space="preserve">45. </w:t>
      </w:r>
      <w:r>
        <w:t xml:space="preserve">e-distribuzione, tariffe di trasporto 2026 MTA1/MTA2/MTA3 – https://www.e-distribuzione.it/content/dam/e-distribuzione/a-chi-ci-rivolgiamo/venditori/2026/MTA3.pdf ; …/MTA2.pdf ; …/MTA1.pdf</w:t>
      </w:r>
    </w:p>
    <w:p>
      <w:pPr>
        <w:pStyle w:val="ListParagraph"/>
      </w:pPr>
      <w:r>
        <w:t xml:space="preserve">46. </w:t>
      </w:r>
      <w:r>
        <w:t xml:space="preserve">ARERA, delibera 91/2026/R/eel (riduzione ASOS, DL 21/2026) e 98/2026/R/com – https://www.arera.it/fileadmin/allegati/docs/26/91-2026-R-eel.pdf ; https://www.arera.it/fileadmin/allegati/docs/26/98-2026-R-com_Relazione_tecnica.pdf</w:t>
      </w:r>
    </w:p>
    <w:p>
      <w:pPr>
        <w:pStyle w:val="ListParagraph"/>
      </w:pPr>
      <w:r>
        <w:t xml:space="preserve">47. </w:t>
      </w:r>
      <w:r>
        <w:t xml:space="preserve">Switcho, "Accise e IVA in bolletta"; Butangas, prospetto del carico fiscale (circa 2021) – https://www.switcho.it/blog/luce-gas/cosa-sono-le-accise-e-liva-nella-bolletta-dellenergia-elettrica ; https://butangas.it/wp-content/uploads/2021/10/Link_carico_fiscale.pdf</w:t>
      </w:r>
    </w:p>
    <w:p>
      <w:pPr>
        <w:pStyle w:val="ListParagraph"/>
      </w:pPr>
      <w:r>
        <w:t xml:space="preserve">48. </w:t>
      </w:r>
      <w:r>
        <w:t xml:space="preserve">Certifico, TU Accise art. 52; nota SicilCER sulla circolare ADM 21/2026 (ago-2026) – https://certifico.com/full-plus/officina-elettrica-legislazione-tu-accise-e-note ; https://www.qualenergia.it/wp-content/uploads/2026/08/SicilCER-su-Circolare-ADM-accise-elettricita-agosto-2026.pdf</w:t>
      </w:r>
    </w:p>
    <w:p>
      <w:pPr>
        <w:pStyle w:val="ListParagraph"/>
      </w:pPr>
      <w:r>
        <w:t xml:space="preserve">49. </w:t>
      </w:r>
      <w:r>
        <w:t xml:space="preserve">Confindustria (H1-2025, Eurostat/GME) – https://www.confindustria.it/en/?p=21553</w:t>
      </w:r>
    </w:p>
    <w:p>
      <w:pPr>
        <w:pStyle w:val="ListParagraph"/>
      </w:pPr>
      <w:r>
        <w:t xml:space="preserve">50. </w:t>
      </w:r>
      <w:r>
        <w:t xml:space="preserve">Argus Media, "Interest rates now main brake on EU renewables – Repsol" (2026) – https://www.argusmedia.com/en/news-and-insights/latest-market-news/2878746-interest-rates-now-main-brake-on-eu-renewables-repsol</w:t>
      </w:r>
    </w:p>
    <w:p>
      <w:pPr>
        <w:pStyle w:val="Normal"/>
      </w:pPr>
      <w:r>
        <w:t xml:space="preserve">50b. Leaders League, Revalue Energies 160 M€ PF (ott-2026); The Asset, Sonnedix (giu-2026) – https://www.leadersleague.com/en/news/revalue-energies-closes-eur160-million-project-financing-for-26-photovoltaic-projects ; https://www.theasset.com/article/56545/sonnedix-closes-debt-financing-for-spanish-italian-pv-developments</w:t>
      </w:r>
    </w:p>
    <w:p>
      <w:pPr>
        <w:pStyle w:val="ListParagraph"/>
      </w:pPr>
      <w:r>
        <w:t xml:space="preserve">51. </w:t>
      </w:r>
      <w:r>
        <w:t xml:space="preserve">Vartiainen et al., "Impact of WACC, CAPEX…" (Progress in Photovoltaics, 2020) – https://scienceportal.tecnalia.com/en/publications/impact-of-weighted-average-cost-of-capital-capital-expenditure-an/</w:t>
      </w:r>
    </w:p>
    <w:p>
      <w:pPr>
        <w:pStyle w:val="ListParagraph"/>
      </w:pPr>
      <w:r>
        <w:t xml:space="preserve">52. </w:t>
      </w:r>
      <w:r>
        <w:t xml:space="preserve">Banca d'Italia, Proiezioni macroeconomiche per l'Italia (16/10/2026) – https://www.bancaditalia.it/pubblicazioni/proiezioni-macroeconomiche/2026/Proiezioni-macroeconomiche-Italia-ottobre-2026.pdf</w:t>
      </w:r>
    </w:p>
    <w:p>
      <w:pPr>
        <w:pStyle w:val="Heading2"/>
      </w:pPr>
      <w:r>
        <w:t xml:space="preserve">Dati non trovati (da reperire con accesso diretto alle fonti)</w:t>
      </w:r>
    </w:p>
    <w:p>
      <w:pPr>
        <w:pStyle w:val="ListParagraph"/>
      </w:pPr>
      <w:r>
        <w:t xml:space="preserve">•  </w:t>
      </w:r>
      <w:r>
        <w:t xml:space="preserve">Media 2025 per fasce F1/F2/F3 e prezzi zonali annui ufficiali (statistiche GME).</w:t>
      </w:r>
    </w:p>
    <w:p>
      <w:pPr>
        <w:pStyle w:val="ListParagraph"/>
      </w:pPr>
      <w:r>
        <w:t xml:space="preserve">•  </w:t>
      </w:r>
      <w:r>
        <w:t xml:space="preserve">PUN mensile ufficiale di luglio, agosto e settembre 2026 (i dati secondari sono incoerenti).</w:t>
      </w:r>
    </w:p>
    <w:p>
      <w:pPr>
        <w:pStyle w:val="ListParagraph"/>
      </w:pPr>
      <w:r>
        <w:t xml:space="preserve">•  </w:t>
      </w:r>
      <w:r>
        <w:t xml:space="preserve">Settlement futures Italia Cal-2027 di ottobre 2026 (EEX/ICE).</w:t>
      </w:r>
    </w:p>
    <w:p>
      <w:pPr>
        <w:pStyle w:val="ListParagraph"/>
      </w:pPr>
      <w:r>
        <w:t xml:space="preserve">•  </w:t>
      </w:r>
      <w:r>
        <w:t xml:space="preserve">Valori unitari ASOS/ARIM MT 2026 dopo il DL 21/2026, ed eventuale quota potenza degli oneri.</w:t>
      </w:r>
    </w:p>
    <w:p>
      <w:pPr>
        <w:pStyle w:val="ListParagraph"/>
      </w:pPr>
      <w:r>
        <w:t xml:space="preserve">•  </w:t>
      </w:r>
      <w:r>
        <w:t xml:space="preserve">Fattore perdite MT vigente (TIS).</w:t>
      </w:r>
    </w:p>
    <w:p>
      <w:pPr>
        <w:pStyle w:val="ListParagraph"/>
      </w:pPr>
      <w:r>
        <w:t xml:space="preserve">•  </w:t>
      </w:r>
      <w:r>
        <w:t xml:space="preserve">Producibilità PVGIS per città (API JRC bloccata dal proxy): rieseguire con PVGIS-SARAH3, perdite 14%, fisso ottimale e tracker monoassiale.</w:t>
      </w:r>
    </w:p>
    <w:p>
      <w:pPr>
        <w:pStyle w:val="ListParagraph"/>
      </w:pPr>
      <w:r>
        <w:t xml:space="preserve">•  </w:t>
      </w:r>
      <w:r>
        <w:t xml:space="preserve">Margini bancari del project finance FV Italia 2026; premi assicurativi pubblici; O&amp;M C&amp;I in €/kWp da fonte indipendente.</w:t>
      </w:r>
    </w:p>
    <w:p/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638"/>
      </w:tabs>
    </w:pPr>
    <w:r>
      <w:t xml:space="preserve">Bozza generata dal simulatore FV + BESS</w:t>
    </w:r>
    <w:r>
      <w:tab/>
      <w:t xml:space="preserve">Pag. </w:t>
    </w:r>
    <w:fldSimple w:instr=" PAGE ">
      <w:r>
        <w:t>1</w:t>
      </w:r>
    </w:fldSimple>
    <w:r>
      <w:t xml:space="preserve"> di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tabs>
        <w:tab w:val="right" w:pos="9638"/>
      </w:tabs>
    </w:pPr>
    <w:r>
      <w:t xml:space="preserve">Simulatore FV + BESS · A2_Benchmark_costi_2026</w:t>
    </w:r>
    <w:r>
      <w:tab/>
      <w:t xml:space="preserve">Rev. A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defaultTabStop w:val="708"/>
  <w:characterSpacingControl w:val="doNotCompress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0"/>
        <w:szCs w:val="20"/>
        <w:lang w:val="it-IT"/>
      </w:rPr>
    </w:rPrDefault>
    <w:pPrDefault>
      <w:pPr>
        <w:spacing w:after="10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after="200"/>
    </w:pPr>
    <w:rPr>
      <w:b/>
      <w:color w:val="13283A"/>
      <w:sz w:val="32"/>
      <w:szCs w:val="32"/>
    </w:rPr>
  </w:style>
  <w:style w:type="paragraph" w:styleId="Heading1">
    <w:name w:val="heading 1"/>
    <w:basedOn w:val="Normal"/>
    <w:next w:val="Normal"/>
    <w:pPr>
      <w:keepNext/>
      <w:spacing w:before="280" w:after="120"/>
      <w:pBdr>
        <w:bottom w:val="single" w:sz="4" w:space="2" w:color="B86A10"/>
      </w:pBdr>
      <w:outlineLvl w:val="0"/>
    </w:pPr>
    <w:rPr>
      <w:b/>
      <w:color w:val="13283A"/>
      <w:sz w:val="26"/>
      <w:szCs w:val="26"/>
    </w:rPr>
  </w:style>
  <w:style w:type="paragraph" w:styleId="Heading2">
    <w:name w:val="heading 2"/>
    <w:basedOn w:val="Normal"/>
    <w:next w:val="Normal"/>
    <w:pPr>
      <w:keepNext/>
      <w:spacing w:before="200" w:after="80"/>
      <w:outlineLvl w:val="1"/>
    </w:pPr>
    <w:rPr>
      <w:b/>
      <w:color w:val="13283A"/>
      <w:sz w:val="22"/>
      <w:szCs w:val="22"/>
    </w:rPr>
  </w:style>
  <w:style w:type="paragraph" w:styleId="Heading3">
    <w:name w:val="heading 3"/>
    <w:basedOn w:val="Normal"/>
    <w:next w:val="Normal"/>
    <w:pPr>
      <w:keepNext/>
      <w:spacing w:before="160" w:after="60"/>
      <w:outlineLvl w:val="2"/>
    </w:pPr>
    <w:rPr>
      <w:b/>
      <w:color w:val="57666F"/>
      <w:sz w:val="20"/>
      <w:szCs w:val="20"/>
    </w:rPr>
  </w:style>
  <w:style w:type="paragraph" w:styleId="Quote">
    <w:name w:val="Quote"/>
    <w:basedOn w:val="Normal"/>
    <w:pPr>
      <w:pBdr>
        <w:left w:val="single" w:sz="18" w:space="6" w:color="B86A10"/>
      </w:pBdr>
      <w:shd w:val="clear" w:color="auto" w:fill="FBF4E6"/>
      <w:ind w:left="170"/>
    </w:pPr>
    <w:rPr>
      <w:color w:val="57666F"/>
      <w:sz w:val="18"/>
      <w:szCs w:val="18"/>
    </w:rPr>
  </w:style>
  <w:style w:type="paragraph" w:styleId="Code">
    <w:name w:val="Code"/>
    <w:basedOn w:val="Normal"/>
    <w:pPr>
      <w:spacing w:after="0" w:line="240" w:lineRule="auto"/>
    </w:pPr>
    <w:rPr>
      <w:rFonts w:ascii="Consolas" w:hAnsi="Consolas" w:cs="Consolas"/>
      <w:sz w:val="16"/>
      <w:szCs w:val="16"/>
    </w:rPr>
  </w:style>
  <w:style w:type="paragraph" w:styleId="TableText">
    <w:name w:val="Table Text"/>
    <w:basedOn w:val="Normal"/>
    <w:pPr>
      <w:spacing w:after="0" w:line="240" w:lineRule="auto"/>
    </w:pPr>
    <w:rPr>
      <w:sz w:val="16"/>
      <w:szCs w:val="16"/>
    </w:rPr>
  </w:style>
  <w:style w:type="paragraph" w:styleId="ListParagraph">
    <w:name w:val="List Paragraph"/>
    <w:basedOn w:val="Normal"/>
    <w:pPr>
      <w:spacing w:after="40"/>
      <w:ind w:left="360" w:hanging="240"/>
    </w:pPr>
  </w:style>
  <w:style w:type="paragraph" w:styleId="Header">
    <w:name w:val="header"/>
    <w:basedOn w:val="Normal"/>
    <w:pPr>
      <w:spacing w:after="0"/>
      <w:pBdr>
        <w:bottom w:val="single" w:sz="4" w:space="2" w:color="A0A8AE"/>
      </w:pBdr>
    </w:pPr>
    <w:rPr>
      <w:color w:val="57666F"/>
      <w:sz w:val="15"/>
      <w:szCs w:val="15"/>
    </w:rPr>
  </w:style>
  <w:style w:type="paragraph" w:styleId="Footer">
    <w:name w:val="footer"/>
    <w:basedOn w:val="Normal"/>
    <w:pPr>
      <w:spacing w:after="0"/>
    </w:pPr>
    <w:rPr>
      <w:color w:val="57666F"/>
      <w:sz w:val="15"/>
      <w:szCs w:val="15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Simulatore FV + BESS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Benchmark di costo e prestazione 2025–2026: FV C&amp;I + BESS behind-the-meter (Italia/Europa)</dc:title>
  <dc:creator>Simulatore FV + BESS</dc:creator>
  <dcterms:created xsi:type="dcterms:W3CDTF">2026-10-28T11:18:15Z</dcterms:created>
  <dcterms:modified xsi:type="dcterms:W3CDTF">2026-10-28T11:18:15Z</dcterms:modified>
</cp:coreProperties>
</file>