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项目周报（2026-05-04 至 2026-05-10）</w:t>
      </w:r>
    </w:p>
    <w:p>
      <w:pPr>
        <w:spacing w:after="280"/>
      </w:pPr>
      <w:r>
        <w:rPr>
          <w:color w:val="617180"/>
          <w:sz w:val="19"/>
        </w:rPr>
        <w:t>周期：2026-05-04 至 2026-05-10</w:t>
      </w:r>
    </w:p>
    <w:p>
      <w:pPr>
        <w:pStyle w:val="Heading1"/>
        <w:spacing w:before="200" w:after="120"/>
      </w:pPr>
      <w:r>
        <w:t>一、本周关键进展</w:t>
      </w:r>
    </w:p>
    <w:p>
      <w:pPr>
        <w:pStyle w:val="ListBullet"/>
        <w:spacing w:after="80"/>
      </w:pPr>
      <w:r>
        <w:t>Stream V1.5.0_GPU 进入提测节点。</w:t>
      </w:r>
    </w:p>
    <w:p>
      <w:pPr>
        <w:pStyle w:val="Heading1"/>
        <w:spacing w:before="200" w:after="120"/>
      </w:pPr>
      <w:r>
        <w:t>二、关键风险与阻塞</w:t>
      </w:r>
    </w:p>
    <w:p>
      <w:pPr>
        <w:pStyle w:val="ListBullet"/>
        <w:spacing w:after="80"/>
      </w:pPr>
      <w:r>
        <w:t>测试窗口压缩，需要关注资源冲突。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88592"/>
        <w:sz w:val="16"/>
      </w:rPr>
      <w:t>Generated by PM Agent Platform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b w:val="0"/>
      <w:color w:val="1E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75A7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47D7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5232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Microsoft YaHei"/>
      <w:b w:val="0"/>
      <w:color w:val="1E29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