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Heading1"/>
        <w:keepNext/>
      </w:pPr>
      <w:r>
        <w:t xml:space="preserve">Pages</w:t>
      </w:r>
    </w:p>
    <w:p>
      <w:pPr>
        <w:pStyle w:val="AxureHeading2"/>
        <w:keepNext/>
      </w:pPr>
      <w:r>
        <w:t xml:space="preserve">Page Tree</w:t>
      </w:r>
    </w:p>
    <w:p>
      <w:pPr>
        <w:pStyle w:val="Normal"/>
      </w:pPr>
      <w:r>
        <w:rPr/>
        <w:t xml:space="preserve">Home</w:t>
      </w:r>
      <w:r>
        <w:br/>
      </w:r>
      <w:r>
        <w:tab/>
      </w:r>
      <w:r>
        <w:rPr/>
        <w:t xml:space="preserve">Page 1</w:t>
      </w:r>
      <w:r>
        <w:br/>
      </w:r>
      <w:r>
        <w:tab/>
      </w:r>
      <w:r>
        <w:tab/>
      </w:r>
      <w:r>
        <w:rPr/>
        <w:t xml:space="preserve">文章</w:t>
      </w:r>
      <w:r>
        <w:br/>
      </w:r>
      <w:r>
        <w:tab/>
      </w:r>
      <w:r>
        <w:tab/>
      </w:r>
      <w:r>
        <w:rPr/>
        <w:t xml:space="preserve">文章2</w:t>
      </w:r>
      <w:r>
        <w:br/>
      </w:r>
      <w:r>
        <w:tab/>
      </w:r>
      <w:r>
        <w:rPr/>
        <w:t xml:space="preserve">Page 2</w:t>
      </w:r>
      <w:r>
        <w:br/>
      </w:r>
      <w:r>
        <w:tab/>
      </w:r>
      <w:r>
        <w:rPr/>
        <w:t xml:space="preserve">Page 3</w:t>
      </w:r>
      <w:r>
        <w:br/>
      </w:r>
      <w:r>
        <w:rPr/>
        <w:t xml:space="preserve">settings</w:t>
      </w:r>
      <w:r>
        <w:br/>
      </w:r>
      <w:r>
        <w:rPr/>
        <w:t xml:space="preserve">Classification</w:t>
      </w:r>
      <w:r>
        <w:br/>
      </w:r>
      <w:r>
        <w:tab/>
      </w:r>
      <w:r>
        <w:rPr/>
        <w:t xml:space="preserve">New Page 1</w:t>
      </w:r>
      <w:r>
        <w:br/>
      </w:r>
      <w:r>
        <w:tab/>
      </w:r>
      <w:r>
        <w:rPr/>
        <w:t xml:space="preserve">Favorites</w:t>
      </w:r>
    </w:p>
    <w:p>
      <w:pPr>
        <w:pStyle w:val="AxureHeading2"/>
        <w:keepNext/>
      </w:pPr>
      <w:r>
        <w:br w:type="page"/>
      </w:r>
      <w:r>
        <w:t xml:space="preserve">Home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State1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State2 fade out 500ms slide left in 500ms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State3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Reload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Favorites in Current Window</w:t>
              <w:br/>
              <w:t xml:space="preserve">    Open Reload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Classification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settings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1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文章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文章2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2 in Current Window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State3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Page 1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Reload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Favorites in Current Window</w:t>
              <w:br/>
              <w:t xml:space="preserve">    Open Reload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State1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Classification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State2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settings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State3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文章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文章2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2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1 in Current Window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State3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文章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Home in Current Window</w:t>
            </w:r>
          </w:p>
        </w:tc>
      </w:tr>
    </w:tbl>
    <w:p>
      <w:pPr>
        <w:pStyle w:val="AxureHeading2"/>
        <w:keepNext/>
      </w:pPr>
      <w:r>
        <w:br w:type="page"/>
      </w:r>
      <w:r>
        <w:t xml:space="preserve">文章2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19500" cy="695325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95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Page 2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Reload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Favorites in Current Window</w:t>
              <w:br/>
              <w:t xml:space="preserve">    Open Reload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State1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Classification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State2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settings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State3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8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1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9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2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10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Page 1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文章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文章2 in Current Window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State3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Page 3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settings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Reload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Favorites in Current Window</w:t>
              <w:br/>
              <w:t xml:space="preserve">    Open Reload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State1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Classification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State2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settings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State3 fade out 500ms slide left in 500ms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State3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Classification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Reload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Favorites in Current Window</w:t>
              <w:br/>
              <w:t xml:space="preserve">    Open Reload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State1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Classification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State2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settings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State3 fade out 500ms slide left in 500ms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State3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3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3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2"/>
        <w:keepNext/>
      </w:pPr>
      <w:r>
        <w:br w:type="page"/>
      </w:r>
      <w:r>
        <w:t xml:space="preserve">New Page 1</w:t>
      </w:r>
    </w:p>
    <w:p>
      <w:pPr>
        <w:pStyle w:val="AxureHeading2"/>
        <w:keepNext/>
      </w:pPr>
      <w:r>
        <w:br w:type="page"/>
      </w:r>
      <w:r>
        <w:t xml:space="preserve">Favorites</w:t>
      </w:r>
    </w:p>
    <w:p>
      <w:pPr>
        <w:pStyle w:val="AxureHeading3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600450" cy="6934200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3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934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3"/>
        <w:keepNext/>
      </w:pPr>
      <w:r>
        <w:t xml:space="preserve">Widget Table</w:t>
      </w:r>
    </w:p>
    <w:tbl>
      <w:tblPr>
        <w:tblStyle w:val="AxureTableStyle"/>
      </w:tblPr>
      <w:tblGrid>
        <w:gridCol w:w="3600"/>
        <w:gridCol w:w="7200"/>
      </w:tblGrid>
      <w:tr>
        <w:trPr>
          <w:cantSplit/>
          <w:tblHeader/>
          <w:cnfStyle w:val="100000000000"/>
        </w:trPr>
        <w:tc>
          <w:tcPr>
            <w:tcBorders/>
          </w:tcPr>
          <w:p>
            <w:pPr>
              <w:pStyle w:val="AxureTableHeaderText"/>
            </w:pPr>
            <w:r>
              <w:rPr/>
              <w:t xml:space="preserve">Footnote</w:t>
            </w:r>
          </w:p>
        </w:tc>
        <w:tc>
          <w:tcPr>
            <w:tcBorders/>
          </w:tcPr>
          <w:p>
            <w:pPr>
              <w:pStyle w:val="AxureTableHeaderText"/>
            </w:pPr>
            <w:r>
              <w:rPr/>
              <w:t xml:space="preserve">Interactions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1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Reload in Current Window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2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Favorites in Current Window</w:t>
              <w:br/>
              <w:t xml:space="preserve">    Open Reload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3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State1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4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Classification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5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State2 fade out 500ms slide left in 500ms</w:t>
            </w:r>
          </w:p>
        </w:tc>
      </w:tr>
      <w:tr>
        <w:trPr>
          <w:cantSplit/>
          <w:cnfStyle w:val="00000001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6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Open settings in Current Window</w:t>
            </w:r>
          </w:p>
        </w:tc>
      </w:tr>
      <w:tr>
        <w:trPr>
          <w:cantSplit/>
          <w:cnfStyle w:val="000000100000"/>
        </w:trPr>
        <w:tc>
          <w:tcPr>
            <w:tcBorders/>
          </w:tcPr>
          <w:p>
            <w:pPr>
              <w:pStyle w:val="AxureTableNormalText"/>
            </w:pPr>
            <w:r>
              <w:rPr/>
              <w:t xml:space="preserve">7</w:t>
            </w:r>
          </w:p>
        </w:tc>
        <w:tc>
          <w:tcPr>
            <w:tcBorders/>
          </w:tcPr>
          <w:p>
            <w:pPr>
              <w:pStyle w:val="AxureTableNormalText"/>
            </w:pPr>
            <w:r>
              <w:rPr/>
              <w:t xml:space="preserve">OnClick:</w:t>
              <w:br/>
              <w:t xml:space="preserve">  Case 1:</w:t>
              <w:br/>
              <w:t xml:space="preserve">    Set is selected of (Flow Shape) equal to "true"</w:t>
              <w:br/>
              <w:t xml:space="preserve">    Set (Dynamic Panel) to State3 fade out 500ms slide left in 500ms</w:t>
            </w:r>
          </w:p>
        </w:tc>
      </w:tr>
    </w:tbl>
    <w:p>
      <w:pPr>
        <w:pStyle w:val="AxureHeading3"/>
        <w:keepNext/>
      </w:pPr>
      <w:r>
        <w:t xml:space="preserve">Unnamed</w:t>
      </w:r>
    </w:p>
    <w:p>
      <w:pPr>
        <w:pStyle w:val="AxureHeading4"/>
        <w:keepNext/>
      </w:pPr>
      <w:r>
        <w:t xml:space="preserve">State1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3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State3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3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Heading4"/>
        <w:keepNext/>
      </w:pPr>
      <w:r>
        <w:t xml:space="preserve">State2</w:t>
      </w:r>
    </w:p>
    <w:p>
      <w:pPr>
        <w:pStyle w:val="AxureHeading4"/>
        <w:keepNext/>
      </w:pPr>
      <w:r>
        <w:t xml:space="preserve">User Interface</w:t>
      </w:r>
    </w:p>
    <w:p>
      <w:pPr>
        <w:pStyle w:val="AxureImageParagraph"/>
      </w:pPr>
      <w:r>
        <w:drawing>
          <wp:inline>
            <wp:extent cx="3048000" cy="1495425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3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  <Relationship Id="rId_AXURE27" Type="http://schemas.openxmlformats.org/officeDocument/2006/relationships/image" Target="AXU16.png" />
  <Relationship Id="rId_AXURE28" Type="http://schemas.openxmlformats.org/officeDocument/2006/relationships/image" Target="AXU17.png" />
  <Relationship Id="rId_AXURE29" Type="http://schemas.openxmlformats.org/officeDocument/2006/relationships/image" Target="AXU18.png" />
  <Relationship Id="rId_AXURE30" Type="http://schemas.openxmlformats.org/officeDocument/2006/relationships/image" Target="AXU19.png" />
  <Relationship Id="rId_AXURE31" Type="http://schemas.openxmlformats.org/officeDocument/2006/relationships/image" Target="AXU20.png" />
  <Relationship Id="rId_AXURE32" Type="http://schemas.openxmlformats.org/officeDocument/2006/relationships/image" Target="AXU21.png" />
  <Relationship Id="rId_AXURE33" Type="http://schemas.openxmlformats.org/officeDocument/2006/relationships/image" Target="AXU22.png" />
  <Relationship Id="rId_AXURE34" Type="http://schemas.openxmlformats.org/officeDocument/2006/relationships/image" Target="AXU23.png" />
  <Relationship Id="rId_AXURE35" Type="http://schemas.openxmlformats.org/officeDocument/2006/relationships/image" Target="AXU24.png" />
  <Relationship Id="rId_AXURE36" Type="http://schemas.openxmlformats.org/officeDocument/2006/relationships/image" Target="AXU25.png" />
  <Relationship Id="rId_AXURE37" Type="http://schemas.openxmlformats.org/officeDocument/2006/relationships/image" Target="AXU26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