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Aptos Display" w:hAnsi="Aptos Display"/>
          <w:b/>
          <w:color w:val="0D2A50"/>
          <w:sz w:val="60"/>
        </w:rPr>
        <w:t>PETROLÚMEN</w:t>
      </w:r>
    </w:p>
    <w:p>
      <w:pPr>
        <w:jc w:val="center"/>
      </w:pPr>
      <w:r>
        <w:rPr>
          <w:b/>
          <w:color w:val="116F66"/>
          <w:sz w:val="32"/>
        </w:rPr>
        <w:t>Plataforma Digital de Engenharia de Reservatórios</w:t>
      </w:r>
    </w:p>
    <w:p>
      <w:pPr>
        <w:spacing w:before="840"/>
        <w:jc w:val="center"/>
      </w:pPr>
      <w:r>
        <w:rPr>
          <w:b/>
          <w:color w:val="0D2A50"/>
          <w:sz w:val="40"/>
        </w:rPr>
        <w:t>MODELO DE NEGÓCIO</w:t>
      </w:r>
    </w:p>
    <w:p>
      <w:pPr>
        <w:jc w:val="center"/>
      </w:pPr>
      <w:r>
        <w:rPr>
          <w:color w:val="116F66"/>
          <w:sz w:val="24"/>
        </w:rPr>
        <w:t>Candidatura GEOENERGY 2026</w:t>
      </w:r>
    </w:p>
    <w:p>
      <w:pPr>
        <w:spacing w:before="800"/>
        <w:jc w:val="center"/>
      </w:pPr>
      <w:r>
        <w:rPr>
          <w:sz w:val="21"/>
        </w:rPr>
        <w:t>Categoria: Digitalização e Tecnologias Aplicadas às Geociências e Energia</w:t>
        <w:br/>
      </w:r>
      <w:r>
        <w:rPr>
          <w:sz w:val="21"/>
        </w:rPr>
        <w:t>Proponente principal: Rocélio Da Silva</w:t>
        <w:br/>
      </w:r>
      <w:r>
        <w:rPr>
          <w:sz w:val="21"/>
        </w:rPr>
        <w:t>Equipa: Rocélio Da Silva e Derik Francisco</w:t>
        <w:br/>
      </w:r>
      <w:r>
        <w:rPr>
          <w:sz w:val="21"/>
        </w:rPr>
        <w:t>Instituição: Instituto Superior Politécnico de Tecnologias e Ciências (ISPTEC)</w:t>
        <w:br/>
      </w:r>
      <w:r>
        <w:rPr>
          <w:sz w:val="21"/>
        </w:rPr>
        <w:t>Angola | Outubro de 2026</w:t>
        <w:br/>
      </w:r>
    </w:p>
    <w:p>
      <w:pPr>
        <w:spacing w:before="900"/>
        <w:jc w:val="center"/>
      </w:pPr>
      <w:r>
        <w:rPr>
          <w:i/>
          <w:sz w:val="18"/>
        </w:rPr>
        <w:t>Documento de proposta. Pressupostos comerciais e financeiros são preliminares e carecem de validação.</w:t>
      </w:r>
    </w:p>
    <w:p>
      <w:r>
        <w:br w:type="page"/>
      </w:r>
    </w:p>
    <w:p>
      <w:pPr>
        <w:pStyle w:val="Heading1"/>
      </w:pPr>
      <w:r>
        <w:t>Resumo Executivo</w:t>
      </w:r>
    </w:p>
    <w:p>
      <w:r>
        <w:t>O PetroLúmen é uma plataforma digital em desenvolvimento para apoiar tarefas de análise em engenharia de reservatórios de petróleo e gás. A proposta é reunir, numa aplicação desktop, ferramentas de organização de dados, cálculo e visualização que podem estar distribuídas por folhas de cálculo, scripts e programas distintos.</w:t>
      </w:r>
    </w:p>
    <w:p>
      <w:r>
        <w:t>A base tecnológica combina interface React/Next.js, empacotamento desktop com Tauri e backend Python/FastAPI. O repositório inclui componentes relacionados com PVT, análise de produção e declínio, previsão, análise nodal, testes de poço, simulação e economia. A existência de código não significa que todas as funcionalidades estejam concluídas, validadas ou prontas para uso profissional; desenvolvimento e validação com utilizadores continuam necessários.</w:t>
      </w:r>
    </w:p>
    <w:p>
      <w:r>
        <w:t>A estratégia de negócio é gradual: começar pela validação académica, realizar pilotos com consultores e, após demonstrar utilidade, avaliar subscrições profissionais e licenças organizacionais. O mercado inicial proposto é Angola. Preços e cenários financeiros são hipóteses de trabalho, não vendas, contratos nem resultados já alcançados.</w:t>
      </w:r>
    </w:p>
    <w:p>
      <w:pPr>
        <w:pStyle w:val="Heading1"/>
      </w:pPr>
      <w:r>
        <w:t>1. Identificação da equipa e do proponente principal</w:t>
      </w:r>
    </w:p>
    <w:p>
      <w:r>
        <w:t>Proponente principal: Rocélio Da Silva. Membro da equipa: Derik Francisco. Instituição de referência: Instituto Superior Politécnico de Tecnologias e Ciências (ISPTEC). A equipa apresenta a iniciativa no contexto de Engenharia de Petróleos e tecnologias aplicadas à energia.</w:t>
      </w:r>
    </w:p>
    <w:p>
      <w:r>
        <w:t>Antes da submissão, a equipa deve confirmar a grafia oficial dos nomes, curso e situação académica, elegibilidade do proponente, composição da equipa face ao regulamento e contactos exigidos no formulário. Estes elementos não foram disponibilizados para confirmação neste documento.</w:t>
      </w:r>
    </w:p>
    <w:p>
      <w:pPr>
        <w:pStyle w:val="Heading1"/>
      </w:pPr>
      <w:r>
        <w:t>2. Título da ideia de negócio</w:t>
      </w:r>
    </w:p>
    <w:p>
      <w:r>
        <w:t>PetroLúmen — Plataforma Digital de Engenharia de Reservatórios.</w:t>
      </w:r>
    </w:p>
    <w:p>
      <w:pPr>
        <w:pStyle w:val="Heading1"/>
      </w:pPr>
      <w:r>
        <w:t>3. Problema ou oportunidade identificada</w:t>
      </w:r>
    </w:p>
    <w:p>
      <w:r>
        <w:t>Estudantes, investigadores e profissionais podem precisar de alternar entre folhas de cálculo, scripts próprios e ferramentas especializadas para organizar dados e realizar análises de reservatórios. A fragmentação pode aumentar o tempo de execução, dificultar a repetição e verificação de cálculos e tornar a partilha dos resultados menos simples.</w:t>
      </w:r>
    </w:p>
    <w:p>
      <w:r>
        <w:t>Algumas soluções empresariais podem ser financeiramente ou operacionalmente pouco acessíveis para estudantes, consultores independentes e pequenas equipas. Esta oportunidade é uma hipótese a validar em Angola por entrevistas, demonstrações e pilotos; não se assume como resultado de pesquisa já concluída.</w:t>
      </w:r>
    </w:p>
    <w:p>
      <w:pPr>
        <w:pStyle w:val="Heading1"/>
      </w:pPr>
      <w:r>
        <w:t>4. Solução proposta e proposta de valor</w:t>
      </w:r>
    </w:p>
    <w:p>
      <w:r>
        <w:t>O PetroLúmen pretende oferecer um ambiente integrado para importar e organizar dados de poços, executar análises selecionadas e visualizar resultados. A arquitetura modular permite desenvolver funcionalidades por etapas, priorizando casos de uso frequentes e feedback dos utilizadores.</w:t>
      </w:r>
    </w:p>
    <w:p>
      <w:pPr>
        <w:pStyle w:val="ListBullet"/>
        <w:spacing w:after="40"/>
      </w:pPr>
      <w:r>
        <w:t>Propriedades PVT e cálculos de engenharia de fluidos.</w:t>
      </w:r>
    </w:p>
    <w:p>
      <w:pPr>
        <w:pStyle w:val="ListBullet"/>
        <w:spacing w:after="40"/>
      </w:pPr>
      <w:r>
        <w:t>Análise de declínio e previsão de produção.</w:t>
      </w:r>
    </w:p>
    <w:p>
      <w:pPr>
        <w:pStyle w:val="ListBullet"/>
        <w:spacing w:after="40"/>
      </w:pPr>
      <w:r>
        <w:t>Análise nodal, análise de testes de poço (RTA) e ferramentas de simulação em desenvolvimento.</w:t>
      </w:r>
    </w:p>
    <w:p>
      <w:pPr>
        <w:pStyle w:val="ListBullet"/>
        <w:spacing w:after="40"/>
      </w:pPr>
      <w:r>
        <w:t>Organização e visualização de dados e apoio a fluxos de trabalho.</w:t>
      </w:r>
    </w:p>
    <w:p>
      <w:r>
        <w:t>A proposta de valor é reduzir a fragmentação entre ferramentas, apoiar tarefas repetitivas, facilitar o acesso de estudantes e pequenas equipas a ferramentas de análise e promover a rastreabilidade dos fluxos de trabalho. A distribuição desktop/local é uma opção de produto; funcionamento offline e segurança têm de ser verificados antes de serem prometidos.</w:t>
      </w:r>
    </w:p>
    <w:p>
      <w:r>
        <w:t>O PetroLúmen é uma ferramenta de apoio. Os resultados devem ser revistos por profissionais qualificados e comparados com dados e referências técnicas adequadas antes de apoiar decisões técnicas ou operacionais.</w:t>
      </w:r>
    </w:p>
    <w:p>
      <w:pPr>
        <w:pStyle w:val="Heading1"/>
      </w:pPr>
      <w:r>
        <w:t>5. Mercado e clientes-alvo</w:t>
      </w:r>
    </w:p>
    <w:p>
      <w:r>
        <w:t>O mercado inicial proposto é Angola, com validação junto de utilizadores académicos e profissionais do setor. A expansão regional dependerá de procura demonstrada, suporte, compatibilidade técnica e capacidade da equipa.</w:t>
      </w:r>
    </w:p>
    <w:p>
      <w:pPr>
        <w:pStyle w:val="ListBullet"/>
        <w:spacing w:after="40"/>
      </w:pPr>
      <w:r>
        <w:t>Estudantes e docentes de Engenharia de Petróleos, Geofísica e áreas relacionadas.</w:t>
      </w:r>
    </w:p>
    <w:p>
      <w:pPr>
        <w:pStyle w:val="ListBullet"/>
        <w:spacing w:after="40"/>
      </w:pPr>
      <w:r>
        <w:t>Investigadores e laboratórios académicos.</w:t>
      </w:r>
    </w:p>
    <w:p>
      <w:pPr>
        <w:pStyle w:val="ListBullet"/>
        <w:spacing w:after="40"/>
      </w:pPr>
      <w:r>
        <w:t>Consultores independentes e pequenas equipas de engenharia.</w:t>
      </w:r>
    </w:p>
    <w:p>
      <w:pPr>
        <w:pStyle w:val="ListBullet"/>
        <w:spacing w:after="40"/>
      </w:pPr>
      <w:r>
        <w:t>Operadores e empresas de serviços numa fase posterior, após validação técnica, de segurança e de integração.</w:t>
      </w:r>
    </w:p>
    <w:p>
      <w:r>
        <w:t>Validação de procura proposta: entrevistar pelo menos 10 potenciais utilizadores de perfis distintos, registar tarefas e dificuldades, testar um protótipo guiado e recolher interesse em pilotos. Esta é uma meta futura; os resultados devem ser atualizados apenas após a sua realização.</w:t>
      </w:r>
    </w:p>
    <w:p>
      <w:pPr>
        <w:pStyle w:val="Heading1"/>
      </w:pPr>
      <w:r>
        <w:t>6. Diferencial competitivo e análise sumária da concorrência</w:t>
      </w:r>
    </w:p>
    <w:p>
      <w:r>
        <w:t>As alternativas incluem folhas de cálculo internas, scripts, ferramentas académicas e plataformas comerciais de engenharia. Estas soluções podem ser tecnicamente capazes, mas diferem em custo, curva de aprendizagem, integração e adequação ao fluxo de trabalho de cada utilizador.</w:t>
      </w:r>
    </w:p>
    <w:p>
      <w:pPr>
        <w:pStyle w:val="ListBullet"/>
        <w:spacing w:after="40"/>
      </w:pPr>
      <w:r>
        <w:t>Foco em tarefas selecionadas de engenharia de reservatórios e no contexto académico e profissional local.</w:t>
      </w:r>
    </w:p>
    <w:p>
      <w:pPr>
        <w:pStyle w:val="ListBullet"/>
        <w:spacing w:after="40"/>
      </w:pPr>
      <w:r>
        <w:t>Interface moderna e possibilidade de distribuição desktop.</w:t>
      </w:r>
    </w:p>
    <w:p>
      <w:pPr>
        <w:pStyle w:val="ListBullet"/>
        <w:spacing w:after="40"/>
      </w:pPr>
      <w:r>
        <w:t>Desenvolvimento modular, com evolução orientada pelo feedback.</w:t>
      </w:r>
    </w:p>
    <w:p>
      <w:pPr>
        <w:pStyle w:val="ListBullet"/>
        <w:spacing w:after="40"/>
      </w:pPr>
      <w:r>
        <w:t>Entrada gradual, com demonstrações e pilotos antes de abordar vendas empresariais.</w:t>
      </w:r>
    </w:p>
    <w:p>
      <w:r>
        <w:t>Este posicionamento é uma hipótese competitiva a confirmar. O PetroLúmen não deve ser apresentado como substituto de plataformas comerciais completas nem como ferramenta certificada para operação sem comparação técnica, validação independente e avaliação dos requisitos dos clientes.</w:t>
      </w:r>
    </w:p>
    <w:p>
      <w:pPr>
        <w:pStyle w:val="Heading1"/>
      </w:pPr>
      <w:r>
        <w:t>7. Modelo de receitas ou mecanismo de criação de valor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0D2A5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Segmento</w:t>
            </w:r>
          </w:p>
        </w:tc>
        <w:tc>
          <w:tcPr>
            <w:tcW w:type="dxa" w:w="4939"/>
            <w:shd w:fill="0D2A5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Mecanismo proposto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Académico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Versão de demonstração ou gratuita, com âmbito e limites definidos.</w:t>
            </w:r>
          </w:p>
        </w:tc>
      </w:tr>
      <w:tr>
        <w:tc>
          <w:tcPr>
            <w:tcW w:type="dxa" w:w="4939"/>
            <w:shd w:fill="F1F5F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Profissional</w:t>
            </w:r>
          </w:p>
        </w:tc>
        <w:tc>
          <w:tcPr>
            <w:tcW w:type="dxa" w:w="4939"/>
            <w:shd w:fill="F1F5F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Subscrição mensal ou anual por utilizador, após estabilização de funcionalidades e suporte.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Organizacional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Licença, instalação ou contrato de suporte, com requisitos e âmbito acordados.</w:t>
            </w:r>
          </w:p>
        </w:tc>
      </w:tr>
      <w:tr>
        <w:tc>
          <w:tcPr>
            <w:tcW w:type="dxa" w:w="4939"/>
            <w:shd w:fill="F1F5F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Serviços complementares</w:t>
            </w:r>
          </w:p>
        </w:tc>
        <w:tc>
          <w:tcPr>
            <w:tcW w:type="dxa" w:w="4939"/>
            <w:shd w:fill="F1F5F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Formação, configuração e apoio à integração, conforme a capacidade da equipa.</w:t>
            </w:r>
          </w:p>
        </w:tc>
      </w:tr>
    </w:tbl>
    <w:p>
      <w:pPr>
        <w:spacing w:after="20"/>
      </w:pPr>
    </w:p>
    <w:p>
      <w:r>
        <w:t>Hipóteses de preço a testar, não tabela comercial aprovada: US$ 30–50 por utilizador/mês no plano profissional; US$ 2.000–5.000 por ano para licença organizacional. Disposição para pagar, moeda, impostos, meios de pagamento e custos de suporte devem ser investigados antes do lançamento.</w:t>
      </w:r>
    </w:p>
    <w:p>
      <w:pPr>
        <w:pStyle w:val="Heading1"/>
      </w:pPr>
      <w:r>
        <w:t>8. Viabilidade técnica e recursos necessários</w:t>
      </w:r>
    </w:p>
    <w:p>
      <w:r>
        <w:t>A base técnica utiliza frontend React/Next.js, camada desktop Tauri e backend Python/FastAPI. O repositório contém módulos e rotas relacionados com diferentes tarefas de engenharia de reservatórios. O projeto está em desenvolvimento e requer priorização, testes, documentação e validação por utilizadores e especialistas; a presença de módulos no código não comprova prontidão comercial.</w:t>
      </w:r>
    </w:p>
    <w:p>
      <w:pPr>
        <w:pStyle w:val="ListBullet"/>
        <w:spacing w:after="40"/>
      </w:pPr>
      <w:r>
        <w:t>Equipa com competências de engenharia de petróleo, desenvolvimento Python e desenvolvimento web/desktop.</w:t>
      </w:r>
    </w:p>
    <w:p>
      <w:pPr>
        <w:pStyle w:val="ListBullet"/>
        <w:spacing w:after="40"/>
      </w:pPr>
      <w:r>
        <w:t>Computadores e ambiente de desenvolvimento e testes.</w:t>
      </w:r>
    </w:p>
    <w:p>
      <w:pPr>
        <w:pStyle w:val="ListBullet"/>
        <w:spacing w:after="40"/>
      </w:pPr>
      <w:r>
        <w:t>Dados de teste adequados, documentação de casos de uso e referências técnicas.</w:t>
      </w:r>
    </w:p>
    <w:p>
      <w:pPr>
        <w:pStyle w:val="ListBullet"/>
        <w:spacing w:after="40"/>
      </w:pPr>
      <w:r>
        <w:t>Tempo para design da experiência do utilizador, testes e suporte aos pilotos.</w:t>
      </w:r>
    </w:p>
    <w:p>
      <w:pPr>
        <w:pStyle w:val="ListBullet"/>
        <w:spacing w:after="40"/>
      </w:pPr>
      <w:r>
        <w:t>Apoio de especialistas para rever cálculos e avaliar segurança.</w:t>
      </w:r>
    </w:p>
    <w:p>
      <w:r>
        <w:t>A viabilidade deve ser demonstrada por etapas. Recomenda-se começar por um conjunto limitado de funções com maior valor percebido, validar os resultados contra referências adequadas e só então ampliar a oferta.</w:t>
      </w:r>
    </w:p>
    <w:p>
      <w:pPr>
        <w:pStyle w:val="Heading1"/>
      </w:pPr>
      <w:r>
        <w:t>9. Estimativa económico-financeira preliminar</w:t>
      </w:r>
    </w:p>
    <w:p>
      <w:r>
        <w:t>O cenário é ilustrativo e depende de hipóteses ainda não validadas. Considera US$ 40 por subscrição profissional/mês, média de subscrições pagas ao longo do ano e licenças organizacionais a US$ 3.000/ano. Não representa vendas contratadas nem previsão garantida.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0D2A5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Indicador (hipótese)</w:t>
            </w:r>
          </w:p>
        </w:tc>
        <w:tc>
          <w:tcPr>
            <w:tcW w:type="dxa" w:w="2469"/>
            <w:shd w:fill="0D2A5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Ano 1</w:t>
            </w:r>
          </w:p>
        </w:tc>
        <w:tc>
          <w:tcPr>
            <w:tcW w:type="dxa" w:w="2469"/>
            <w:shd w:fill="0D2A5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Ano 2</w:t>
            </w:r>
          </w:p>
        </w:tc>
        <w:tc>
          <w:tcPr>
            <w:tcW w:type="dxa" w:w="2469"/>
            <w:shd w:fill="0D2A5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Ano 3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Média de subscrições profissionais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20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50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100</w:t>
            </w:r>
          </w:p>
        </w:tc>
      </w:tr>
      <w:tr>
        <w:tc>
          <w:tcPr>
            <w:tcW w:type="dxa" w:w="2469"/>
            <w:shd w:fill="F1F5F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Receita de subscrições (US$)</w:t>
            </w:r>
          </w:p>
        </w:tc>
        <w:tc>
          <w:tcPr>
            <w:tcW w:type="dxa" w:w="2469"/>
            <w:shd w:fill="F1F5F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9.600</w:t>
            </w:r>
          </w:p>
        </w:tc>
        <w:tc>
          <w:tcPr>
            <w:tcW w:type="dxa" w:w="2469"/>
            <w:shd w:fill="F1F5F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24.000</w:t>
            </w:r>
          </w:p>
        </w:tc>
        <w:tc>
          <w:tcPr>
            <w:tcW w:type="dxa" w:w="2469"/>
            <w:shd w:fill="F1F5F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48.000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Licenças organizacionais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0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2</w:t>
            </w:r>
          </w:p>
        </w:tc>
      </w:tr>
      <w:tr>
        <w:tc>
          <w:tcPr>
            <w:tcW w:type="dxa" w:w="2469"/>
            <w:shd w:fill="F1F5F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Receita de licenças (US$)</w:t>
            </w:r>
          </w:p>
        </w:tc>
        <w:tc>
          <w:tcPr>
            <w:tcW w:type="dxa" w:w="2469"/>
            <w:shd w:fill="F1F5F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0</w:t>
            </w:r>
          </w:p>
        </w:tc>
        <w:tc>
          <w:tcPr>
            <w:tcW w:type="dxa" w:w="2469"/>
            <w:shd w:fill="F1F5F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3.000</w:t>
            </w:r>
          </w:p>
        </w:tc>
        <w:tc>
          <w:tcPr>
            <w:tcW w:type="dxa" w:w="2469"/>
            <w:shd w:fill="F1F5F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6.000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Receita total estimada (US$)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9.600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27.000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54.000</w:t>
            </w:r>
          </w:p>
        </w:tc>
      </w:tr>
    </w:tbl>
    <w:p>
      <w:pPr>
        <w:spacing w:after="20"/>
      </w:pPr>
    </w:p>
    <w:p>
      <w:r>
        <w:t>A estimativa de custos, margem e ponto de equilíbrio exige levantamento de despesas reais com desenvolvimento, testes, suporte, comercialização, impostos, pagamentos e eventual infraestrutura. Por isso, não se apresenta resultado operacional nem mês de equilíbrio como facto. A equipa deverá atualizar o cenário após obter cotações e resultados dos pilotos.</w:t>
      </w:r>
    </w:p>
    <w:p>
      <w:pPr>
        <w:pStyle w:val="Heading1"/>
      </w:pPr>
      <w:r>
        <w:t>10. Impacto socioeconómico e ambiental</w:t>
      </w:r>
    </w:p>
    <w:p>
      <w:r>
        <w:t>Impacto socioeconómico potencial: apoiar a capacitação de estudantes e jovens profissionais, estimular desenvolvimento tecnológico local, reforçar competências digitais no setor energético e facilitar o acesso a ferramentas de análise para pequenas equipas. Estes impactos dependem da adoção e de resultados que ainda precisam de ser medidos.</w:t>
      </w:r>
    </w:p>
    <w:p>
      <w:r>
        <w:t>Impacto ambiental potencial: análises mais organizadas e decisões tecnicamente informadas podem contribuir para eficiência de recursos e redução de desperdícios. O software, por si só, não garante redução de impactos ambientais; qualquer benefício deverá ser avaliado por casos de uso e indicadores apropriados.</w:t>
      </w:r>
    </w:p>
    <w:p>
      <w:pPr>
        <w:pStyle w:val="Heading1"/>
      </w:pPr>
      <w:r>
        <w:t>11. Plano preliminar de implementação, principais riscos e medidas de mitigação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0D2A5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4939"/>
            <w:shd w:fill="0D2A5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Atividades propostas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1. Descoberta e priorização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Entrevistar utilizadores, selecionar casos de uso e definir requisitos prioritários.</w:t>
            </w:r>
          </w:p>
        </w:tc>
      </w:tr>
      <w:tr>
        <w:tc>
          <w:tcPr>
            <w:tcW w:type="dxa" w:w="4939"/>
            <w:shd w:fill="F1F5F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2. Protótipo e validação técnica</w:t>
            </w:r>
          </w:p>
        </w:tc>
        <w:tc>
          <w:tcPr>
            <w:tcW w:type="dxa" w:w="4939"/>
            <w:shd w:fill="F1F5F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Consolidar um núcleo funcional, testar cálculos e documentar limitações.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3. Pilotos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Realizar testes com utilizadores académicos e consultores; registar feedback e falhas.</w:t>
            </w:r>
          </w:p>
        </w:tc>
      </w:tr>
      <w:tr>
        <w:tc>
          <w:tcPr>
            <w:tcW w:type="dxa" w:w="4939"/>
            <w:shd w:fill="F1F5F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4. Preparação comercial</w:t>
            </w:r>
          </w:p>
        </w:tc>
        <w:tc>
          <w:tcPr>
            <w:tcW w:type="dxa" w:w="4939"/>
            <w:shd w:fill="F1F5F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Ajustar produto, suporte, preços e requisitos de segurança antes de oferecer planos pagos.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0D2A5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Risco</w:t>
            </w:r>
          </w:p>
        </w:tc>
        <w:tc>
          <w:tcPr>
            <w:tcW w:type="dxa" w:w="3293"/>
            <w:shd w:fill="0D2A5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Nível inicial</w:t>
            </w:r>
          </w:p>
        </w:tc>
        <w:tc>
          <w:tcPr>
            <w:tcW w:type="dxa" w:w="3293"/>
            <w:shd w:fill="0D2A5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Mitigação proposta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Procura ou adoção abaixo do esperado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Médio/alto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Validar problema e disposição para pagar antes de ampliar o desenvolvimento.</w:t>
            </w:r>
          </w:p>
        </w:tc>
      </w:tr>
      <w:tr>
        <w:tc>
          <w:tcPr>
            <w:tcW w:type="dxa" w:w="3293"/>
            <w:shd w:fill="F1F5F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Erros ou resultados não validados</w:t>
            </w:r>
          </w:p>
        </w:tc>
        <w:tc>
          <w:tcPr>
            <w:tcW w:type="dxa" w:w="3293"/>
            <w:shd w:fill="F1F5F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Alto</w:t>
            </w:r>
          </w:p>
        </w:tc>
        <w:tc>
          <w:tcPr>
            <w:tcW w:type="dxa" w:w="3293"/>
            <w:shd w:fill="F1F5F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Testes com referências, revisão especializada e documentação de pressupostos e limites.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Concorrência de soluções estabelecidas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Médio/alto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Focar em casos de uso específicos, acessibilidade e integração gradual.</w:t>
            </w:r>
          </w:p>
        </w:tc>
      </w:tr>
      <w:tr>
        <w:tc>
          <w:tcPr>
            <w:tcW w:type="dxa" w:w="3293"/>
            <w:shd w:fill="F1F5F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Atrasos por capacidade limitada da equipa</w:t>
            </w:r>
          </w:p>
        </w:tc>
        <w:tc>
          <w:tcPr>
            <w:tcW w:type="dxa" w:w="3293"/>
            <w:shd w:fill="F1F5F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Médio</w:t>
            </w:r>
          </w:p>
        </w:tc>
        <w:tc>
          <w:tcPr>
            <w:tcW w:type="dxa" w:w="3293"/>
            <w:shd w:fill="F1F5F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Limitar âmbito inicial, definir prioridades e procurar mentoria ou parcerias.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Exposição ou perda de dados técnicos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Médio/alto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sz w:val="18"/>
              </w:rPr>
              <w:t>Avaliar armazenamento, controlo de acesso, cópias de segurança e requisitos de segurança antes dos pilotos.</w:t>
            </w:r>
          </w:p>
        </w:tc>
      </w:tr>
    </w:tbl>
    <w:p>
      <w:pPr>
        <w:spacing w:after="20"/>
      </w:pPr>
    </w:p>
    <w:p>
      <w:r>
        <w:t>A execução deve ser revista após cada fase, utilizando critérios verificáveis: tarefas concluídas, resultados técnicos comparados, feedback recolhido, falhas corrigidas e interesse real em avançar para pilotos ou contratação.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16F66"/>
        <w:sz w:val="16"/>
      </w:rPr>
      <w:t xml:space="preserve">PetroLúmen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16F66"/>
        <w:sz w:val="16"/>
      </w:rPr>
      <w:t>PETROLÚMEN  |  MODELO DE NEGÓCIO — GEOENERGY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D33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2A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6F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D2A5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PetroLúmen — Modelo de Negócio GEOENERGY 2026</dc:title>
  <dc:subject>Proposta estruturada de acordo com o Anexo I</dc:subject>
  <dc:creator>Equipa PetroLúmen</dc:creator>
  <cp:keywords>PetroLúmen, GEOENERGY, modelo de negócio, engenharia de reservatórios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