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PROPOSED ACTION PLAN</w:t>
      </w:r>
    </w:p>
    <w:p>
      <w:pPr>
        <w:spacing w:after="100"/>
        <w:jc w:val="center"/>
      </w:pPr>
      <w:r>
        <w:rPr>
          <w:b/>
          <w:bCs/>
          <w:color w:val="444444"/>
          <w:sz w:val="24"/>
          <w:szCs w:val="24"/>
        </w:rPr>
        <w:t xml:space="preserve">James Poultry Supply Sustainability Plan Matrix</w:t>
      </w:r>
    </w:p>
    <w:p>
      <w:pPr>
        <w:spacing w:after="100"/>
        <w:jc w:val="center"/>
      </w:pPr>
      <w:r>
        <w:rPr>
          <w:i/>
          <w:iCs/>
          <w:color w:val="777777"/>
          <w:sz w:val="18"/>
          <w:szCs w:val="18"/>
        </w:rPr>
        <w:t xml:space="preserve">Table 9 (continuation of Chapter 3–4, following Table 8)</w:t>
      </w:r>
    </w:p>
    <w:p>
      <w:pPr>
        <w:spacing w:after="200"/>
        <w:jc w:val="center"/>
      </w:pPr>
      <w:r>
        <w:rPr>
          <w:i/>
          <w:iCs/>
          <w:color w:val="555555"/>
          <w:sz w:val="18"/>
          <w:szCs w:val="18"/>
        </w:rPr>
        <w:t xml:space="preserve">This matrix presents an action plan drawn only from the operational and satisfaction indicators verbally interpreted as "Agree" (Weighted Mean 2.51–3.25) in Chapters 3–4, since indicators rated "Strongly Agree" already reflect a satisfied customer base and require no corrective intervention.</w:t>
      </w:r>
    </w:p>
    <w:p>
      <w:pPr>
        <w:spacing w:after="300"/>
      </w:pPr>
      <w:r>
        <w:rPr>
          <w:b/>
          <w:bCs/>
          <w:sz w:val="19"/>
          <w:szCs w:val="19"/>
        </w:rPr>
        <w:t xml:space="preserve">Basis for the Action Plan (Table 8 Correlation Findings). </w:t>
      </w:r>
      <w:r>
        <w:rPr>
          <w:sz w:val="19"/>
          <w:szCs w:val="19"/>
        </w:rPr>
        <w:t xml:space="preserve">Table 8 established a high positive and statistically significant correlation (r = 0.6843, p = 0.0001) between customers' perceptions of store operations and their level of satisfaction, leading to the rejection of the null hypothesis. This finding confirms that improving the operational dimensions above will directly and measurably increase customer satisfaction, providing the empirical justification for the action steps proposed below. It is likewise the direct basis of Recommendation No. 5 in Chapter 4, which calls for the simultaneous improvement of operational practices and customer engagement strategies.</w:t>
      </w:r>
    </w:p>
    <w:tbl>
      <w:tblPr>
        <w:tblW w:type="dxa" w:w="1440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2600"/>
        <w:gridCol w:w="2400"/>
        <w:gridCol w:w="2900"/>
        <w:gridCol w:w="1600"/>
        <w:gridCol w:w="1600"/>
        <w:gridCol w:w="1600"/>
      </w:tblGrid>
      <w:tr>
        <w:trPr>
          <w:tblHeader/>
        </w:trPr>
        <w:tc>
          <w:tcPr>
            <w:tcW w:type="dxa" w:w="1700"/>
            <w:shd w:fill="2E5C3E" w:color="auto" w:val="clear"/>
            <w:tcMar>
              <w:top w:type="dxa" w:w="100"/>
              <w:left w:type="dxa" w:w="100"/>
              <w:bottom w:type="dxa" w:w="100"/>
              <w:right w:type="dxa" w:w="100"/>
            </w:tcMar>
            <w:vAlign w:val="center"/>
          </w:tcPr>
          <w:p>
            <w:pPr>
              <w:jc w:val="center"/>
            </w:pPr>
            <w:r>
              <w:rPr>
                <w:b/>
                <w:bCs/>
                <w:color w:val="FFFFFF"/>
                <w:sz w:val="20"/>
                <w:szCs w:val="20"/>
              </w:rPr>
              <w:t xml:space="preserve">Key Result Area</w:t>
            </w:r>
          </w:p>
        </w:tc>
        <w:tc>
          <w:tcPr>
            <w:tcW w:type="dxa" w:w="2600"/>
            <w:shd w:fill="2E5C3E" w:color="auto" w:val="clear"/>
            <w:tcMar>
              <w:top w:type="dxa" w:w="100"/>
              <w:left w:type="dxa" w:w="100"/>
              <w:bottom w:type="dxa" w:w="100"/>
              <w:right w:type="dxa" w:w="100"/>
            </w:tcMar>
            <w:vAlign w:val="center"/>
          </w:tcPr>
          <w:p>
            <w:pPr>
              <w:jc w:val="center"/>
            </w:pPr>
            <w:r>
              <w:rPr>
                <w:b/>
                <w:bCs/>
                <w:color w:val="FFFFFF"/>
                <w:sz w:val="20"/>
                <w:szCs w:val="20"/>
              </w:rPr>
              <w:t xml:space="preserve">Identified Problem</w:t>
            </w:r>
          </w:p>
        </w:tc>
        <w:tc>
          <w:tcPr>
            <w:tcW w:type="dxa" w:w="2400"/>
            <w:shd w:fill="2E5C3E" w:color="auto" w:val="clear"/>
            <w:tcMar>
              <w:top w:type="dxa" w:w="100"/>
              <w:left w:type="dxa" w:w="100"/>
              <w:bottom w:type="dxa" w:w="100"/>
              <w:right w:type="dxa" w:w="100"/>
            </w:tcMar>
            <w:vAlign w:val="center"/>
          </w:tcPr>
          <w:p>
            <w:pPr>
              <w:jc w:val="center"/>
            </w:pPr>
            <w:r>
              <w:rPr>
                <w:b/>
                <w:bCs/>
                <w:color w:val="FFFFFF"/>
                <w:sz w:val="20"/>
                <w:szCs w:val="20"/>
              </w:rPr>
              <w:t xml:space="preserve">Objective</w:t>
            </w:r>
          </w:p>
        </w:tc>
        <w:tc>
          <w:tcPr>
            <w:tcW w:type="dxa" w:w="2900"/>
            <w:shd w:fill="2E5C3E" w:color="auto" w:val="clear"/>
            <w:tcMar>
              <w:top w:type="dxa" w:w="100"/>
              <w:left w:type="dxa" w:w="100"/>
              <w:bottom w:type="dxa" w:w="100"/>
              <w:right w:type="dxa" w:w="100"/>
            </w:tcMar>
            <w:vAlign w:val="center"/>
          </w:tcPr>
          <w:p>
            <w:pPr>
              <w:jc w:val="center"/>
            </w:pPr>
            <w:r>
              <w:rPr>
                <w:b/>
                <w:bCs/>
                <w:color w:val="FFFFFF"/>
                <w:sz w:val="20"/>
                <w:szCs w:val="20"/>
              </w:rPr>
              <w:t xml:space="preserve">Action to be Taken</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Person Involved</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Budget</w:t>
            </w:r>
          </w:p>
        </w:tc>
        <w:tc>
          <w:tcPr>
            <w:tcW w:type="dxa" w:w="1600"/>
            <w:shd w:fill="2E5C3E" w:color="auto" w:val="clear"/>
            <w:tcMar>
              <w:top w:type="dxa" w:w="100"/>
              <w:left w:type="dxa" w:w="100"/>
              <w:bottom w:type="dxa" w:w="100"/>
              <w:right w:type="dxa" w:w="100"/>
            </w:tcMar>
            <w:vAlign w:val="center"/>
          </w:tcPr>
          <w:p>
            <w:pPr>
              <w:jc w:val="center"/>
            </w:pPr>
            <w:r>
              <w:rPr>
                <w:b/>
                <w:bCs/>
                <w:color w:val="FFFFFF"/>
                <w:sz w:val="20"/>
                <w:szCs w:val="20"/>
              </w:rPr>
              <w:t xml:space="preserve">Time Frame</w:t>
            </w:r>
          </w:p>
        </w:tc>
      </w:tr>
      <w:tr>
        <w:tc>
          <w:tcPr>
            <w:tcW w:type="dxa" w:w="1700"/>
            <w:tcMar>
              <w:top w:type="dxa" w:w="100"/>
              <w:left w:type="dxa" w:w="120"/>
              <w:bottom w:type="dxa" w:w="100"/>
              <w:right w:type="dxa" w:w="120"/>
            </w:tcMar>
            <w:vAlign w:val="center"/>
          </w:tcPr>
          <w:p>
            <w:pPr>
              <w:spacing w:after="60"/>
              <w:jc w:val="left"/>
            </w:pPr>
            <w:r>
              <w:rPr>
                <w:b/>
                <w:bCs/>
                <w:sz w:val="19"/>
                <w:szCs w:val="19"/>
              </w:rPr>
              <w:t xml:space="preserve">Supplier and Inventory Sustainability</w:t>
            </w:r>
          </w:p>
          <w:p>
            <w:pPr>
              <w:spacing w:after="0"/>
              <w:jc w:val="left"/>
            </w:pPr>
            <w:r>
              <w:rPr>
                <w:b/>
                <w:bCs/>
                <w:sz w:val="19"/>
                <w:szCs w:val="19"/>
              </w:rPr>
              <w:t xml:space="preserve">(Composite WM: 3.25 – Agree)</w:t>
            </w:r>
          </w:p>
        </w:tc>
        <w:tc>
          <w:tcPr>
            <w:tcW w:type="dxa" w:w="26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The store is slow to restock popular or high-demand items (WM 3.07, Agree).</w:t>
            </w:r>
          </w:p>
          <w:p>
            <w:pPr>
              <w:pStyle w:val="ListParagraph"/>
              <w:numPr>
                <w:ilvl w:val="0"/>
                <w:numId w:val="1"/>
              </w:numPr>
              <w:spacing w:after="0"/>
              <w:jc w:val="left"/>
            </w:pPr>
            <w:r>
              <w:rPr>
                <w:b w:val="false"/>
                <w:bCs w:val="false"/>
                <w:sz w:val="19"/>
                <w:szCs w:val="19"/>
              </w:rPr>
              <w:t xml:space="preserve">Some customers still need to purchase from other shops occasionally (WM 3.17, Agree).</w:t>
            </w:r>
          </w:p>
        </w:tc>
        <w:tc>
          <w:tcPr>
            <w:tcW w:type="dxa" w:w="2400"/>
            <w:tcMar>
              <w:top w:type="dxa" w:w="100"/>
              <w:left w:type="dxa" w:w="120"/>
              <w:bottom w:type="dxa" w:w="100"/>
              <w:right w:type="dxa" w:w="120"/>
            </w:tcMar>
            <w:vAlign w:val="center"/>
          </w:tcPr>
          <w:p>
            <w:pPr>
              <w:spacing w:after="0"/>
              <w:jc w:val="left"/>
            </w:pPr>
            <w:r>
              <w:rPr>
                <w:b w:val="false"/>
                <w:bCs w:val="false"/>
                <w:sz w:val="19"/>
                <w:szCs w:val="19"/>
              </w:rPr>
              <w:t xml:space="preserve">To improve stock replenishment speed and ensure consistent product availability during peak demand periods.</w:t>
            </w:r>
          </w:p>
        </w:tc>
        <w:tc>
          <w:tcPr>
            <w:tcW w:type="dxa" w:w="29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Adopt a simple manual sales ledger or a low-cost digital inventory tracking app to monitor stock levels.</w:t>
            </w:r>
          </w:p>
          <w:p>
            <w:pPr>
              <w:pStyle w:val="ListParagraph"/>
              <w:numPr>
                <w:ilvl w:val="0"/>
                <w:numId w:val="1"/>
              </w:numPr>
              <w:spacing w:after="0"/>
              <w:jc w:val="left"/>
            </w:pPr>
            <w:r>
              <w:rPr>
                <w:b w:val="false"/>
                <w:bCs w:val="false"/>
                <w:sz w:val="19"/>
                <w:szCs w:val="19"/>
              </w:rPr>
              <w:t xml:space="preserve">Establish priority reorder points for fast-moving items such as poultry feeds, chick boosters, and vitamins.</w:t>
            </w:r>
          </w:p>
        </w:tc>
        <w:tc>
          <w:tcPr>
            <w:tcW w:type="dxa" w:w="1600"/>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Staff-in-charge of Inventory</w:t>
            </w:r>
          </w:p>
        </w:tc>
        <w:tc>
          <w:tcPr>
            <w:tcW w:type="dxa" w:w="1600"/>
            <w:tcMar>
              <w:top w:type="dxa" w:w="100"/>
              <w:left w:type="dxa" w:w="120"/>
              <w:bottom w:type="dxa" w:w="100"/>
              <w:right w:type="dxa" w:w="120"/>
            </w:tcMar>
            <w:vAlign w:val="center"/>
          </w:tcPr>
          <w:p>
            <w:pPr>
              <w:spacing w:after="60"/>
              <w:jc w:val="center"/>
            </w:pPr>
            <w:r>
              <w:rPr>
                <w:b w:val="false"/>
                <w:bCs w:val="false"/>
                <w:sz w:val="19"/>
                <w:szCs w:val="19"/>
              </w:rPr>
              <w:t xml:space="preserve">₱1,500 – ₱3,000</w:t>
            </w:r>
          </w:p>
          <w:p>
            <w:pPr>
              <w:spacing w:after="0"/>
              <w:jc w:val="center"/>
            </w:pPr>
            <w:r>
              <w:rPr>
                <w:b w:val="false"/>
                <w:bCs w:val="false"/>
                <w:sz w:val="19"/>
                <w:szCs w:val="19"/>
              </w:rPr>
              <w:t xml:space="preserve">(ledger/notebook or basic inventory app)</w:t>
            </w:r>
          </w:p>
        </w:tc>
        <w:tc>
          <w:tcPr>
            <w:tcW w:type="dxa" w:w="1600"/>
            <w:tcMar>
              <w:top w:type="dxa" w:w="100"/>
              <w:left w:type="dxa" w:w="120"/>
              <w:bottom w:type="dxa" w:w="100"/>
              <w:right w:type="dxa" w:w="120"/>
            </w:tcMar>
            <w:vAlign w:val="center"/>
          </w:tcPr>
          <w:p>
            <w:pPr>
              <w:spacing w:after="0"/>
              <w:jc w:val="center"/>
            </w:pPr>
            <w:r>
              <w:rPr>
                <w:b w:val="false"/>
                <w:bCs w:val="false"/>
                <w:sz w:val="19"/>
                <w:szCs w:val="19"/>
              </w:rPr>
              <w:t xml:space="preserve">1–2 months set-up; ongoing monitoring</w:t>
            </w:r>
          </w:p>
        </w:tc>
      </w:tr>
      <w:tr>
        <w:tc>
          <w:tcPr>
            <w:tcW w:type="dxa" w:w="1700"/>
            <w:shd w:fill="F2F7F2" w:color="auto" w:val="clear"/>
            <w:tcMar>
              <w:top w:type="dxa" w:w="100"/>
              <w:left w:type="dxa" w:w="120"/>
              <w:bottom w:type="dxa" w:w="100"/>
              <w:right w:type="dxa" w:w="120"/>
            </w:tcMar>
            <w:vAlign w:val="center"/>
          </w:tcPr>
          <w:p>
            <w:pPr>
              <w:spacing w:after="60"/>
              <w:jc w:val="left"/>
            </w:pPr>
            <w:r>
              <w:rPr>
                <w:b/>
                <w:bCs/>
                <w:sz w:val="19"/>
                <w:szCs w:val="19"/>
              </w:rPr>
              <w:t xml:space="preserve">Marketing and Digital Adaptation</w:t>
            </w:r>
          </w:p>
          <w:p>
            <w:pPr>
              <w:spacing w:after="0"/>
              <w:jc w:val="left"/>
            </w:pPr>
            <w:r>
              <w:rPr>
                <w:b/>
                <w:bCs/>
                <w:sz w:val="19"/>
                <w:szCs w:val="19"/>
              </w:rPr>
              <w:t xml:space="preserve">(Composite WM: 3.01 – Agree; lowest-rated dimension)</w:t>
            </w:r>
          </w:p>
        </w:tc>
        <w:tc>
          <w:tcPr>
            <w:tcW w:type="dxa" w:w="26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Customers are not consistently informed about products and store updates (WM 2.97, Agree).</w:t>
            </w:r>
          </w:p>
          <w:p>
            <w:pPr>
              <w:pStyle w:val="ListParagraph"/>
              <w:numPr>
                <w:ilvl w:val="0"/>
                <w:numId w:val="1"/>
              </w:numPr>
              <w:spacing w:after="60"/>
              <w:jc w:val="left"/>
            </w:pPr>
            <w:r>
              <w:rPr>
                <w:b w:val="false"/>
                <w:bCs w:val="false"/>
                <w:sz w:val="19"/>
                <w:szCs w:val="19"/>
              </w:rPr>
              <w:t xml:space="preserve">The store is difficult to reach through Facebook/Messenger (WM 2.83, Agree).</w:t>
            </w:r>
          </w:p>
          <w:p>
            <w:pPr>
              <w:pStyle w:val="ListParagraph"/>
              <w:numPr>
                <w:ilvl w:val="0"/>
                <w:numId w:val="1"/>
              </w:numPr>
              <w:spacing w:after="60"/>
              <w:jc w:val="left"/>
            </w:pPr>
            <w:r>
              <w:rPr>
                <w:b w:val="false"/>
                <w:bCs w:val="false"/>
                <w:sz w:val="19"/>
                <w:szCs w:val="19"/>
              </w:rPr>
              <w:t xml:space="preserve">Responses to online inquiries are slow or unhelpful (WM 2.80, Agree).</w:t>
            </w:r>
          </w:p>
          <w:p>
            <w:pPr>
              <w:pStyle w:val="ListParagraph"/>
              <w:numPr>
                <w:ilvl w:val="0"/>
                <w:numId w:val="1"/>
              </w:numPr>
              <w:spacing w:after="0"/>
              <w:jc w:val="left"/>
            </w:pPr>
            <w:r>
              <w:rPr>
                <w:b w:val="false"/>
                <w:bCs w:val="false"/>
                <w:sz w:val="19"/>
                <w:szCs w:val="19"/>
              </w:rPr>
              <w:t xml:space="preserve">Digital communication is not yet felt to be convenient by customers (WM 3.07, Agree).</w:t>
            </w:r>
          </w:p>
        </w:tc>
        <w:tc>
          <w:tcPr>
            <w:tcW w:type="dxa" w:w="24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To strengthen the store's digital presence and responsiveness in order to improve customer awareness, accessibility, and engagement.</w:t>
            </w:r>
          </w:p>
        </w:tc>
        <w:tc>
          <w:tcPr>
            <w:tcW w:type="dxa" w:w="29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Set up/activate an official Facebook Page and Messenger account with fixed daily response hours.</w:t>
            </w:r>
          </w:p>
          <w:p>
            <w:pPr>
              <w:pStyle w:val="ListParagraph"/>
              <w:numPr>
                <w:ilvl w:val="0"/>
                <w:numId w:val="1"/>
              </w:numPr>
              <w:spacing w:after="60"/>
              <w:jc w:val="left"/>
            </w:pPr>
            <w:r>
              <w:rPr>
                <w:b w:val="false"/>
                <w:bCs w:val="false"/>
                <w:sz w:val="19"/>
                <w:szCs w:val="19"/>
              </w:rPr>
              <w:t xml:space="preserve">Regularly post product availability, price lists, and promotional announcements.</w:t>
            </w:r>
          </w:p>
          <w:p>
            <w:pPr>
              <w:pStyle w:val="ListParagraph"/>
              <w:numPr>
                <w:ilvl w:val="0"/>
                <w:numId w:val="1"/>
              </w:numPr>
              <w:spacing w:after="0"/>
              <w:jc w:val="left"/>
            </w:pPr>
            <w:r>
              <w:rPr>
                <w:b w:val="false"/>
                <w:bCs w:val="false"/>
                <w:sz w:val="19"/>
                <w:szCs w:val="19"/>
              </w:rPr>
              <w:t xml:space="preserve">Assign a staff member to monitor and respond promptly to online inquiries.</w:t>
            </w:r>
          </w:p>
        </w:tc>
        <w:tc>
          <w:tcPr>
            <w:tcW w:type="dxa" w:w="1600"/>
            <w:shd w:fill="F2F7F2" w:color="auto" w:val="clear"/>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Designated Staff/Social Media Handler</w:t>
            </w:r>
          </w:p>
        </w:tc>
        <w:tc>
          <w:tcPr>
            <w:tcW w:type="dxa" w:w="1600"/>
            <w:shd w:fill="F2F7F2" w:color="auto" w:val="clear"/>
            <w:tcMar>
              <w:top w:type="dxa" w:w="100"/>
              <w:left w:type="dxa" w:w="120"/>
              <w:bottom w:type="dxa" w:w="100"/>
              <w:right w:type="dxa" w:w="120"/>
            </w:tcMar>
            <w:vAlign w:val="center"/>
          </w:tcPr>
          <w:p>
            <w:pPr>
              <w:spacing w:after="60"/>
              <w:jc w:val="center"/>
            </w:pPr>
            <w:r>
              <w:rPr>
                <w:b w:val="false"/>
                <w:bCs w:val="false"/>
                <w:sz w:val="19"/>
                <w:szCs w:val="19"/>
              </w:rPr>
              <w:t xml:space="preserve">₱500 – ₱1,000 / month</w:t>
            </w:r>
          </w:p>
          <w:p>
            <w:pPr>
              <w:spacing w:after="0"/>
              <w:jc w:val="center"/>
            </w:pPr>
            <w:r>
              <w:rPr>
                <w:b w:val="false"/>
                <w:bCs w:val="false"/>
                <w:sz w:val="19"/>
                <w:szCs w:val="19"/>
              </w:rPr>
              <w:t xml:space="preserve">(mobile data/load, occasional boosted posts; page set-up is free)</w:t>
            </w:r>
          </w:p>
        </w:tc>
        <w:tc>
          <w:tcPr>
            <w:tcW w:type="dxa" w:w="1600"/>
            <w:shd w:fill="F2F7F2" w:color="auto" w:val="clear"/>
            <w:tcMar>
              <w:top w:type="dxa" w:w="100"/>
              <w:left w:type="dxa" w:w="120"/>
              <w:bottom w:type="dxa" w:w="100"/>
              <w:right w:type="dxa" w:w="120"/>
            </w:tcMar>
            <w:vAlign w:val="center"/>
          </w:tcPr>
          <w:p>
            <w:pPr>
              <w:spacing w:after="0"/>
              <w:jc w:val="center"/>
            </w:pPr>
            <w:r>
              <w:rPr>
                <w:b w:val="false"/>
                <w:bCs w:val="false"/>
                <w:sz w:val="19"/>
                <w:szCs w:val="19"/>
              </w:rPr>
              <w:t xml:space="preserve">2–4 weeks initial set-up; ongoing/continuous</w:t>
            </w:r>
          </w:p>
        </w:tc>
      </w:tr>
      <w:tr>
        <w:tc>
          <w:tcPr>
            <w:tcW w:type="dxa" w:w="1700"/>
            <w:tcMar>
              <w:top w:type="dxa" w:w="100"/>
              <w:left w:type="dxa" w:w="120"/>
              <w:bottom w:type="dxa" w:w="100"/>
              <w:right w:type="dxa" w:w="120"/>
            </w:tcMar>
            <w:vAlign w:val="center"/>
          </w:tcPr>
          <w:p>
            <w:pPr>
              <w:spacing w:after="60"/>
              <w:jc w:val="left"/>
            </w:pPr>
            <w:r>
              <w:rPr>
                <w:b/>
                <w:bCs/>
                <w:sz w:val="19"/>
                <w:szCs w:val="19"/>
              </w:rPr>
              <w:t xml:space="preserve">Operational Sustainability as a Micro-Business</w:t>
            </w:r>
          </w:p>
          <w:p>
            <w:pPr>
              <w:spacing w:after="0"/>
              <w:jc w:val="left"/>
            </w:pPr>
            <w:r>
              <w:rPr>
                <w:b/>
                <w:bCs/>
                <w:sz w:val="19"/>
                <w:szCs w:val="19"/>
              </w:rPr>
              <w:t xml:space="preserve">(Composite WM: 3.35 – Strongly Agree; 1 indicator rated Agree)</w:t>
            </w:r>
          </w:p>
        </w:tc>
        <w:tc>
          <w:tcPr>
            <w:tcW w:type="dxa" w:w="2600"/>
            <w:tcMar>
              <w:top w:type="dxa" w:w="100"/>
              <w:left w:type="dxa" w:w="120"/>
              <w:bottom w:type="dxa" w:w="100"/>
              <w:right w:type="dxa" w:w="120"/>
            </w:tcMar>
            <w:vAlign w:val="center"/>
          </w:tcPr>
          <w:p>
            <w:pPr>
              <w:spacing w:after="0"/>
              <w:jc w:val="left"/>
            </w:pPr>
            <w:r>
              <w:rPr>
                <w:b w:val="false"/>
                <w:bCs w:val="false"/>
                <w:sz w:val="19"/>
                <w:szCs w:val="19"/>
              </w:rPr>
              <w:t xml:space="preserve">Customers have not fully observed the store's efforts to continuously improve its services (WM 3.20, Agree).</w:t>
            </w:r>
          </w:p>
        </w:tc>
        <w:tc>
          <w:tcPr>
            <w:tcW w:type="dxa" w:w="2400"/>
            <w:tcMar>
              <w:top w:type="dxa" w:w="100"/>
              <w:left w:type="dxa" w:w="120"/>
              <w:bottom w:type="dxa" w:w="100"/>
              <w:right w:type="dxa" w:w="120"/>
            </w:tcMar>
            <w:vAlign w:val="center"/>
          </w:tcPr>
          <w:p>
            <w:pPr>
              <w:spacing w:after="0"/>
              <w:jc w:val="left"/>
            </w:pPr>
            <w:r>
              <w:rPr>
                <w:b w:val="false"/>
                <w:bCs w:val="false"/>
                <w:sz w:val="19"/>
                <w:szCs w:val="19"/>
              </w:rPr>
              <w:t xml:space="preserve">To make the store's operational improvements and upgrades more visible and known to customers.</w:t>
            </w:r>
          </w:p>
        </w:tc>
        <w:tc>
          <w:tcPr>
            <w:tcW w:type="dxa" w:w="2900"/>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Post in-store notices about new products, service improvements, or operational updates.</w:t>
            </w:r>
          </w:p>
          <w:p>
            <w:pPr>
              <w:pStyle w:val="ListParagraph"/>
              <w:numPr>
                <w:ilvl w:val="0"/>
                <w:numId w:val="1"/>
              </w:numPr>
              <w:spacing w:after="0"/>
              <w:jc w:val="left"/>
            </w:pPr>
            <w:r>
              <w:rPr>
                <w:b w:val="false"/>
                <w:bCs w:val="false"/>
                <w:sz w:val="19"/>
                <w:szCs w:val="19"/>
              </w:rPr>
              <w:t xml:space="preserve">Install a simple customer suggestion/feedback box to demonstrate commitment to continuous improvement.</w:t>
            </w:r>
          </w:p>
        </w:tc>
        <w:tc>
          <w:tcPr>
            <w:tcW w:type="dxa" w:w="1600"/>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All Staff</w:t>
            </w:r>
          </w:p>
        </w:tc>
        <w:tc>
          <w:tcPr>
            <w:tcW w:type="dxa" w:w="1600"/>
            <w:tcMar>
              <w:top w:type="dxa" w:w="100"/>
              <w:left w:type="dxa" w:w="120"/>
              <w:bottom w:type="dxa" w:w="100"/>
              <w:right w:type="dxa" w:w="120"/>
            </w:tcMar>
            <w:vAlign w:val="center"/>
          </w:tcPr>
          <w:p>
            <w:pPr>
              <w:spacing w:after="60"/>
              <w:jc w:val="center"/>
            </w:pPr>
            <w:r>
              <w:rPr>
                <w:b w:val="false"/>
                <w:bCs w:val="false"/>
                <w:sz w:val="19"/>
                <w:szCs w:val="19"/>
              </w:rPr>
              <w:t xml:space="preserve">₱300 – ₱800</w:t>
            </w:r>
          </w:p>
          <w:p>
            <w:pPr>
              <w:spacing w:after="0"/>
              <w:jc w:val="center"/>
            </w:pPr>
            <w:r>
              <w:rPr>
                <w:b w:val="false"/>
                <w:bCs w:val="false"/>
                <w:sz w:val="19"/>
                <w:szCs w:val="19"/>
              </w:rPr>
              <w:t xml:space="preserve">(printed notices/tarpaulin, suggestion box materials)</w:t>
            </w:r>
          </w:p>
        </w:tc>
        <w:tc>
          <w:tcPr>
            <w:tcW w:type="dxa" w:w="1600"/>
            <w:tcMar>
              <w:top w:type="dxa" w:w="100"/>
              <w:left w:type="dxa" w:w="120"/>
              <w:bottom w:type="dxa" w:w="100"/>
              <w:right w:type="dxa" w:w="120"/>
            </w:tcMar>
            <w:vAlign w:val="center"/>
          </w:tcPr>
          <w:p>
            <w:pPr>
              <w:spacing w:after="0"/>
              <w:jc w:val="center"/>
            </w:pPr>
            <w:r>
              <w:rPr>
                <w:b w:val="false"/>
                <w:bCs w:val="false"/>
                <w:sz w:val="19"/>
                <w:szCs w:val="19"/>
              </w:rPr>
              <w:t xml:space="preserve">2–4 weeks</w:t>
            </w:r>
          </w:p>
        </w:tc>
      </w:tr>
      <w:tr>
        <w:tc>
          <w:tcPr>
            <w:tcW w:type="dxa" w:w="1700"/>
            <w:shd w:fill="F2F7F2" w:color="auto" w:val="clear"/>
            <w:tcMar>
              <w:top w:type="dxa" w:w="100"/>
              <w:left w:type="dxa" w:w="120"/>
              <w:bottom w:type="dxa" w:w="100"/>
              <w:right w:type="dxa" w:w="120"/>
            </w:tcMar>
            <w:vAlign w:val="center"/>
          </w:tcPr>
          <w:p>
            <w:pPr>
              <w:spacing w:after="60"/>
              <w:jc w:val="left"/>
            </w:pPr>
            <w:r>
              <w:rPr>
                <w:b/>
                <w:bCs/>
                <w:sz w:val="19"/>
                <w:szCs w:val="19"/>
              </w:rPr>
              <w:t xml:space="preserve">Pricing</w:t>
            </w:r>
          </w:p>
          <w:p>
            <w:pPr>
              <w:spacing w:after="0"/>
              <w:jc w:val="left"/>
            </w:pPr>
            <w:r>
              <w:rPr>
                <w:b/>
                <w:bCs/>
                <w:sz w:val="19"/>
                <w:szCs w:val="19"/>
              </w:rPr>
              <w:t xml:space="preserve">(Composite WM: 3.23 – Agree; lowest-rated satisfaction dimension)</w:t>
            </w:r>
          </w:p>
        </w:tc>
        <w:tc>
          <w:tcPr>
            <w:tcW w:type="dxa" w:w="26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Discounts and promotions are perceived as limited or not attractive enough (WM 2.87, Agree).</w:t>
            </w:r>
          </w:p>
        </w:tc>
        <w:tc>
          <w:tcPr>
            <w:tcW w:type="dxa" w:w="2400"/>
            <w:shd w:fill="F2F7F2" w:color="auto" w:val="clear"/>
            <w:tcMar>
              <w:top w:type="dxa" w:w="100"/>
              <w:left w:type="dxa" w:w="120"/>
              <w:bottom w:type="dxa" w:w="100"/>
              <w:right w:type="dxa" w:w="120"/>
            </w:tcMar>
            <w:vAlign w:val="center"/>
          </w:tcPr>
          <w:p>
            <w:pPr>
              <w:spacing w:after="0"/>
              <w:jc w:val="left"/>
            </w:pPr>
            <w:r>
              <w:rPr>
                <w:b w:val="false"/>
                <w:bCs w:val="false"/>
                <w:sz w:val="19"/>
                <w:szCs w:val="19"/>
              </w:rPr>
              <w:t xml:space="preserve">To develop and clearly communicate attractive, accessible promotional offers that improve pricing satisfaction.</w:t>
            </w:r>
          </w:p>
        </w:tc>
        <w:tc>
          <w:tcPr>
            <w:tcW w:type="dxa" w:w="2900"/>
            <w:shd w:fill="F2F7F2" w:color="auto" w:val="clear"/>
            <w:tcMar>
              <w:top w:type="dxa" w:w="100"/>
              <w:left w:type="dxa" w:w="120"/>
              <w:bottom w:type="dxa" w:w="100"/>
              <w:right w:type="dxa" w:w="120"/>
            </w:tcMar>
            <w:vAlign w:val="center"/>
          </w:tcPr>
          <w:p>
            <w:pPr>
              <w:pStyle w:val="ListParagraph"/>
              <w:numPr>
                <w:ilvl w:val="0"/>
                <w:numId w:val="1"/>
              </w:numPr>
              <w:spacing w:after="60"/>
              <w:jc w:val="left"/>
            </w:pPr>
            <w:r>
              <w:rPr>
                <w:b w:val="false"/>
                <w:bCs w:val="false"/>
                <w:sz w:val="19"/>
                <w:szCs w:val="19"/>
              </w:rPr>
              <w:t xml:space="preserve">Introduce a simple loyalty/discount card for regular ("suki") customers.</w:t>
            </w:r>
          </w:p>
          <w:p>
            <w:pPr>
              <w:pStyle w:val="ListParagraph"/>
              <w:numPr>
                <w:ilvl w:val="0"/>
                <w:numId w:val="1"/>
              </w:numPr>
              <w:spacing w:after="60"/>
              <w:jc w:val="left"/>
            </w:pPr>
            <w:r>
              <w:rPr>
                <w:b w:val="false"/>
                <w:bCs w:val="false"/>
                <w:sz w:val="19"/>
                <w:szCs w:val="19"/>
              </w:rPr>
              <w:t xml:space="preserve">Offer bulk-purchase incentives for feeds and other high-volume items.</w:t>
            </w:r>
          </w:p>
          <w:p>
            <w:pPr>
              <w:pStyle w:val="ListParagraph"/>
              <w:numPr>
                <w:ilvl w:val="0"/>
                <w:numId w:val="1"/>
              </w:numPr>
              <w:spacing w:after="0"/>
              <w:jc w:val="left"/>
            </w:pPr>
            <w:r>
              <w:rPr>
                <w:b w:val="false"/>
                <w:bCs w:val="false"/>
                <w:sz w:val="19"/>
                <w:szCs w:val="19"/>
              </w:rPr>
              <w:t xml:space="preserve">Post promo signage in-store and on social media to raise awareness of existing discounts.</w:t>
            </w:r>
          </w:p>
        </w:tc>
        <w:tc>
          <w:tcPr>
            <w:tcW w:type="dxa" w:w="1600"/>
            <w:shd w:fill="F2F7F2" w:color="auto" w:val="clear"/>
            <w:tcMar>
              <w:top w:type="dxa" w:w="100"/>
              <w:left w:type="dxa" w:w="120"/>
              <w:bottom w:type="dxa" w:w="100"/>
              <w:right w:type="dxa" w:w="120"/>
            </w:tcMar>
            <w:vAlign w:val="center"/>
          </w:tcPr>
          <w:p>
            <w:pPr>
              <w:spacing w:after="60"/>
              <w:jc w:val="left"/>
            </w:pPr>
            <w:r>
              <w:rPr>
                <w:b w:val="false"/>
                <w:bCs w:val="false"/>
                <w:sz w:val="19"/>
                <w:szCs w:val="19"/>
              </w:rPr>
              <w:t xml:space="preserve">Store Owner</w:t>
            </w:r>
          </w:p>
          <w:p>
            <w:pPr>
              <w:spacing w:after="0"/>
              <w:jc w:val="left"/>
            </w:pPr>
            <w:r>
              <w:rPr>
                <w:b w:val="false"/>
                <w:bCs w:val="false"/>
                <w:sz w:val="19"/>
                <w:szCs w:val="19"/>
              </w:rPr>
              <w:t xml:space="preserve">Staff/Cashier</w:t>
            </w:r>
          </w:p>
        </w:tc>
        <w:tc>
          <w:tcPr>
            <w:tcW w:type="dxa" w:w="1600"/>
            <w:shd w:fill="F2F7F2" w:color="auto" w:val="clear"/>
            <w:tcMar>
              <w:top w:type="dxa" w:w="100"/>
              <w:left w:type="dxa" w:w="120"/>
              <w:bottom w:type="dxa" w:w="100"/>
              <w:right w:type="dxa" w:w="120"/>
            </w:tcMar>
            <w:vAlign w:val="center"/>
          </w:tcPr>
          <w:p>
            <w:pPr>
              <w:spacing w:after="60"/>
              <w:jc w:val="center"/>
            </w:pPr>
            <w:r>
              <w:rPr>
                <w:b w:val="false"/>
                <w:bCs w:val="false"/>
                <w:sz w:val="19"/>
                <w:szCs w:val="19"/>
              </w:rPr>
              <w:t xml:space="preserve">₱1,000 – ₱2,000</w:t>
            </w:r>
          </w:p>
          <w:p>
            <w:pPr>
              <w:spacing w:after="0"/>
              <w:jc w:val="center"/>
            </w:pPr>
            <w:r>
              <w:rPr>
                <w:b w:val="false"/>
                <w:bCs w:val="false"/>
                <w:sz w:val="19"/>
                <w:szCs w:val="19"/>
              </w:rPr>
              <w:t xml:space="preserve">(loyalty cards, in-store promo signage)</w:t>
            </w:r>
          </w:p>
        </w:tc>
        <w:tc>
          <w:tcPr>
            <w:tcW w:type="dxa" w:w="1600"/>
            <w:shd w:fill="F2F7F2" w:color="auto" w:val="clear"/>
            <w:tcMar>
              <w:top w:type="dxa" w:w="100"/>
              <w:left w:type="dxa" w:w="120"/>
              <w:bottom w:type="dxa" w:w="100"/>
              <w:right w:type="dxa" w:w="120"/>
            </w:tcMar>
            <w:vAlign w:val="center"/>
          </w:tcPr>
          <w:p>
            <w:pPr>
              <w:spacing w:after="0"/>
              <w:jc w:val="center"/>
            </w:pPr>
            <w:r>
              <w:rPr>
                <w:b w:val="false"/>
                <w:bCs w:val="false"/>
                <w:sz w:val="19"/>
                <w:szCs w:val="19"/>
              </w:rPr>
              <w:t xml:space="preserve">1–2 months</w:t>
            </w:r>
          </w:p>
        </w:tc>
      </w:tr>
    </w:tbl>
    <w:p>
      <w:pPr>
        <w:spacing w:before="200"/>
      </w:pPr>
    </w:p>
    <w:p>
      <w:r>
        <w:rPr>
          <w:b/>
          <w:bCs/>
          <w:sz w:val="18"/>
          <w:szCs w:val="18"/>
        </w:rPr>
        <w:t xml:space="preserve">Note: </w:t>
      </w:r>
      <w:r>
        <w:rPr>
          <w:i/>
          <w:iCs/>
          <w:sz w:val="18"/>
          <w:szCs w:val="18"/>
        </w:rPr>
        <w:t xml:space="preserve">Budget figures are researcher-proposed estimates appropriate for a micro-enterprise (₱1.5M capital, 4 employees) and may be adjusted by the store owner based on actual costs and available resources.</w:t>
      </w:r>
    </w:p>
    <w:sectPr>
      <w:pgSz w:w="12240" w:h="158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2026-07-02T13:23:41.487Z</dcterms:created>
  <dcterms:modified xsi:type="dcterms:W3CDTF">2026-07-02T13:23:41.487Z</dcterms:modified>
</cp:coreProperties>
</file>

<file path=docProps/custom.xml><?xml version="1.0" encoding="utf-8"?>
<Properties xmlns="http://schemas.openxmlformats.org/officeDocument/2006/custom-properties" xmlns:vt="http://schemas.openxmlformats.org/officeDocument/2006/docPropsVTypes"/>
</file>